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theme/themeOverride1.xml" ContentType="application/vnd.openxmlformats-officedocument.themeOverride+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E1783" w:rsidRPr="0069310A" w:rsidRDefault="008E1783" w:rsidP="008E1783">
      <w:pPr>
        <w:autoSpaceDE w:val="0"/>
        <w:autoSpaceDN w:val="0"/>
        <w:adjustRightInd w:val="0"/>
        <w:spacing w:after="240"/>
        <w:jc w:val="center"/>
        <w:rPr>
          <w:rFonts w:cs="Arial"/>
          <w:b/>
          <w:bCs/>
          <w:iCs/>
          <w:sz w:val="24"/>
          <w:szCs w:val="24"/>
        </w:rPr>
      </w:pPr>
      <w:bookmarkStart w:id="0" w:name="_Toc243309406"/>
      <w:bookmarkStart w:id="1" w:name="_Toc290040807"/>
    </w:p>
    <w:p w:rsidR="008E1783" w:rsidRPr="0069310A" w:rsidRDefault="008E1783" w:rsidP="008E1783">
      <w:pPr>
        <w:autoSpaceDE w:val="0"/>
        <w:autoSpaceDN w:val="0"/>
        <w:adjustRightInd w:val="0"/>
        <w:spacing w:after="240"/>
        <w:jc w:val="center"/>
        <w:rPr>
          <w:rFonts w:cs="Arial"/>
          <w:b/>
          <w:bCs/>
          <w:iCs/>
          <w:sz w:val="28"/>
          <w:szCs w:val="28"/>
        </w:rPr>
      </w:pPr>
      <w:r w:rsidRPr="0069310A">
        <w:rPr>
          <w:rFonts w:cs="Arial"/>
          <w:b/>
          <w:bCs/>
          <w:iCs/>
          <w:sz w:val="28"/>
          <w:szCs w:val="28"/>
        </w:rPr>
        <w:t>Companhia de Saneamento Básico do Estado de São Paulo - Sabesp</w:t>
      </w:r>
    </w:p>
    <w:p w:rsidR="008E1783" w:rsidRPr="0069310A" w:rsidRDefault="008E1783" w:rsidP="008E1783">
      <w:pPr>
        <w:autoSpaceDE w:val="0"/>
        <w:autoSpaceDN w:val="0"/>
        <w:adjustRightInd w:val="0"/>
        <w:spacing w:after="240"/>
        <w:rPr>
          <w:rFonts w:cs="Arial"/>
          <w:b/>
          <w:bCs/>
          <w:iCs/>
          <w:sz w:val="24"/>
          <w:szCs w:val="24"/>
        </w:rPr>
      </w:pPr>
    </w:p>
    <w:p w:rsidR="008E1783" w:rsidRPr="0069310A" w:rsidRDefault="008E1783" w:rsidP="008E1783">
      <w:pPr>
        <w:autoSpaceDE w:val="0"/>
        <w:autoSpaceDN w:val="0"/>
        <w:adjustRightInd w:val="0"/>
        <w:spacing w:after="240"/>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8"/>
          <w:szCs w:val="28"/>
        </w:rPr>
      </w:pPr>
      <w:r w:rsidRPr="0069310A">
        <w:rPr>
          <w:rFonts w:cs="Arial"/>
          <w:b/>
          <w:bCs/>
          <w:iCs/>
          <w:sz w:val="28"/>
          <w:szCs w:val="28"/>
        </w:rPr>
        <w:t>Contrato CSS 20.542/14</w:t>
      </w: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8"/>
          <w:szCs w:val="28"/>
        </w:rPr>
      </w:pPr>
      <w:r w:rsidRPr="0069310A">
        <w:rPr>
          <w:rFonts w:cs="Arial"/>
          <w:b/>
          <w:bCs/>
          <w:iCs/>
          <w:sz w:val="28"/>
          <w:szCs w:val="28"/>
        </w:rPr>
        <w:t>Estudo de Impacto Ambiental e Relatório de Impacto Ambiental – EIA/RIMA para a Interligação entre as Represas Jaguari (Bacia do Paraíba do Sul) e Atibainha (Bacias PCJ)</w:t>
      </w: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8"/>
          <w:szCs w:val="28"/>
        </w:rPr>
      </w:pPr>
      <w:r w:rsidRPr="0069310A">
        <w:rPr>
          <w:rFonts w:cs="Arial"/>
          <w:b/>
          <w:bCs/>
          <w:iCs/>
          <w:sz w:val="28"/>
          <w:szCs w:val="28"/>
        </w:rPr>
        <w:t>Frente 1 - Licenciamento Ambiental</w:t>
      </w:r>
    </w:p>
    <w:p w:rsidR="008E1783" w:rsidRPr="008F6E8B" w:rsidRDefault="00D43E8D" w:rsidP="008E1783">
      <w:pPr>
        <w:autoSpaceDE w:val="0"/>
        <w:autoSpaceDN w:val="0"/>
        <w:adjustRightInd w:val="0"/>
        <w:spacing w:after="240"/>
        <w:jc w:val="center"/>
        <w:rPr>
          <w:rFonts w:cs="Arial"/>
          <w:b/>
          <w:bCs/>
          <w:iCs/>
          <w:sz w:val="28"/>
          <w:szCs w:val="28"/>
        </w:rPr>
      </w:pPr>
      <w:r>
        <w:rPr>
          <w:rFonts w:cs="Arial"/>
          <w:b/>
          <w:bCs/>
          <w:iCs/>
          <w:sz w:val="28"/>
          <w:szCs w:val="28"/>
        </w:rPr>
        <w:t>E</w:t>
      </w:r>
      <w:r w:rsidR="00A37650">
        <w:rPr>
          <w:rFonts w:cs="Arial"/>
          <w:b/>
          <w:bCs/>
          <w:iCs/>
          <w:sz w:val="28"/>
          <w:szCs w:val="28"/>
        </w:rPr>
        <w:t xml:space="preserve">studo de </w:t>
      </w:r>
      <w:r>
        <w:rPr>
          <w:rFonts w:cs="Arial"/>
          <w:b/>
          <w:bCs/>
          <w:iCs/>
          <w:sz w:val="28"/>
          <w:szCs w:val="28"/>
        </w:rPr>
        <w:t>I</w:t>
      </w:r>
      <w:r w:rsidR="00A37650">
        <w:rPr>
          <w:rFonts w:cs="Arial"/>
          <w:b/>
          <w:bCs/>
          <w:iCs/>
          <w:sz w:val="28"/>
          <w:szCs w:val="28"/>
        </w:rPr>
        <w:t xml:space="preserve">mpacto </w:t>
      </w:r>
      <w:r>
        <w:rPr>
          <w:rFonts w:cs="Arial"/>
          <w:b/>
          <w:bCs/>
          <w:iCs/>
          <w:sz w:val="28"/>
          <w:szCs w:val="28"/>
        </w:rPr>
        <w:t>A</w:t>
      </w:r>
      <w:r w:rsidR="00A37650">
        <w:rPr>
          <w:rFonts w:cs="Arial"/>
          <w:b/>
          <w:bCs/>
          <w:iCs/>
          <w:sz w:val="28"/>
          <w:szCs w:val="28"/>
        </w:rPr>
        <w:t xml:space="preserve">mbiental - </w:t>
      </w:r>
      <w:r>
        <w:rPr>
          <w:rFonts w:cs="Arial"/>
          <w:b/>
          <w:bCs/>
          <w:iCs/>
          <w:sz w:val="28"/>
          <w:szCs w:val="28"/>
        </w:rPr>
        <w:t>EIA</w:t>
      </w:r>
    </w:p>
    <w:p w:rsidR="008E1783" w:rsidRPr="0069310A" w:rsidRDefault="008E1783" w:rsidP="008E1783">
      <w:pPr>
        <w:autoSpaceDE w:val="0"/>
        <w:autoSpaceDN w:val="0"/>
        <w:adjustRightInd w:val="0"/>
        <w:spacing w:after="240"/>
        <w:jc w:val="center"/>
        <w:rPr>
          <w:rFonts w:cs="Arial"/>
          <w:b/>
          <w:bCs/>
          <w:iCs/>
          <w:sz w:val="28"/>
          <w:szCs w:val="28"/>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D83AE4" w:rsidRDefault="00D83AE4" w:rsidP="008E1783">
      <w:pPr>
        <w:autoSpaceDE w:val="0"/>
        <w:autoSpaceDN w:val="0"/>
        <w:adjustRightInd w:val="0"/>
        <w:spacing w:after="240"/>
        <w:jc w:val="center"/>
        <w:rPr>
          <w:rFonts w:cs="Arial"/>
          <w:b/>
          <w:bCs/>
          <w:iCs/>
          <w:sz w:val="28"/>
          <w:szCs w:val="28"/>
        </w:rPr>
      </w:pPr>
      <w:r w:rsidRPr="00D83AE4">
        <w:rPr>
          <w:rFonts w:cs="Arial"/>
          <w:b/>
          <w:bCs/>
          <w:iCs/>
          <w:sz w:val="28"/>
          <w:szCs w:val="28"/>
        </w:rPr>
        <w:t>Volume I - Textos</w:t>
      </w:r>
    </w:p>
    <w:p w:rsidR="008E1783" w:rsidRPr="00C979D4" w:rsidRDefault="00C979D4" w:rsidP="008E1783">
      <w:pPr>
        <w:autoSpaceDE w:val="0"/>
        <w:autoSpaceDN w:val="0"/>
        <w:adjustRightInd w:val="0"/>
        <w:spacing w:after="240"/>
        <w:jc w:val="center"/>
        <w:rPr>
          <w:rFonts w:cs="Arial"/>
          <w:b/>
          <w:bCs/>
          <w:iCs/>
          <w:sz w:val="28"/>
          <w:szCs w:val="28"/>
        </w:rPr>
      </w:pPr>
      <w:r w:rsidRPr="00C979D4">
        <w:rPr>
          <w:rFonts w:cs="Arial"/>
          <w:b/>
          <w:bCs/>
          <w:iCs/>
          <w:sz w:val="28"/>
          <w:szCs w:val="28"/>
        </w:rPr>
        <w:t xml:space="preserve">Tomo </w:t>
      </w:r>
      <w:r>
        <w:rPr>
          <w:rFonts w:cs="Arial"/>
          <w:b/>
          <w:bCs/>
          <w:iCs/>
          <w:sz w:val="28"/>
          <w:szCs w:val="28"/>
        </w:rPr>
        <w:t xml:space="preserve">3 - Diagnóstico </w:t>
      </w:r>
      <w:r w:rsidR="001739D1">
        <w:rPr>
          <w:rFonts w:cs="Arial"/>
          <w:b/>
          <w:bCs/>
          <w:iCs/>
          <w:sz w:val="28"/>
          <w:szCs w:val="28"/>
        </w:rPr>
        <w:t xml:space="preserve">Ambiental </w:t>
      </w:r>
      <w:r>
        <w:rPr>
          <w:rFonts w:cs="Arial"/>
          <w:b/>
          <w:bCs/>
          <w:iCs/>
          <w:sz w:val="28"/>
          <w:szCs w:val="28"/>
        </w:rPr>
        <w:t>do Meio Biótico</w:t>
      </w: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F6E8B" w:rsidP="008E1783">
      <w:pPr>
        <w:autoSpaceDE w:val="0"/>
        <w:autoSpaceDN w:val="0"/>
        <w:adjustRightInd w:val="0"/>
        <w:spacing w:after="240"/>
        <w:jc w:val="center"/>
        <w:rPr>
          <w:rFonts w:cs="Arial"/>
          <w:b/>
          <w:bCs/>
          <w:iCs/>
          <w:sz w:val="28"/>
          <w:szCs w:val="28"/>
        </w:rPr>
      </w:pPr>
      <w:r>
        <w:rPr>
          <w:rFonts w:cs="Arial"/>
          <w:b/>
          <w:bCs/>
          <w:iCs/>
          <w:sz w:val="28"/>
          <w:szCs w:val="28"/>
        </w:rPr>
        <w:t>2</w:t>
      </w:r>
      <w:r w:rsidR="00C023A0">
        <w:rPr>
          <w:rFonts w:cs="Arial"/>
          <w:b/>
          <w:bCs/>
          <w:iCs/>
          <w:sz w:val="28"/>
          <w:szCs w:val="28"/>
        </w:rPr>
        <w:t>0/0</w:t>
      </w:r>
      <w:r w:rsidR="00A37650">
        <w:rPr>
          <w:rFonts w:cs="Arial"/>
          <w:b/>
          <w:bCs/>
          <w:iCs/>
          <w:sz w:val="28"/>
          <w:szCs w:val="28"/>
        </w:rPr>
        <w:t>2</w:t>
      </w:r>
      <w:r w:rsidR="00C023A0">
        <w:rPr>
          <w:rFonts w:cs="Arial"/>
          <w:b/>
          <w:bCs/>
          <w:iCs/>
          <w:sz w:val="28"/>
          <w:szCs w:val="28"/>
        </w:rPr>
        <w:t>/2015</w:t>
      </w: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8"/>
          <w:szCs w:val="28"/>
        </w:rPr>
      </w:pPr>
      <w:r w:rsidRPr="0069310A">
        <w:rPr>
          <w:rFonts w:cs="Arial"/>
          <w:b/>
          <w:bCs/>
          <w:iCs/>
          <w:sz w:val="28"/>
          <w:szCs w:val="28"/>
        </w:rPr>
        <w:t>PRIME ENGENHARIA</w:t>
      </w: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rPr>
          <w:rFonts w:cs="Arial"/>
          <w:b/>
          <w:bCs/>
          <w:iCs/>
          <w:sz w:val="24"/>
          <w:szCs w:val="24"/>
        </w:rPr>
        <w:sectPr w:rsidR="008E1783" w:rsidRPr="0069310A" w:rsidSect="00373283">
          <w:headerReference w:type="default" r:id="rId8"/>
          <w:footerReference w:type="default" r:id="rId9"/>
          <w:pgSz w:w="11906" w:h="16838" w:code="9"/>
          <w:pgMar w:top="1418" w:right="1134" w:bottom="1134" w:left="1418" w:header="992" w:footer="709" w:gutter="0"/>
          <w:cols w:space="708"/>
          <w:docGrid w:linePitch="360"/>
        </w:sectPr>
      </w:pPr>
    </w:p>
    <w:p w:rsidR="004E4046" w:rsidRPr="0069310A" w:rsidRDefault="004E4046" w:rsidP="004E4046">
      <w:pPr>
        <w:jc w:val="center"/>
        <w:rPr>
          <w:b/>
          <w:sz w:val="24"/>
          <w:szCs w:val="24"/>
        </w:rPr>
      </w:pPr>
      <w:r w:rsidRPr="0069310A">
        <w:rPr>
          <w:b/>
          <w:sz w:val="24"/>
          <w:szCs w:val="24"/>
        </w:rPr>
        <w:lastRenderedPageBreak/>
        <w:t>EIA/RIMA para a Interligação entre as Represas Jaguari e Atibainha</w:t>
      </w:r>
    </w:p>
    <w:p w:rsidR="004E4046" w:rsidRPr="0069310A" w:rsidRDefault="004E4046" w:rsidP="004E4046">
      <w:pPr>
        <w:jc w:val="center"/>
        <w:rPr>
          <w:b/>
          <w:sz w:val="24"/>
          <w:szCs w:val="24"/>
        </w:rPr>
      </w:pPr>
      <w:r w:rsidRPr="0069310A">
        <w:rPr>
          <w:b/>
          <w:sz w:val="24"/>
          <w:szCs w:val="24"/>
        </w:rPr>
        <w:t>Frente 1 - Licenciamento Ambiental</w:t>
      </w:r>
    </w:p>
    <w:p w:rsidR="004E4046" w:rsidRDefault="00CC6BEB" w:rsidP="00861B1B">
      <w:pPr>
        <w:jc w:val="center"/>
        <w:rPr>
          <w:b/>
          <w:sz w:val="24"/>
          <w:szCs w:val="24"/>
        </w:rPr>
      </w:pPr>
      <w:r>
        <w:rPr>
          <w:b/>
          <w:sz w:val="24"/>
          <w:szCs w:val="24"/>
        </w:rPr>
        <w:t xml:space="preserve">Volume I </w:t>
      </w:r>
      <w:r w:rsidR="00861B1B">
        <w:rPr>
          <w:b/>
          <w:sz w:val="24"/>
          <w:szCs w:val="24"/>
        </w:rPr>
        <w:t>–</w:t>
      </w:r>
      <w:r>
        <w:rPr>
          <w:b/>
          <w:sz w:val="24"/>
          <w:szCs w:val="24"/>
        </w:rPr>
        <w:t xml:space="preserve"> Textos</w:t>
      </w:r>
    </w:p>
    <w:p w:rsidR="00861B1B" w:rsidRPr="0069310A" w:rsidRDefault="00861B1B" w:rsidP="00861B1B">
      <w:pPr>
        <w:jc w:val="center"/>
        <w:rPr>
          <w:b/>
          <w:sz w:val="24"/>
          <w:szCs w:val="24"/>
        </w:rPr>
      </w:pPr>
      <w:r>
        <w:rPr>
          <w:b/>
          <w:sz w:val="24"/>
          <w:szCs w:val="24"/>
        </w:rPr>
        <w:t>Tomo 3 – Diagnóstico Ambiental do Meio Biótico</w:t>
      </w:r>
    </w:p>
    <w:sdt>
      <w:sdtPr>
        <w:rPr>
          <w:rFonts w:ascii="Arial" w:eastAsiaTheme="minorHAnsi" w:hAnsi="Arial" w:cstheme="minorBidi"/>
          <w:color w:val="auto"/>
          <w:sz w:val="22"/>
          <w:szCs w:val="22"/>
          <w:lang w:eastAsia="en-US"/>
        </w:rPr>
        <w:id w:val="-37519340"/>
        <w:docPartObj>
          <w:docPartGallery w:val="Table of Contents"/>
          <w:docPartUnique/>
        </w:docPartObj>
      </w:sdtPr>
      <w:sdtEndPr>
        <w:rPr>
          <w:b/>
          <w:bCs/>
        </w:rPr>
      </w:sdtEndPr>
      <w:sdtContent>
        <w:p w:rsidR="00427B60" w:rsidRDefault="00427B60">
          <w:pPr>
            <w:pStyle w:val="CabealhodoSumrio"/>
            <w:rPr>
              <w:rFonts w:ascii="Arial" w:hAnsi="Arial" w:cs="Arial"/>
              <w:color w:val="auto"/>
            </w:rPr>
          </w:pPr>
          <w:r w:rsidRPr="00A57D46">
            <w:rPr>
              <w:rFonts w:ascii="Arial" w:hAnsi="Arial" w:cs="Arial"/>
              <w:color w:val="auto"/>
            </w:rPr>
            <w:t>Sumário</w:t>
          </w:r>
        </w:p>
        <w:p w:rsidR="00A57D46" w:rsidRPr="00A57D46" w:rsidRDefault="00A57D46" w:rsidP="00A57D46">
          <w:pPr>
            <w:rPr>
              <w:lang w:eastAsia="pt-BR"/>
            </w:rPr>
          </w:pPr>
        </w:p>
        <w:p w:rsidR="000F2964" w:rsidRDefault="00B5232B">
          <w:pPr>
            <w:pStyle w:val="Sumrio2"/>
            <w:tabs>
              <w:tab w:val="left" w:pos="880"/>
              <w:tab w:val="right" w:leader="dot" w:pos="9344"/>
            </w:tabs>
            <w:rPr>
              <w:rFonts w:asciiTheme="minorHAnsi" w:eastAsiaTheme="minorEastAsia" w:hAnsiTheme="minorHAnsi"/>
              <w:noProof/>
              <w:lang w:eastAsia="pt-BR"/>
            </w:rPr>
          </w:pPr>
          <w:r>
            <w:fldChar w:fldCharType="begin"/>
          </w:r>
          <w:r w:rsidR="00B97DED">
            <w:instrText xml:space="preserve"> TOC \o "1-4" \h \z \u </w:instrText>
          </w:r>
          <w:r>
            <w:fldChar w:fldCharType="separate"/>
          </w:r>
          <w:hyperlink w:anchor="_Toc411871187" w:history="1">
            <w:r w:rsidR="000F2964" w:rsidRPr="008D5E71">
              <w:rPr>
                <w:rStyle w:val="Hyperlink"/>
                <w:noProof/>
              </w:rPr>
              <w:t>6.4.</w:t>
            </w:r>
            <w:r w:rsidR="000F2964">
              <w:rPr>
                <w:rFonts w:asciiTheme="minorHAnsi" w:eastAsiaTheme="minorEastAsia" w:hAnsiTheme="minorHAnsi"/>
                <w:noProof/>
                <w:lang w:eastAsia="pt-BR"/>
              </w:rPr>
              <w:tab/>
            </w:r>
            <w:r w:rsidR="000F2964" w:rsidRPr="008D5E71">
              <w:rPr>
                <w:rStyle w:val="Hyperlink"/>
                <w:noProof/>
              </w:rPr>
              <w:t>Diagnóstico Ambiental do Meio Biótico</w:t>
            </w:r>
            <w:r w:rsidR="000F2964">
              <w:rPr>
                <w:noProof/>
                <w:webHidden/>
              </w:rPr>
              <w:tab/>
            </w:r>
            <w:r w:rsidR="000F2964">
              <w:rPr>
                <w:noProof/>
                <w:webHidden/>
              </w:rPr>
              <w:fldChar w:fldCharType="begin"/>
            </w:r>
            <w:r w:rsidR="000F2964">
              <w:rPr>
                <w:noProof/>
                <w:webHidden/>
              </w:rPr>
              <w:instrText xml:space="preserve"> PAGEREF _Toc411871187 \h </w:instrText>
            </w:r>
            <w:r w:rsidR="000F2964">
              <w:rPr>
                <w:noProof/>
                <w:webHidden/>
              </w:rPr>
            </w:r>
            <w:r w:rsidR="000F2964">
              <w:rPr>
                <w:noProof/>
                <w:webHidden/>
              </w:rPr>
              <w:fldChar w:fldCharType="separate"/>
            </w:r>
            <w:r w:rsidR="000F2964">
              <w:rPr>
                <w:noProof/>
                <w:webHidden/>
              </w:rPr>
              <w:t>1</w:t>
            </w:r>
            <w:r w:rsidR="000F2964">
              <w:rPr>
                <w:noProof/>
                <w:webHidden/>
              </w:rPr>
              <w:fldChar w:fldCharType="end"/>
            </w:r>
          </w:hyperlink>
        </w:p>
        <w:p w:rsidR="000F2964" w:rsidRDefault="00797FA7">
          <w:pPr>
            <w:pStyle w:val="Sumrio3"/>
            <w:rPr>
              <w:rFonts w:asciiTheme="minorHAnsi" w:eastAsiaTheme="minorEastAsia" w:hAnsiTheme="minorHAnsi"/>
              <w:sz w:val="22"/>
              <w:lang w:eastAsia="pt-BR"/>
            </w:rPr>
          </w:pPr>
          <w:hyperlink w:anchor="_Toc411871188" w:history="1">
            <w:r w:rsidR="000F2964" w:rsidRPr="008D5E71">
              <w:rPr>
                <w:rStyle w:val="Hyperlink"/>
                <w:rFonts w:ascii="Arial Negrito" w:hAnsi="Arial Negrito"/>
              </w:rPr>
              <w:t>6.4.1.</w:t>
            </w:r>
            <w:r w:rsidR="000F2964">
              <w:rPr>
                <w:rFonts w:asciiTheme="minorHAnsi" w:eastAsiaTheme="minorEastAsia" w:hAnsiTheme="minorHAnsi"/>
                <w:sz w:val="22"/>
                <w:lang w:eastAsia="pt-BR"/>
              </w:rPr>
              <w:tab/>
            </w:r>
            <w:r w:rsidR="000F2964" w:rsidRPr="008D5E71">
              <w:rPr>
                <w:rStyle w:val="Hyperlink"/>
              </w:rPr>
              <w:t>Cobertura Vegetal da AII</w:t>
            </w:r>
            <w:r w:rsidR="000F2964">
              <w:rPr>
                <w:webHidden/>
              </w:rPr>
              <w:tab/>
            </w:r>
            <w:r w:rsidR="000F2964">
              <w:rPr>
                <w:webHidden/>
              </w:rPr>
              <w:fldChar w:fldCharType="begin"/>
            </w:r>
            <w:r w:rsidR="000F2964">
              <w:rPr>
                <w:webHidden/>
              </w:rPr>
              <w:instrText xml:space="preserve"> PAGEREF _Toc411871188 \h </w:instrText>
            </w:r>
            <w:r w:rsidR="000F2964">
              <w:rPr>
                <w:webHidden/>
              </w:rPr>
            </w:r>
            <w:r w:rsidR="000F2964">
              <w:rPr>
                <w:webHidden/>
              </w:rPr>
              <w:fldChar w:fldCharType="separate"/>
            </w:r>
            <w:r w:rsidR="000F2964">
              <w:rPr>
                <w:webHidden/>
              </w:rPr>
              <w:t>1</w:t>
            </w:r>
            <w:r w:rsidR="000F2964">
              <w:rPr>
                <w:webHidden/>
              </w:rPr>
              <w:fldChar w:fldCharType="end"/>
            </w:r>
          </w:hyperlink>
        </w:p>
        <w:p w:rsidR="000F2964" w:rsidRDefault="00797FA7">
          <w:pPr>
            <w:pStyle w:val="Sumrio4"/>
            <w:rPr>
              <w:rFonts w:asciiTheme="minorHAnsi" w:hAnsiTheme="minorHAnsi"/>
              <w:sz w:val="22"/>
            </w:rPr>
          </w:pPr>
          <w:hyperlink w:anchor="_Toc411871189" w:history="1">
            <w:r w:rsidR="000F2964" w:rsidRPr="008D5E71">
              <w:rPr>
                <w:rStyle w:val="Hyperlink"/>
                <w:rFonts w:ascii="Arial Negrito" w:hAnsi="Arial Negrito"/>
              </w:rPr>
              <w:t>6.4.1.1.</w:t>
            </w:r>
            <w:r w:rsidR="000F2964">
              <w:rPr>
                <w:rFonts w:asciiTheme="minorHAnsi" w:hAnsiTheme="minorHAnsi"/>
                <w:sz w:val="22"/>
              </w:rPr>
              <w:tab/>
            </w:r>
            <w:r w:rsidR="000F2964" w:rsidRPr="008D5E71">
              <w:rPr>
                <w:rStyle w:val="Hyperlink"/>
              </w:rPr>
              <w:t>Metodologia dos Estudos de Flora para a AII</w:t>
            </w:r>
            <w:r w:rsidR="000F2964">
              <w:rPr>
                <w:webHidden/>
              </w:rPr>
              <w:tab/>
            </w:r>
            <w:r w:rsidR="000F2964">
              <w:rPr>
                <w:webHidden/>
              </w:rPr>
              <w:fldChar w:fldCharType="begin"/>
            </w:r>
            <w:r w:rsidR="000F2964">
              <w:rPr>
                <w:webHidden/>
              </w:rPr>
              <w:instrText xml:space="preserve"> PAGEREF _Toc411871189 \h </w:instrText>
            </w:r>
            <w:r w:rsidR="000F2964">
              <w:rPr>
                <w:webHidden/>
              </w:rPr>
            </w:r>
            <w:r w:rsidR="000F2964">
              <w:rPr>
                <w:webHidden/>
              </w:rPr>
              <w:fldChar w:fldCharType="separate"/>
            </w:r>
            <w:r w:rsidR="000F2964">
              <w:rPr>
                <w:webHidden/>
              </w:rPr>
              <w:t>1</w:t>
            </w:r>
            <w:r w:rsidR="000F2964">
              <w:rPr>
                <w:webHidden/>
              </w:rPr>
              <w:fldChar w:fldCharType="end"/>
            </w:r>
          </w:hyperlink>
        </w:p>
        <w:p w:rsidR="000F2964" w:rsidRDefault="00797FA7">
          <w:pPr>
            <w:pStyle w:val="Sumrio4"/>
            <w:rPr>
              <w:rFonts w:asciiTheme="minorHAnsi" w:hAnsiTheme="minorHAnsi"/>
              <w:sz w:val="22"/>
            </w:rPr>
          </w:pPr>
          <w:hyperlink w:anchor="_Toc411871190" w:history="1">
            <w:r w:rsidR="000F2964" w:rsidRPr="008D5E71">
              <w:rPr>
                <w:rStyle w:val="Hyperlink"/>
                <w:rFonts w:ascii="Arial Negrito" w:hAnsi="Arial Negrito"/>
              </w:rPr>
              <w:t>6.4.1.2.</w:t>
            </w:r>
            <w:r w:rsidR="000F2964">
              <w:rPr>
                <w:rFonts w:asciiTheme="minorHAnsi" w:hAnsiTheme="minorHAnsi"/>
                <w:sz w:val="22"/>
              </w:rPr>
              <w:tab/>
            </w:r>
            <w:r w:rsidR="000F2964" w:rsidRPr="008D5E71">
              <w:rPr>
                <w:rStyle w:val="Hyperlink"/>
              </w:rPr>
              <w:t>Aspectos Gerais da Vegetação na AII</w:t>
            </w:r>
            <w:r w:rsidR="000F2964">
              <w:rPr>
                <w:webHidden/>
              </w:rPr>
              <w:tab/>
            </w:r>
            <w:r w:rsidR="000F2964">
              <w:rPr>
                <w:webHidden/>
              </w:rPr>
              <w:fldChar w:fldCharType="begin"/>
            </w:r>
            <w:r w:rsidR="000F2964">
              <w:rPr>
                <w:webHidden/>
              </w:rPr>
              <w:instrText xml:space="preserve"> PAGEREF _Toc411871190 \h </w:instrText>
            </w:r>
            <w:r w:rsidR="000F2964">
              <w:rPr>
                <w:webHidden/>
              </w:rPr>
            </w:r>
            <w:r w:rsidR="000F2964">
              <w:rPr>
                <w:webHidden/>
              </w:rPr>
              <w:fldChar w:fldCharType="separate"/>
            </w:r>
            <w:r w:rsidR="000F2964">
              <w:rPr>
                <w:webHidden/>
              </w:rPr>
              <w:t>1</w:t>
            </w:r>
            <w:r w:rsidR="000F2964">
              <w:rPr>
                <w:webHidden/>
              </w:rPr>
              <w:fldChar w:fldCharType="end"/>
            </w:r>
          </w:hyperlink>
        </w:p>
        <w:p w:rsidR="000F2964" w:rsidRDefault="00797FA7">
          <w:pPr>
            <w:pStyle w:val="Sumrio4"/>
            <w:rPr>
              <w:rFonts w:asciiTheme="minorHAnsi" w:hAnsiTheme="minorHAnsi"/>
              <w:sz w:val="22"/>
            </w:rPr>
          </w:pPr>
          <w:hyperlink w:anchor="_Toc411871191" w:history="1">
            <w:r w:rsidR="000F2964" w:rsidRPr="008D5E71">
              <w:rPr>
                <w:rStyle w:val="Hyperlink"/>
                <w:rFonts w:ascii="Arial Negrito" w:hAnsi="Arial Negrito"/>
              </w:rPr>
              <w:t>6.4.1.3.</w:t>
            </w:r>
            <w:r w:rsidR="000F2964">
              <w:rPr>
                <w:rFonts w:asciiTheme="minorHAnsi" w:hAnsiTheme="minorHAnsi"/>
                <w:sz w:val="22"/>
              </w:rPr>
              <w:tab/>
            </w:r>
            <w:r w:rsidR="000F2964" w:rsidRPr="008D5E71">
              <w:rPr>
                <w:rStyle w:val="Hyperlink"/>
              </w:rPr>
              <w:t>Caracterização da Vegetação dos Municípios da AII</w:t>
            </w:r>
            <w:r w:rsidR="000F2964">
              <w:rPr>
                <w:webHidden/>
              </w:rPr>
              <w:tab/>
            </w:r>
            <w:r w:rsidR="000F2964">
              <w:rPr>
                <w:webHidden/>
              </w:rPr>
              <w:fldChar w:fldCharType="begin"/>
            </w:r>
            <w:r w:rsidR="000F2964">
              <w:rPr>
                <w:webHidden/>
              </w:rPr>
              <w:instrText xml:space="preserve"> PAGEREF _Toc411871191 \h </w:instrText>
            </w:r>
            <w:r w:rsidR="000F2964">
              <w:rPr>
                <w:webHidden/>
              </w:rPr>
            </w:r>
            <w:r w:rsidR="000F2964">
              <w:rPr>
                <w:webHidden/>
              </w:rPr>
              <w:fldChar w:fldCharType="separate"/>
            </w:r>
            <w:r w:rsidR="000F2964">
              <w:rPr>
                <w:webHidden/>
              </w:rPr>
              <w:t>3</w:t>
            </w:r>
            <w:r w:rsidR="000F2964">
              <w:rPr>
                <w:webHidden/>
              </w:rPr>
              <w:fldChar w:fldCharType="end"/>
            </w:r>
          </w:hyperlink>
        </w:p>
        <w:p w:rsidR="000F2964" w:rsidRDefault="00797FA7">
          <w:pPr>
            <w:pStyle w:val="Sumrio4"/>
            <w:rPr>
              <w:rFonts w:asciiTheme="minorHAnsi" w:hAnsiTheme="minorHAnsi"/>
              <w:sz w:val="22"/>
            </w:rPr>
          </w:pPr>
          <w:hyperlink w:anchor="_Toc411871192" w:history="1">
            <w:r w:rsidR="000F2964" w:rsidRPr="008D5E71">
              <w:rPr>
                <w:rStyle w:val="Hyperlink"/>
                <w:rFonts w:ascii="Arial Negrito" w:eastAsia="MS Mincho" w:hAnsi="Arial Negrito"/>
              </w:rPr>
              <w:t>6.4.1.4.</w:t>
            </w:r>
            <w:r w:rsidR="000F2964">
              <w:rPr>
                <w:rFonts w:asciiTheme="minorHAnsi" w:hAnsiTheme="minorHAnsi"/>
                <w:sz w:val="22"/>
              </w:rPr>
              <w:tab/>
            </w:r>
            <w:r w:rsidR="000F2964" w:rsidRPr="008D5E71">
              <w:rPr>
                <w:rStyle w:val="Hyperlink"/>
              </w:rPr>
              <w:t>Representatividade Ambiental da Vegetação Nativa na AII</w:t>
            </w:r>
            <w:r w:rsidR="000F2964">
              <w:rPr>
                <w:webHidden/>
              </w:rPr>
              <w:tab/>
            </w:r>
            <w:r w:rsidR="000F2964">
              <w:rPr>
                <w:webHidden/>
              </w:rPr>
              <w:fldChar w:fldCharType="begin"/>
            </w:r>
            <w:r w:rsidR="000F2964">
              <w:rPr>
                <w:webHidden/>
              </w:rPr>
              <w:instrText xml:space="preserve"> PAGEREF _Toc411871192 \h </w:instrText>
            </w:r>
            <w:r w:rsidR="000F2964">
              <w:rPr>
                <w:webHidden/>
              </w:rPr>
            </w:r>
            <w:r w:rsidR="000F2964">
              <w:rPr>
                <w:webHidden/>
              </w:rPr>
              <w:fldChar w:fldCharType="separate"/>
            </w:r>
            <w:r w:rsidR="000F2964">
              <w:rPr>
                <w:webHidden/>
              </w:rPr>
              <w:t>4</w:t>
            </w:r>
            <w:r w:rsidR="000F2964">
              <w:rPr>
                <w:webHidden/>
              </w:rPr>
              <w:fldChar w:fldCharType="end"/>
            </w:r>
          </w:hyperlink>
        </w:p>
        <w:p w:rsidR="000F2964" w:rsidRDefault="00797FA7">
          <w:pPr>
            <w:pStyle w:val="Sumrio4"/>
            <w:rPr>
              <w:rFonts w:asciiTheme="minorHAnsi" w:hAnsiTheme="minorHAnsi"/>
              <w:sz w:val="22"/>
            </w:rPr>
          </w:pPr>
          <w:hyperlink w:anchor="_Toc411871193" w:history="1">
            <w:r w:rsidR="000F2964" w:rsidRPr="008D5E71">
              <w:rPr>
                <w:rStyle w:val="Hyperlink"/>
                <w:rFonts w:ascii="Arial Negrito" w:hAnsi="Arial Negrito"/>
              </w:rPr>
              <w:t>6.4.1.5.</w:t>
            </w:r>
            <w:r w:rsidR="000F2964">
              <w:rPr>
                <w:rFonts w:asciiTheme="minorHAnsi" w:hAnsiTheme="minorHAnsi"/>
                <w:sz w:val="22"/>
              </w:rPr>
              <w:tab/>
            </w:r>
            <w:r w:rsidR="000F2964" w:rsidRPr="008D5E71">
              <w:rPr>
                <w:rStyle w:val="Hyperlink"/>
              </w:rPr>
              <w:t>Caracterização das Tipologias Vegetacionais na AII</w:t>
            </w:r>
            <w:r w:rsidR="000F2964">
              <w:rPr>
                <w:webHidden/>
              </w:rPr>
              <w:tab/>
            </w:r>
            <w:r w:rsidR="000F2964">
              <w:rPr>
                <w:webHidden/>
              </w:rPr>
              <w:fldChar w:fldCharType="begin"/>
            </w:r>
            <w:r w:rsidR="000F2964">
              <w:rPr>
                <w:webHidden/>
              </w:rPr>
              <w:instrText xml:space="preserve"> PAGEREF _Toc411871193 \h </w:instrText>
            </w:r>
            <w:r w:rsidR="000F2964">
              <w:rPr>
                <w:webHidden/>
              </w:rPr>
            </w:r>
            <w:r w:rsidR="000F2964">
              <w:rPr>
                <w:webHidden/>
              </w:rPr>
              <w:fldChar w:fldCharType="separate"/>
            </w:r>
            <w:r w:rsidR="000F2964">
              <w:rPr>
                <w:webHidden/>
              </w:rPr>
              <w:t>5</w:t>
            </w:r>
            <w:r w:rsidR="000F2964">
              <w:rPr>
                <w:webHidden/>
              </w:rPr>
              <w:fldChar w:fldCharType="end"/>
            </w:r>
          </w:hyperlink>
        </w:p>
        <w:p w:rsidR="000F2964" w:rsidRDefault="00797FA7">
          <w:pPr>
            <w:pStyle w:val="Sumrio4"/>
            <w:rPr>
              <w:rFonts w:asciiTheme="minorHAnsi" w:hAnsiTheme="minorHAnsi"/>
              <w:sz w:val="22"/>
            </w:rPr>
          </w:pPr>
          <w:hyperlink w:anchor="_Toc411871194" w:history="1">
            <w:r w:rsidR="000F2964" w:rsidRPr="008D5E71">
              <w:rPr>
                <w:rStyle w:val="Hyperlink"/>
                <w:rFonts w:ascii="Arial Negrito" w:hAnsi="Arial Negrito"/>
              </w:rPr>
              <w:t>6.4.1.6.</w:t>
            </w:r>
            <w:r w:rsidR="000F2964">
              <w:rPr>
                <w:rFonts w:asciiTheme="minorHAnsi" w:hAnsiTheme="minorHAnsi"/>
                <w:sz w:val="22"/>
              </w:rPr>
              <w:tab/>
            </w:r>
            <w:r w:rsidR="000F2964" w:rsidRPr="008D5E71">
              <w:rPr>
                <w:rStyle w:val="Hyperlink"/>
              </w:rPr>
              <w:t>Estudos Florísticos Anteriores Desenvolvidos para a AII</w:t>
            </w:r>
            <w:r w:rsidR="000F2964">
              <w:rPr>
                <w:webHidden/>
              </w:rPr>
              <w:tab/>
            </w:r>
            <w:r w:rsidR="000F2964">
              <w:rPr>
                <w:webHidden/>
              </w:rPr>
              <w:fldChar w:fldCharType="begin"/>
            </w:r>
            <w:r w:rsidR="000F2964">
              <w:rPr>
                <w:webHidden/>
              </w:rPr>
              <w:instrText xml:space="preserve"> PAGEREF _Toc411871194 \h </w:instrText>
            </w:r>
            <w:r w:rsidR="000F2964">
              <w:rPr>
                <w:webHidden/>
              </w:rPr>
            </w:r>
            <w:r w:rsidR="000F2964">
              <w:rPr>
                <w:webHidden/>
              </w:rPr>
              <w:fldChar w:fldCharType="separate"/>
            </w:r>
            <w:r w:rsidR="000F2964">
              <w:rPr>
                <w:webHidden/>
              </w:rPr>
              <w:t>8</w:t>
            </w:r>
            <w:r w:rsidR="000F2964">
              <w:rPr>
                <w:webHidden/>
              </w:rPr>
              <w:fldChar w:fldCharType="end"/>
            </w:r>
          </w:hyperlink>
        </w:p>
        <w:p w:rsidR="000F2964" w:rsidRDefault="00797FA7">
          <w:pPr>
            <w:pStyle w:val="Sumrio3"/>
            <w:rPr>
              <w:rFonts w:asciiTheme="minorHAnsi" w:eastAsiaTheme="minorEastAsia" w:hAnsiTheme="minorHAnsi"/>
              <w:sz w:val="22"/>
              <w:lang w:eastAsia="pt-BR"/>
            </w:rPr>
          </w:pPr>
          <w:hyperlink w:anchor="_Toc411871195" w:history="1">
            <w:r w:rsidR="000F2964" w:rsidRPr="008D5E71">
              <w:rPr>
                <w:rStyle w:val="Hyperlink"/>
                <w:rFonts w:ascii="Arial Negrito" w:hAnsi="Arial Negrito"/>
              </w:rPr>
              <w:t>6.4.2.</w:t>
            </w:r>
            <w:r w:rsidR="000F2964">
              <w:rPr>
                <w:rFonts w:asciiTheme="minorHAnsi" w:eastAsiaTheme="minorEastAsia" w:hAnsiTheme="minorHAnsi"/>
                <w:sz w:val="22"/>
                <w:lang w:eastAsia="pt-BR"/>
              </w:rPr>
              <w:tab/>
            </w:r>
            <w:r w:rsidR="000F2964" w:rsidRPr="008D5E71">
              <w:rPr>
                <w:rStyle w:val="Hyperlink"/>
              </w:rPr>
              <w:t>Vegetação na AID e ADA. Levantamentos Fitofisionômico e Florístico</w:t>
            </w:r>
            <w:r w:rsidR="000F2964">
              <w:rPr>
                <w:webHidden/>
              </w:rPr>
              <w:tab/>
            </w:r>
            <w:r w:rsidR="000F2964">
              <w:rPr>
                <w:webHidden/>
              </w:rPr>
              <w:fldChar w:fldCharType="begin"/>
            </w:r>
            <w:r w:rsidR="000F2964">
              <w:rPr>
                <w:webHidden/>
              </w:rPr>
              <w:instrText xml:space="preserve"> PAGEREF _Toc411871195 \h </w:instrText>
            </w:r>
            <w:r w:rsidR="000F2964">
              <w:rPr>
                <w:webHidden/>
              </w:rPr>
            </w:r>
            <w:r w:rsidR="000F2964">
              <w:rPr>
                <w:webHidden/>
              </w:rPr>
              <w:fldChar w:fldCharType="separate"/>
            </w:r>
            <w:r w:rsidR="000F2964">
              <w:rPr>
                <w:webHidden/>
              </w:rPr>
              <w:t>9</w:t>
            </w:r>
            <w:r w:rsidR="000F2964">
              <w:rPr>
                <w:webHidden/>
              </w:rPr>
              <w:fldChar w:fldCharType="end"/>
            </w:r>
          </w:hyperlink>
        </w:p>
        <w:p w:rsidR="000F2964" w:rsidRDefault="00797FA7">
          <w:pPr>
            <w:pStyle w:val="Sumrio4"/>
            <w:rPr>
              <w:rFonts w:asciiTheme="minorHAnsi" w:hAnsiTheme="minorHAnsi"/>
              <w:sz w:val="22"/>
            </w:rPr>
          </w:pPr>
          <w:hyperlink w:anchor="_Toc411871196" w:history="1">
            <w:r w:rsidR="000F2964" w:rsidRPr="008D5E71">
              <w:rPr>
                <w:rStyle w:val="Hyperlink"/>
                <w:rFonts w:ascii="Arial Negrito" w:hAnsi="Arial Negrito"/>
              </w:rPr>
              <w:t>6.4.2.1.</w:t>
            </w:r>
            <w:r w:rsidR="000F2964">
              <w:rPr>
                <w:rFonts w:asciiTheme="minorHAnsi" w:hAnsiTheme="minorHAnsi"/>
                <w:sz w:val="22"/>
              </w:rPr>
              <w:tab/>
            </w:r>
            <w:r w:rsidR="000F2964" w:rsidRPr="008D5E71">
              <w:rPr>
                <w:rStyle w:val="Hyperlink"/>
              </w:rPr>
              <w:t>Metodologia dos Estudos de Flora para a AID e ADA</w:t>
            </w:r>
            <w:r w:rsidR="000F2964">
              <w:rPr>
                <w:webHidden/>
              </w:rPr>
              <w:tab/>
            </w:r>
            <w:r w:rsidR="000F2964">
              <w:rPr>
                <w:webHidden/>
              </w:rPr>
              <w:fldChar w:fldCharType="begin"/>
            </w:r>
            <w:r w:rsidR="000F2964">
              <w:rPr>
                <w:webHidden/>
              </w:rPr>
              <w:instrText xml:space="preserve"> PAGEREF _Toc411871196 \h </w:instrText>
            </w:r>
            <w:r w:rsidR="000F2964">
              <w:rPr>
                <w:webHidden/>
              </w:rPr>
            </w:r>
            <w:r w:rsidR="000F2964">
              <w:rPr>
                <w:webHidden/>
              </w:rPr>
              <w:fldChar w:fldCharType="separate"/>
            </w:r>
            <w:r w:rsidR="000F2964">
              <w:rPr>
                <w:webHidden/>
              </w:rPr>
              <w:t>9</w:t>
            </w:r>
            <w:r w:rsidR="000F2964">
              <w:rPr>
                <w:webHidden/>
              </w:rPr>
              <w:fldChar w:fldCharType="end"/>
            </w:r>
          </w:hyperlink>
        </w:p>
        <w:p w:rsidR="000F2964" w:rsidRDefault="00797FA7">
          <w:pPr>
            <w:pStyle w:val="Sumrio4"/>
            <w:rPr>
              <w:rFonts w:asciiTheme="minorHAnsi" w:hAnsiTheme="minorHAnsi"/>
              <w:sz w:val="22"/>
            </w:rPr>
          </w:pPr>
          <w:hyperlink w:anchor="_Toc411871197" w:history="1">
            <w:r w:rsidR="000F2964" w:rsidRPr="008D5E71">
              <w:rPr>
                <w:rStyle w:val="Hyperlink"/>
                <w:rFonts w:ascii="Arial Negrito" w:hAnsi="Arial Negrito"/>
              </w:rPr>
              <w:t>6.4.2.2.</w:t>
            </w:r>
            <w:r w:rsidR="000F2964">
              <w:rPr>
                <w:rFonts w:asciiTheme="minorHAnsi" w:hAnsiTheme="minorHAnsi"/>
                <w:sz w:val="22"/>
              </w:rPr>
              <w:tab/>
            </w:r>
            <w:r w:rsidR="000F2964" w:rsidRPr="008D5E71">
              <w:rPr>
                <w:rStyle w:val="Hyperlink"/>
              </w:rPr>
              <w:t>Caracterização Fitofisionômica</w:t>
            </w:r>
            <w:r w:rsidR="000F2964">
              <w:rPr>
                <w:webHidden/>
              </w:rPr>
              <w:tab/>
            </w:r>
            <w:r w:rsidR="000F2964">
              <w:rPr>
                <w:webHidden/>
              </w:rPr>
              <w:fldChar w:fldCharType="begin"/>
            </w:r>
            <w:r w:rsidR="000F2964">
              <w:rPr>
                <w:webHidden/>
              </w:rPr>
              <w:instrText xml:space="preserve"> PAGEREF _Toc411871197 \h </w:instrText>
            </w:r>
            <w:r w:rsidR="000F2964">
              <w:rPr>
                <w:webHidden/>
              </w:rPr>
            </w:r>
            <w:r w:rsidR="000F2964">
              <w:rPr>
                <w:webHidden/>
              </w:rPr>
              <w:fldChar w:fldCharType="separate"/>
            </w:r>
            <w:r w:rsidR="000F2964">
              <w:rPr>
                <w:webHidden/>
              </w:rPr>
              <w:t>11</w:t>
            </w:r>
            <w:r w:rsidR="000F2964">
              <w:rPr>
                <w:webHidden/>
              </w:rPr>
              <w:fldChar w:fldCharType="end"/>
            </w:r>
          </w:hyperlink>
        </w:p>
        <w:p w:rsidR="000F2964" w:rsidRDefault="00797FA7">
          <w:pPr>
            <w:pStyle w:val="Sumrio4"/>
            <w:rPr>
              <w:rFonts w:asciiTheme="minorHAnsi" w:hAnsiTheme="minorHAnsi"/>
              <w:sz w:val="22"/>
            </w:rPr>
          </w:pPr>
          <w:hyperlink w:anchor="_Toc411871198" w:history="1">
            <w:r w:rsidR="000F2964" w:rsidRPr="008D5E71">
              <w:rPr>
                <w:rStyle w:val="Hyperlink"/>
                <w:rFonts w:ascii="Arial Negrito" w:hAnsi="Arial Negrito"/>
              </w:rPr>
              <w:t>6.4.2.3.</w:t>
            </w:r>
            <w:r w:rsidR="000F2964">
              <w:rPr>
                <w:rFonts w:asciiTheme="minorHAnsi" w:hAnsiTheme="minorHAnsi"/>
                <w:sz w:val="22"/>
              </w:rPr>
              <w:tab/>
            </w:r>
            <w:r w:rsidR="000F2964" w:rsidRPr="008D5E71">
              <w:rPr>
                <w:rStyle w:val="Hyperlink"/>
              </w:rPr>
              <w:t>Levantamentos Florísticos</w:t>
            </w:r>
            <w:r w:rsidR="000F2964">
              <w:rPr>
                <w:webHidden/>
              </w:rPr>
              <w:tab/>
            </w:r>
            <w:r w:rsidR="000F2964">
              <w:rPr>
                <w:webHidden/>
              </w:rPr>
              <w:fldChar w:fldCharType="begin"/>
            </w:r>
            <w:r w:rsidR="000F2964">
              <w:rPr>
                <w:webHidden/>
              </w:rPr>
              <w:instrText xml:space="preserve"> PAGEREF _Toc411871198 \h </w:instrText>
            </w:r>
            <w:r w:rsidR="000F2964">
              <w:rPr>
                <w:webHidden/>
              </w:rPr>
            </w:r>
            <w:r w:rsidR="000F2964">
              <w:rPr>
                <w:webHidden/>
              </w:rPr>
              <w:fldChar w:fldCharType="separate"/>
            </w:r>
            <w:r w:rsidR="000F2964">
              <w:rPr>
                <w:webHidden/>
              </w:rPr>
              <w:t>17</w:t>
            </w:r>
            <w:r w:rsidR="000F2964">
              <w:rPr>
                <w:webHidden/>
              </w:rPr>
              <w:fldChar w:fldCharType="end"/>
            </w:r>
          </w:hyperlink>
        </w:p>
        <w:p w:rsidR="000F2964" w:rsidRDefault="00797FA7">
          <w:pPr>
            <w:pStyle w:val="Sumrio4"/>
            <w:rPr>
              <w:rFonts w:asciiTheme="minorHAnsi" w:hAnsiTheme="minorHAnsi"/>
              <w:sz w:val="22"/>
            </w:rPr>
          </w:pPr>
          <w:hyperlink w:anchor="_Toc411871199" w:history="1">
            <w:r w:rsidR="000F2964" w:rsidRPr="008D5E71">
              <w:rPr>
                <w:rStyle w:val="Hyperlink"/>
                <w:rFonts w:ascii="Arial Negrito" w:hAnsi="Arial Negrito"/>
              </w:rPr>
              <w:t>6.4.2.4.</w:t>
            </w:r>
            <w:r w:rsidR="000F2964">
              <w:rPr>
                <w:rFonts w:asciiTheme="minorHAnsi" w:hAnsiTheme="minorHAnsi"/>
                <w:sz w:val="22"/>
              </w:rPr>
              <w:tab/>
            </w:r>
            <w:r w:rsidR="000F2964" w:rsidRPr="008D5E71">
              <w:rPr>
                <w:rStyle w:val="Hyperlink"/>
              </w:rPr>
              <w:t>Síntese dos Resultados do Levantamento Florístico</w:t>
            </w:r>
            <w:r w:rsidR="000F2964">
              <w:rPr>
                <w:webHidden/>
              </w:rPr>
              <w:tab/>
            </w:r>
            <w:r w:rsidR="000F2964">
              <w:rPr>
                <w:webHidden/>
              </w:rPr>
              <w:fldChar w:fldCharType="begin"/>
            </w:r>
            <w:r w:rsidR="000F2964">
              <w:rPr>
                <w:webHidden/>
              </w:rPr>
              <w:instrText xml:space="preserve"> PAGEREF _Toc411871199 \h </w:instrText>
            </w:r>
            <w:r w:rsidR="000F2964">
              <w:rPr>
                <w:webHidden/>
              </w:rPr>
            </w:r>
            <w:r w:rsidR="000F2964">
              <w:rPr>
                <w:webHidden/>
              </w:rPr>
              <w:fldChar w:fldCharType="separate"/>
            </w:r>
            <w:r w:rsidR="000F2964">
              <w:rPr>
                <w:webHidden/>
              </w:rPr>
              <w:t>27</w:t>
            </w:r>
            <w:r w:rsidR="000F2964">
              <w:rPr>
                <w:webHidden/>
              </w:rPr>
              <w:fldChar w:fldCharType="end"/>
            </w:r>
          </w:hyperlink>
        </w:p>
        <w:p w:rsidR="000F2964" w:rsidRDefault="00797FA7">
          <w:pPr>
            <w:pStyle w:val="Sumrio3"/>
            <w:rPr>
              <w:rFonts w:asciiTheme="minorHAnsi" w:eastAsiaTheme="minorEastAsia" w:hAnsiTheme="minorHAnsi"/>
              <w:sz w:val="22"/>
              <w:lang w:eastAsia="pt-BR"/>
            </w:rPr>
          </w:pPr>
          <w:hyperlink w:anchor="_Toc411871200" w:history="1">
            <w:r w:rsidR="000F2964" w:rsidRPr="008D5E71">
              <w:rPr>
                <w:rStyle w:val="Hyperlink"/>
                <w:rFonts w:ascii="Arial Negrito" w:hAnsi="Arial Negrito"/>
              </w:rPr>
              <w:t>6.4.3.</w:t>
            </w:r>
            <w:r w:rsidR="000F2964">
              <w:rPr>
                <w:rFonts w:asciiTheme="minorHAnsi" w:eastAsiaTheme="minorEastAsia" w:hAnsiTheme="minorHAnsi"/>
                <w:sz w:val="22"/>
                <w:lang w:eastAsia="pt-BR"/>
              </w:rPr>
              <w:tab/>
            </w:r>
            <w:r w:rsidR="000F2964" w:rsidRPr="008D5E71">
              <w:rPr>
                <w:rStyle w:val="Hyperlink"/>
              </w:rPr>
              <w:t>Vegetação Potencialmente Afetada</w:t>
            </w:r>
            <w:r w:rsidR="000F2964">
              <w:rPr>
                <w:webHidden/>
              </w:rPr>
              <w:tab/>
            </w:r>
            <w:r w:rsidR="000F2964">
              <w:rPr>
                <w:webHidden/>
              </w:rPr>
              <w:fldChar w:fldCharType="begin"/>
            </w:r>
            <w:r w:rsidR="000F2964">
              <w:rPr>
                <w:webHidden/>
              </w:rPr>
              <w:instrText xml:space="preserve"> PAGEREF _Toc411871200 \h </w:instrText>
            </w:r>
            <w:r w:rsidR="000F2964">
              <w:rPr>
                <w:webHidden/>
              </w:rPr>
            </w:r>
            <w:r w:rsidR="000F2964">
              <w:rPr>
                <w:webHidden/>
              </w:rPr>
              <w:fldChar w:fldCharType="separate"/>
            </w:r>
            <w:r w:rsidR="000F2964">
              <w:rPr>
                <w:webHidden/>
              </w:rPr>
              <w:t>30</w:t>
            </w:r>
            <w:r w:rsidR="000F2964">
              <w:rPr>
                <w:webHidden/>
              </w:rPr>
              <w:fldChar w:fldCharType="end"/>
            </w:r>
          </w:hyperlink>
        </w:p>
        <w:p w:rsidR="000F2964" w:rsidRDefault="00797FA7">
          <w:pPr>
            <w:pStyle w:val="Sumrio3"/>
            <w:rPr>
              <w:rFonts w:asciiTheme="minorHAnsi" w:eastAsiaTheme="minorEastAsia" w:hAnsiTheme="minorHAnsi"/>
              <w:sz w:val="22"/>
              <w:lang w:eastAsia="pt-BR"/>
            </w:rPr>
          </w:pPr>
          <w:hyperlink w:anchor="_Toc411871201" w:history="1">
            <w:r w:rsidR="000F2964" w:rsidRPr="008D5E71">
              <w:rPr>
                <w:rStyle w:val="Hyperlink"/>
                <w:rFonts w:ascii="Arial Negrito" w:hAnsi="Arial Negrito"/>
              </w:rPr>
              <w:t>6.4.4.</w:t>
            </w:r>
            <w:r w:rsidR="000F2964">
              <w:rPr>
                <w:rFonts w:asciiTheme="minorHAnsi" w:eastAsiaTheme="minorEastAsia" w:hAnsiTheme="minorHAnsi"/>
                <w:sz w:val="22"/>
                <w:lang w:eastAsia="pt-BR"/>
              </w:rPr>
              <w:tab/>
            </w:r>
            <w:r w:rsidR="000F2964" w:rsidRPr="008D5E71">
              <w:rPr>
                <w:rStyle w:val="Hyperlink"/>
              </w:rPr>
              <w:t>Diagnóstico da Fauna de Vertebrados Terrestres</w:t>
            </w:r>
            <w:r w:rsidR="000F2964">
              <w:rPr>
                <w:webHidden/>
              </w:rPr>
              <w:tab/>
            </w:r>
            <w:r w:rsidR="000F2964">
              <w:rPr>
                <w:webHidden/>
              </w:rPr>
              <w:fldChar w:fldCharType="begin"/>
            </w:r>
            <w:r w:rsidR="000F2964">
              <w:rPr>
                <w:webHidden/>
              </w:rPr>
              <w:instrText xml:space="preserve"> PAGEREF _Toc411871201 \h </w:instrText>
            </w:r>
            <w:r w:rsidR="000F2964">
              <w:rPr>
                <w:webHidden/>
              </w:rPr>
            </w:r>
            <w:r w:rsidR="000F2964">
              <w:rPr>
                <w:webHidden/>
              </w:rPr>
              <w:fldChar w:fldCharType="separate"/>
            </w:r>
            <w:r w:rsidR="000F2964">
              <w:rPr>
                <w:webHidden/>
              </w:rPr>
              <w:t>31</w:t>
            </w:r>
            <w:r w:rsidR="000F2964">
              <w:rPr>
                <w:webHidden/>
              </w:rPr>
              <w:fldChar w:fldCharType="end"/>
            </w:r>
          </w:hyperlink>
        </w:p>
        <w:p w:rsidR="000F2964" w:rsidRDefault="00797FA7">
          <w:pPr>
            <w:pStyle w:val="Sumrio4"/>
            <w:rPr>
              <w:rFonts w:asciiTheme="minorHAnsi" w:hAnsiTheme="minorHAnsi"/>
              <w:sz w:val="22"/>
            </w:rPr>
          </w:pPr>
          <w:hyperlink w:anchor="_Toc411871202" w:history="1">
            <w:r w:rsidR="000F2964" w:rsidRPr="008D5E71">
              <w:rPr>
                <w:rStyle w:val="Hyperlink"/>
                <w:rFonts w:ascii="Arial Negrito" w:hAnsi="Arial Negrito"/>
              </w:rPr>
              <w:t>6.4.4.1.</w:t>
            </w:r>
            <w:r w:rsidR="000F2964">
              <w:rPr>
                <w:rFonts w:asciiTheme="minorHAnsi" w:hAnsiTheme="minorHAnsi"/>
                <w:sz w:val="22"/>
              </w:rPr>
              <w:tab/>
            </w:r>
            <w:r w:rsidR="000F2964" w:rsidRPr="008D5E71">
              <w:rPr>
                <w:rStyle w:val="Hyperlink"/>
              </w:rPr>
              <w:t>Objetivos</w:t>
            </w:r>
            <w:r w:rsidR="000F2964">
              <w:rPr>
                <w:webHidden/>
              </w:rPr>
              <w:tab/>
            </w:r>
            <w:r w:rsidR="000F2964">
              <w:rPr>
                <w:webHidden/>
              </w:rPr>
              <w:fldChar w:fldCharType="begin"/>
            </w:r>
            <w:r w:rsidR="000F2964">
              <w:rPr>
                <w:webHidden/>
              </w:rPr>
              <w:instrText xml:space="preserve"> PAGEREF _Toc411871202 \h </w:instrText>
            </w:r>
            <w:r w:rsidR="000F2964">
              <w:rPr>
                <w:webHidden/>
              </w:rPr>
            </w:r>
            <w:r w:rsidR="000F2964">
              <w:rPr>
                <w:webHidden/>
              </w:rPr>
              <w:fldChar w:fldCharType="separate"/>
            </w:r>
            <w:r w:rsidR="000F2964">
              <w:rPr>
                <w:webHidden/>
              </w:rPr>
              <w:t>32</w:t>
            </w:r>
            <w:r w:rsidR="000F2964">
              <w:rPr>
                <w:webHidden/>
              </w:rPr>
              <w:fldChar w:fldCharType="end"/>
            </w:r>
          </w:hyperlink>
        </w:p>
        <w:p w:rsidR="000F2964" w:rsidRDefault="00797FA7">
          <w:pPr>
            <w:pStyle w:val="Sumrio4"/>
            <w:rPr>
              <w:rFonts w:asciiTheme="minorHAnsi" w:hAnsiTheme="minorHAnsi"/>
              <w:sz w:val="22"/>
            </w:rPr>
          </w:pPr>
          <w:hyperlink w:anchor="_Toc411871203" w:history="1">
            <w:r w:rsidR="000F2964" w:rsidRPr="008D5E71">
              <w:rPr>
                <w:rStyle w:val="Hyperlink"/>
                <w:rFonts w:ascii="Arial Negrito" w:hAnsi="Arial Negrito"/>
              </w:rPr>
              <w:t>6.4.4.2.</w:t>
            </w:r>
            <w:r w:rsidR="000F2964">
              <w:rPr>
                <w:rFonts w:asciiTheme="minorHAnsi" w:hAnsiTheme="minorHAnsi"/>
                <w:sz w:val="22"/>
              </w:rPr>
              <w:tab/>
            </w:r>
            <w:r w:rsidR="000F2964" w:rsidRPr="008D5E71">
              <w:rPr>
                <w:rStyle w:val="Hyperlink"/>
              </w:rPr>
              <w:t>Delineamento Amostral</w:t>
            </w:r>
            <w:r w:rsidR="000F2964">
              <w:rPr>
                <w:webHidden/>
              </w:rPr>
              <w:tab/>
            </w:r>
            <w:r w:rsidR="000F2964">
              <w:rPr>
                <w:webHidden/>
              </w:rPr>
              <w:fldChar w:fldCharType="begin"/>
            </w:r>
            <w:r w:rsidR="000F2964">
              <w:rPr>
                <w:webHidden/>
              </w:rPr>
              <w:instrText xml:space="preserve"> PAGEREF _Toc411871203 \h </w:instrText>
            </w:r>
            <w:r w:rsidR="000F2964">
              <w:rPr>
                <w:webHidden/>
              </w:rPr>
            </w:r>
            <w:r w:rsidR="000F2964">
              <w:rPr>
                <w:webHidden/>
              </w:rPr>
              <w:fldChar w:fldCharType="separate"/>
            </w:r>
            <w:r w:rsidR="000F2964">
              <w:rPr>
                <w:webHidden/>
              </w:rPr>
              <w:t>32</w:t>
            </w:r>
            <w:r w:rsidR="000F2964">
              <w:rPr>
                <w:webHidden/>
              </w:rPr>
              <w:fldChar w:fldCharType="end"/>
            </w:r>
          </w:hyperlink>
        </w:p>
        <w:p w:rsidR="000F2964" w:rsidRDefault="00797FA7">
          <w:pPr>
            <w:pStyle w:val="Sumrio4"/>
            <w:rPr>
              <w:rFonts w:asciiTheme="minorHAnsi" w:hAnsiTheme="minorHAnsi"/>
              <w:sz w:val="22"/>
            </w:rPr>
          </w:pPr>
          <w:hyperlink w:anchor="_Toc411871204" w:history="1">
            <w:r w:rsidR="000F2964" w:rsidRPr="008D5E71">
              <w:rPr>
                <w:rStyle w:val="Hyperlink"/>
                <w:rFonts w:ascii="Arial Negrito" w:hAnsi="Arial Negrito"/>
              </w:rPr>
              <w:t>6.4.4.3.</w:t>
            </w:r>
            <w:r w:rsidR="000F2964">
              <w:rPr>
                <w:rFonts w:asciiTheme="minorHAnsi" w:hAnsiTheme="minorHAnsi"/>
                <w:sz w:val="22"/>
              </w:rPr>
              <w:tab/>
            </w:r>
            <w:r w:rsidR="000F2964" w:rsidRPr="008D5E71">
              <w:rPr>
                <w:rStyle w:val="Hyperlink"/>
              </w:rPr>
              <w:t>Avifauna</w:t>
            </w:r>
            <w:r w:rsidR="000F2964">
              <w:rPr>
                <w:webHidden/>
              </w:rPr>
              <w:tab/>
            </w:r>
            <w:r w:rsidR="000F2964">
              <w:rPr>
                <w:webHidden/>
              </w:rPr>
              <w:fldChar w:fldCharType="begin"/>
            </w:r>
            <w:r w:rsidR="000F2964">
              <w:rPr>
                <w:webHidden/>
              </w:rPr>
              <w:instrText xml:space="preserve"> PAGEREF _Toc411871204 \h </w:instrText>
            </w:r>
            <w:r w:rsidR="000F2964">
              <w:rPr>
                <w:webHidden/>
              </w:rPr>
            </w:r>
            <w:r w:rsidR="000F2964">
              <w:rPr>
                <w:webHidden/>
              </w:rPr>
              <w:fldChar w:fldCharType="separate"/>
            </w:r>
            <w:r w:rsidR="000F2964">
              <w:rPr>
                <w:webHidden/>
              </w:rPr>
              <w:t>33</w:t>
            </w:r>
            <w:r w:rsidR="000F2964">
              <w:rPr>
                <w:webHidden/>
              </w:rPr>
              <w:fldChar w:fldCharType="end"/>
            </w:r>
          </w:hyperlink>
        </w:p>
        <w:p w:rsidR="000F2964" w:rsidRDefault="00797FA7">
          <w:pPr>
            <w:pStyle w:val="Sumrio4"/>
            <w:rPr>
              <w:rFonts w:asciiTheme="minorHAnsi" w:hAnsiTheme="minorHAnsi"/>
              <w:sz w:val="22"/>
            </w:rPr>
          </w:pPr>
          <w:hyperlink w:anchor="_Toc411871205" w:history="1">
            <w:r w:rsidR="000F2964" w:rsidRPr="008D5E71">
              <w:rPr>
                <w:rStyle w:val="Hyperlink"/>
                <w:rFonts w:ascii="Arial Negrito" w:hAnsi="Arial Negrito"/>
              </w:rPr>
              <w:t>6.4.4.4.</w:t>
            </w:r>
            <w:r w:rsidR="000F2964">
              <w:rPr>
                <w:rFonts w:asciiTheme="minorHAnsi" w:hAnsiTheme="minorHAnsi"/>
                <w:sz w:val="22"/>
              </w:rPr>
              <w:tab/>
            </w:r>
            <w:r w:rsidR="000F2964" w:rsidRPr="008D5E71">
              <w:rPr>
                <w:rStyle w:val="Hyperlink"/>
              </w:rPr>
              <w:t>Herpetofauna</w:t>
            </w:r>
            <w:r w:rsidR="000F2964">
              <w:rPr>
                <w:webHidden/>
              </w:rPr>
              <w:tab/>
            </w:r>
            <w:r w:rsidR="000F2964">
              <w:rPr>
                <w:webHidden/>
              </w:rPr>
              <w:fldChar w:fldCharType="begin"/>
            </w:r>
            <w:r w:rsidR="000F2964">
              <w:rPr>
                <w:webHidden/>
              </w:rPr>
              <w:instrText xml:space="preserve"> PAGEREF _Toc411871205 \h </w:instrText>
            </w:r>
            <w:r w:rsidR="000F2964">
              <w:rPr>
                <w:webHidden/>
              </w:rPr>
            </w:r>
            <w:r w:rsidR="000F2964">
              <w:rPr>
                <w:webHidden/>
              </w:rPr>
              <w:fldChar w:fldCharType="separate"/>
            </w:r>
            <w:r w:rsidR="000F2964">
              <w:rPr>
                <w:webHidden/>
              </w:rPr>
              <w:t>50</w:t>
            </w:r>
            <w:r w:rsidR="000F2964">
              <w:rPr>
                <w:webHidden/>
              </w:rPr>
              <w:fldChar w:fldCharType="end"/>
            </w:r>
          </w:hyperlink>
        </w:p>
        <w:p w:rsidR="000F2964" w:rsidRDefault="00797FA7">
          <w:pPr>
            <w:pStyle w:val="Sumrio4"/>
            <w:rPr>
              <w:rFonts w:asciiTheme="minorHAnsi" w:hAnsiTheme="minorHAnsi"/>
              <w:sz w:val="22"/>
            </w:rPr>
          </w:pPr>
          <w:hyperlink w:anchor="_Toc411871206" w:history="1">
            <w:r w:rsidR="000F2964" w:rsidRPr="008D5E71">
              <w:rPr>
                <w:rStyle w:val="Hyperlink"/>
                <w:rFonts w:ascii="Arial Negrito" w:hAnsi="Arial Negrito"/>
              </w:rPr>
              <w:t>6.4.4.5.</w:t>
            </w:r>
            <w:r w:rsidR="000F2964">
              <w:rPr>
                <w:rFonts w:asciiTheme="minorHAnsi" w:hAnsiTheme="minorHAnsi"/>
                <w:sz w:val="22"/>
              </w:rPr>
              <w:tab/>
            </w:r>
            <w:r w:rsidR="000F2964" w:rsidRPr="008D5E71">
              <w:rPr>
                <w:rStyle w:val="Hyperlink"/>
              </w:rPr>
              <w:t>Mastofauna</w:t>
            </w:r>
            <w:r w:rsidR="000F2964">
              <w:rPr>
                <w:webHidden/>
              </w:rPr>
              <w:tab/>
            </w:r>
            <w:r w:rsidR="000F2964">
              <w:rPr>
                <w:webHidden/>
              </w:rPr>
              <w:fldChar w:fldCharType="begin"/>
            </w:r>
            <w:r w:rsidR="000F2964">
              <w:rPr>
                <w:webHidden/>
              </w:rPr>
              <w:instrText xml:space="preserve"> PAGEREF _Toc411871206 \h </w:instrText>
            </w:r>
            <w:r w:rsidR="000F2964">
              <w:rPr>
                <w:webHidden/>
              </w:rPr>
            </w:r>
            <w:r w:rsidR="000F2964">
              <w:rPr>
                <w:webHidden/>
              </w:rPr>
              <w:fldChar w:fldCharType="separate"/>
            </w:r>
            <w:r w:rsidR="000F2964">
              <w:rPr>
                <w:webHidden/>
              </w:rPr>
              <w:t>60</w:t>
            </w:r>
            <w:r w:rsidR="000F2964">
              <w:rPr>
                <w:webHidden/>
              </w:rPr>
              <w:fldChar w:fldCharType="end"/>
            </w:r>
          </w:hyperlink>
        </w:p>
        <w:p w:rsidR="000F2964" w:rsidRDefault="00797FA7">
          <w:pPr>
            <w:pStyle w:val="Sumrio4"/>
            <w:rPr>
              <w:rFonts w:asciiTheme="minorHAnsi" w:hAnsiTheme="minorHAnsi"/>
              <w:sz w:val="22"/>
            </w:rPr>
          </w:pPr>
          <w:hyperlink w:anchor="_Toc411871207" w:history="1">
            <w:r w:rsidR="000F2964" w:rsidRPr="008D5E71">
              <w:rPr>
                <w:rStyle w:val="Hyperlink"/>
                <w:rFonts w:ascii="Arial Negrito" w:hAnsi="Arial Negrito"/>
              </w:rPr>
              <w:t>6.4.4.6.</w:t>
            </w:r>
            <w:r w:rsidR="000F2964">
              <w:rPr>
                <w:rFonts w:asciiTheme="minorHAnsi" w:hAnsiTheme="minorHAnsi"/>
                <w:sz w:val="22"/>
              </w:rPr>
              <w:tab/>
            </w:r>
            <w:r w:rsidR="000F2964" w:rsidRPr="008D5E71">
              <w:rPr>
                <w:rStyle w:val="Hyperlink"/>
              </w:rPr>
              <w:t>Considerações Finais</w:t>
            </w:r>
            <w:r w:rsidR="000F2964">
              <w:rPr>
                <w:webHidden/>
              </w:rPr>
              <w:tab/>
            </w:r>
            <w:r w:rsidR="000F2964">
              <w:rPr>
                <w:webHidden/>
              </w:rPr>
              <w:fldChar w:fldCharType="begin"/>
            </w:r>
            <w:r w:rsidR="000F2964">
              <w:rPr>
                <w:webHidden/>
              </w:rPr>
              <w:instrText xml:space="preserve"> PAGEREF _Toc411871207 \h </w:instrText>
            </w:r>
            <w:r w:rsidR="000F2964">
              <w:rPr>
                <w:webHidden/>
              </w:rPr>
            </w:r>
            <w:r w:rsidR="000F2964">
              <w:rPr>
                <w:webHidden/>
              </w:rPr>
              <w:fldChar w:fldCharType="separate"/>
            </w:r>
            <w:r w:rsidR="000F2964">
              <w:rPr>
                <w:webHidden/>
              </w:rPr>
              <w:t>76</w:t>
            </w:r>
            <w:r w:rsidR="000F2964">
              <w:rPr>
                <w:webHidden/>
              </w:rPr>
              <w:fldChar w:fldCharType="end"/>
            </w:r>
          </w:hyperlink>
        </w:p>
        <w:p w:rsidR="000F2964" w:rsidRDefault="00797FA7">
          <w:pPr>
            <w:pStyle w:val="Sumrio3"/>
            <w:rPr>
              <w:rFonts w:asciiTheme="minorHAnsi" w:eastAsiaTheme="minorEastAsia" w:hAnsiTheme="minorHAnsi"/>
              <w:sz w:val="22"/>
              <w:lang w:eastAsia="pt-BR"/>
            </w:rPr>
          </w:pPr>
          <w:hyperlink w:anchor="_Toc411871208" w:history="1">
            <w:r w:rsidR="000F2964" w:rsidRPr="008D5E71">
              <w:rPr>
                <w:rStyle w:val="Hyperlink"/>
                <w:rFonts w:ascii="Arial Negrito" w:hAnsi="Arial Negrito"/>
              </w:rPr>
              <w:t>6.4.5.</w:t>
            </w:r>
            <w:r w:rsidR="000F2964">
              <w:rPr>
                <w:rFonts w:asciiTheme="minorHAnsi" w:eastAsiaTheme="minorEastAsia" w:hAnsiTheme="minorHAnsi"/>
                <w:sz w:val="22"/>
                <w:lang w:eastAsia="pt-BR"/>
              </w:rPr>
              <w:tab/>
            </w:r>
            <w:r w:rsidR="000F2964" w:rsidRPr="008D5E71">
              <w:rPr>
                <w:rStyle w:val="Hyperlink"/>
              </w:rPr>
              <w:t>Biota Aquática</w:t>
            </w:r>
            <w:r w:rsidR="000F2964">
              <w:rPr>
                <w:webHidden/>
              </w:rPr>
              <w:tab/>
            </w:r>
            <w:r w:rsidR="000F2964">
              <w:rPr>
                <w:webHidden/>
              </w:rPr>
              <w:fldChar w:fldCharType="begin"/>
            </w:r>
            <w:r w:rsidR="000F2964">
              <w:rPr>
                <w:webHidden/>
              </w:rPr>
              <w:instrText xml:space="preserve"> PAGEREF _Toc411871208 \h </w:instrText>
            </w:r>
            <w:r w:rsidR="000F2964">
              <w:rPr>
                <w:webHidden/>
              </w:rPr>
            </w:r>
            <w:r w:rsidR="000F2964">
              <w:rPr>
                <w:webHidden/>
              </w:rPr>
              <w:fldChar w:fldCharType="separate"/>
            </w:r>
            <w:r w:rsidR="000F2964">
              <w:rPr>
                <w:webHidden/>
              </w:rPr>
              <w:t>78</w:t>
            </w:r>
            <w:r w:rsidR="000F2964">
              <w:rPr>
                <w:webHidden/>
              </w:rPr>
              <w:fldChar w:fldCharType="end"/>
            </w:r>
          </w:hyperlink>
        </w:p>
        <w:p w:rsidR="000F2964" w:rsidRDefault="00797FA7">
          <w:pPr>
            <w:pStyle w:val="Sumrio4"/>
            <w:rPr>
              <w:rFonts w:asciiTheme="minorHAnsi" w:hAnsiTheme="minorHAnsi"/>
              <w:sz w:val="22"/>
            </w:rPr>
          </w:pPr>
          <w:hyperlink w:anchor="_Toc411871209" w:history="1">
            <w:r w:rsidR="000F2964" w:rsidRPr="008D5E71">
              <w:rPr>
                <w:rStyle w:val="Hyperlink"/>
                <w:rFonts w:ascii="Arial Negrito" w:hAnsi="Arial Negrito"/>
              </w:rPr>
              <w:t>6.4.5.1.</w:t>
            </w:r>
            <w:r w:rsidR="000F2964">
              <w:rPr>
                <w:rFonts w:asciiTheme="minorHAnsi" w:hAnsiTheme="minorHAnsi"/>
                <w:sz w:val="22"/>
              </w:rPr>
              <w:tab/>
            </w:r>
            <w:r w:rsidR="000F2964" w:rsidRPr="008D5E71">
              <w:rPr>
                <w:rStyle w:val="Hyperlink"/>
              </w:rPr>
              <w:t>Índices de Qualidade para Biota Aquática</w:t>
            </w:r>
            <w:r w:rsidR="000F2964">
              <w:rPr>
                <w:webHidden/>
              </w:rPr>
              <w:tab/>
            </w:r>
            <w:r w:rsidR="000F2964">
              <w:rPr>
                <w:webHidden/>
              </w:rPr>
              <w:fldChar w:fldCharType="begin"/>
            </w:r>
            <w:r w:rsidR="000F2964">
              <w:rPr>
                <w:webHidden/>
              </w:rPr>
              <w:instrText xml:space="preserve"> PAGEREF _Toc411871209 \h </w:instrText>
            </w:r>
            <w:r w:rsidR="000F2964">
              <w:rPr>
                <w:webHidden/>
              </w:rPr>
            </w:r>
            <w:r w:rsidR="000F2964">
              <w:rPr>
                <w:webHidden/>
              </w:rPr>
              <w:fldChar w:fldCharType="separate"/>
            </w:r>
            <w:r w:rsidR="000F2964">
              <w:rPr>
                <w:webHidden/>
              </w:rPr>
              <w:t>78</w:t>
            </w:r>
            <w:r w:rsidR="000F2964">
              <w:rPr>
                <w:webHidden/>
              </w:rPr>
              <w:fldChar w:fldCharType="end"/>
            </w:r>
          </w:hyperlink>
        </w:p>
        <w:p w:rsidR="000F2964" w:rsidRDefault="00797FA7">
          <w:pPr>
            <w:pStyle w:val="Sumrio4"/>
            <w:rPr>
              <w:rFonts w:asciiTheme="minorHAnsi" w:hAnsiTheme="minorHAnsi"/>
              <w:sz w:val="22"/>
            </w:rPr>
          </w:pPr>
          <w:hyperlink w:anchor="_Toc411871210" w:history="1">
            <w:r w:rsidR="000F2964" w:rsidRPr="008D5E71">
              <w:rPr>
                <w:rStyle w:val="Hyperlink"/>
                <w:rFonts w:ascii="Arial Negrito" w:hAnsi="Arial Negrito"/>
              </w:rPr>
              <w:t>6.4.5.2.</w:t>
            </w:r>
            <w:r w:rsidR="000F2964">
              <w:rPr>
                <w:rFonts w:asciiTheme="minorHAnsi" w:hAnsiTheme="minorHAnsi"/>
                <w:sz w:val="22"/>
              </w:rPr>
              <w:tab/>
            </w:r>
            <w:r w:rsidR="000F2964" w:rsidRPr="008D5E71">
              <w:rPr>
                <w:rStyle w:val="Hyperlink"/>
              </w:rPr>
              <w:t>Informações Limnológicas do Sistema Cantareira</w:t>
            </w:r>
            <w:r w:rsidR="000F2964">
              <w:rPr>
                <w:webHidden/>
              </w:rPr>
              <w:tab/>
            </w:r>
            <w:r w:rsidR="000F2964">
              <w:rPr>
                <w:webHidden/>
              </w:rPr>
              <w:fldChar w:fldCharType="begin"/>
            </w:r>
            <w:r w:rsidR="000F2964">
              <w:rPr>
                <w:webHidden/>
              </w:rPr>
              <w:instrText xml:space="preserve"> PAGEREF _Toc411871210 \h </w:instrText>
            </w:r>
            <w:r w:rsidR="000F2964">
              <w:rPr>
                <w:webHidden/>
              </w:rPr>
            </w:r>
            <w:r w:rsidR="000F2964">
              <w:rPr>
                <w:webHidden/>
              </w:rPr>
              <w:fldChar w:fldCharType="separate"/>
            </w:r>
            <w:r w:rsidR="000F2964">
              <w:rPr>
                <w:webHidden/>
              </w:rPr>
              <w:t>81</w:t>
            </w:r>
            <w:r w:rsidR="000F2964">
              <w:rPr>
                <w:webHidden/>
              </w:rPr>
              <w:fldChar w:fldCharType="end"/>
            </w:r>
          </w:hyperlink>
        </w:p>
        <w:p w:rsidR="000F2964" w:rsidRDefault="00797FA7">
          <w:pPr>
            <w:pStyle w:val="Sumrio4"/>
            <w:rPr>
              <w:rFonts w:asciiTheme="minorHAnsi" w:hAnsiTheme="minorHAnsi"/>
              <w:sz w:val="22"/>
            </w:rPr>
          </w:pPr>
          <w:hyperlink w:anchor="_Toc411871211" w:history="1">
            <w:r w:rsidR="000F2964" w:rsidRPr="008D5E71">
              <w:rPr>
                <w:rStyle w:val="Hyperlink"/>
                <w:rFonts w:ascii="Arial Negrito" w:hAnsi="Arial Negrito"/>
              </w:rPr>
              <w:t>6.4.5.3.</w:t>
            </w:r>
            <w:r w:rsidR="000F2964">
              <w:rPr>
                <w:rFonts w:asciiTheme="minorHAnsi" w:hAnsiTheme="minorHAnsi"/>
                <w:sz w:val="22"/>
              </w:rPr>
              <w:tab/>
            </w:r>
            <w:r w:rsidR="000F2964" w:rsidRPr="008D5E71">
              <w:rPr>
                <w:rStyle w:val="Hyperlink"/>
              </w:rPr>
              <w:t>Informações Limnológicas do Rio Paraíba do Sul</w:t>
            </w:r>
            <w:r w:rsidR="000F2964">
              <w:rPr>
                <w:webHidden/>
              </w:rPr>
              <w:tab/>
            </w:r>
            <w:r w:rsidR="000F2964">
              <w:rPr>
                <w:webHidden/>
              </w:rPr>
              <w:fldChar w:fldCharType="begin"/>
            </w:r>
            <w:r w:rsidR="000F2964">
              <w:rPr>
                <w:webHidden/>
              </w:rPr>
              <w:instrText xml:space="preserve"> PAGEREF _Toc411871211 \h </w:instrText>
            </w:r>
            <w:r w:rsidR="000F2964">
              <w:rPr>
                <w:webHidden/>
              </w:rPr>
            </w:r>
            <w:r w:rsidR="000F2964">
              <w:rPr>
                <w:webHidden/>
              </w:rPr>
              <w:fldChar w:fldCharType="separate"/>
            </w:r>
            <w:r w:rsidR="000F2964">
              <w:rPr>
                <w:webHidden/>
              </w:rPr>
              <w:t>86</w:t>
            </w:r>
            <w:r w:rsidR="000F2964">
              <w:rPr>
                <w:webHidden/>
              </w:rPr>
              <w:fldChar w:fldCharType="end"/>
            </w:r>
          </w:hyperlink>
        </w:p>
        <w:p w:rsidR="000F2964" w:rsidRDefault="00797FA7">
          <w:pPr>
            <w:pStyle w:val="Sumrio4"/>
            <w:rPr>
              <w:rFonts w:asciiTheme="minorHAnsi" w:hAnsiTheme="minorHAnsi"/>
              <w:sz w:val="22"/>
            </w:rPr>
          </w:pPr>
          <w:hyperlink w:anchor="_Toc411871212" w:history="1">
            <w:r w:rsidR="000F2964" w:rsidRPr="008D5E71">
              <w:rPr>
                <w:rStyle w:val="Hyperlink"/>
                <w:rFonts w:ascii="Arial Negrito" w:hAnsi="Arial Negrito"/>
              </w:rPr>
              <w:t>6.4.5.4.</w:t>
            </w:r>
            <w:r w:rsidR="000F2964">
              <w:rPr>
                <w:rFonts w:asciiTheme="minorHAnsi" w:hAnsiTheme="minorHAnsi"/>
                <w:sz w:val="22"/>
              </w:rPr>
              <w:tab/>
            </w:r>
            <w:r w:rsidR="000F2964" w:rsidRPr="008D5E71">
              <w:rPr>
                <w:rStyle w:val="Hyperlink"/>
              </w:rPr>
              <w:t>Campanha de Limnologia nos Reservatórios Jaguari e Atibainha</w:t>
            </w:r>
            <w:r w:rsidR="000F2964">
              <w:rPr>
                <w:webHidden/>
              </w:rPr>
              <w:tab/>
            </w:r>
            <w:r w:rsidR="000F2964">
              <w:rPr>
                <w:webHidden/>
              </w:rPr>
              <w:fldChar w:fldCharType="begin"/>
            </w:r>
            <w:r w:rsidR="000F2964">
              <w:rPr>
                <w:webHidden/>
              </w:rPr>
              <w:instrText xml:space="preserve"> PAGEREF _Toc411871212 \h </w:instrText>
            </w:r>
            <w:r w:rsidR="000F2964">
              <w:rPr>
                <w:webHidden/>
              </w:rPr>
            </w:r>
            <w:r w:rsidR="000F2964">
              <w:rPr>
                <w:webHidden/>
              </w:rPr>
              <w:fldChar w:fldCharType="separate"/>
            </w:r>
            <w:r w:rsidR="000F2964">
              <w:rPr>
                <w:webHidden/>
              </w:rPr>
              <w:t>90</w:t>
            </w:r>
            <w:r w:rsidR="000F2964">
              <w:rPr>
                <w:webHidden/>
              </w:rPr>
              <w:fldChar w:fldCharType="end"/>
            </w:r>
          </w:hyperlink>
        </w:p>
        <w:p w:rsidR="000F2964" w:rsidRDefault="00797FA7">
          <w:pPr>
            <w:pStyle w:val="Sumrio4"/>
            <w:rPr>
              <w:rFonts w:asciiTheme="minorHAnsi" w:hAnsiTheme="minorHAnsi"/>
              <w:sz w:val="22"/>
            </w:rPr>
          </w:pPr>
          <w:hyperlink w:anchor="_Toc411871213" w:history="1">
            <w:r w:rsidR="000F2964" w:rsidRPr="008D5E71">
              <w:rPr>
                <w:rStyle w:val="Hyperlink"/>
                <w:rFonts w:ascii="Arial Negrito" w:hAnsi="Arial Negrito"/>
              </w:rPr>
              <w:t>6.4.5.5.</w:t>
            </w:r>
            <w:r w:rsidR="000F2964">
              <w:rPr>
                <w:rFonts w:asciiTheme="minorHAnsi" w:hAnsiTheme="minorHAnsi"/>
                <w:sz w:val="22"/>
              </w:rPr>
              <w:tab/>
            </w:r>
            <w:r w:rsidR="000F2964" w:rsidRPr="008D5E71">
              <w:rPr>
                <w:rStyle w:val="Hyperlink"/>
              </w:rPr>
              <w:t>Ictiofauna. Campanha nos reservatórios Jaguari e Atibainha</w:t>
            </w:r>
            <w:r w:rsidR="000F2964">
              <w:rPr>
                <w:webHidden/>
              </w:rPr>
              <w:tab/>
            </w:r>
            <w:r w:rsidR="000F2964">
              <w:rPr>
                <w:webHidden/>
              </w:rPr>
              <w:fldChar w:fldCharType="begin"/>
            </w:r>
            <w:r w:rsidR="000F2964">
              <w:rPr>
                <w:webHidden/>
              </w:rPr>
              <w:instrText xml:space="preserve"> PAGEREF _Toc411871213 \h </w:instrText>
            </w:r>
            <w:r w:rsidR="000F2964">
              <w:rPr>
                <w:webHidden/>
              </w:rPr>
            </w:r>
            <w:r w:rsidR="000F2964">
              <w:rPr>
                <w:webHidden/>
              </w:rPr>
              <w:fldChar w:fldCharType="separate"/>
            </w:r>
            <w:r w:rsidR="000F2964">
              <w:rPr>
                <w:webHidden/>
              </w:rPr>
              <w:t>104</w:t>
            </w:r>
            <w:r w:rsidR="000F2964">
              <w:rPr>
                <w:webHidden/>
              </w:rPr>
              <w:fldChar w:fldCharType="end"/>
            </w:r>
          </w:hyperlink>
        </w:p>
        <w:p w:rsidR="000F2964" w:rsidRDefault="00797FA7">
          <w:pPr>
            <w:pStyle w:val="Sumrio4"/>
            <w:rPr>
              <w:rFonts w:asciiTheme="minorHAnsi" w:hAnsiTheme="minorHAnsi"/>
              <w:sz w:val="22"/>
            </w:rPr>
          </w:pPr>
          <w:hyperlink w:anchor="_Toc411871214" w:history="1">
            <w:r w:rsidR="000F2964" w:rsidRPr="008D5E71">
              <w:rPr>
                <w:rStyle w:val="Hyperlink"/>
                <w:rFonts w:ascii="Arial Negrito" w:hAnsi="Arial Negrito"/>
              </w:rPr>
              <w:t>6.4.5.6.</w:t>
            </w:r>
            <w:r w:rsidR="000F2964">
              <w:rPr>
                <w:rFonts w:asciiTheme="minorHAnsi" w:hAnsiTheme="minorHAnsi"/>
                <w:sz w:val="22"/>
              </w:rPr>
              <w:tab/>
            </w:r>
            <w:r w:rsidR="000F2964" w:rsidRPr="008D5E71">
              <w:rPr>
                <w:rStyle w:val="Hyperlink"/>
              </w:rPr>
              <w:t>Comunidades Bentônicas</w:t>
            </w:r>
            <w:r w:rsidR="000F2964">
              <w:rPr>
                <w:webHidden/>
              </w:rPr>
              <w:tab/>
            </w:r>
            <w:r w:rsidR="000F2964">
              <w:rPr>
                <w:webHidden/>
              </w:rPr>
              <w:fldChar w:fldCharType="begin"/>
            </w:r>
            <w:r w:rsidR="000F2964">
              <w:rPr>
                <w:webHidden/>
              </w:rPr>
              <w:instrText xml:space="preserve"> PAGEREF _Toc411871214 \h </w:instrText>
            </w:r>
            <w:r w:rsidR="000F2964">
              <w:rPr>
                <w:webHidden/>
              </w:rPr>
            </w:r>
            <w:r w:rsidR="000F2964">
              <w:rPr>
                <w:webHidden/>
              </w:rPr>
              <w:fldChar w:fldCharType="separate"/>
            </w:r>
            <w:r w:rsidR="000F2964">
              <w:rPr>
                <w:webHidden/>
              </w:rPr>
              <w:t>114</w:t>
            </w:r>
            <w:r w:rsidR="000F2964">
              <w:rPr>
                <w:webHidden/>
              </w:rPr>
              <w:fldChar w:fldCharType="end"/>
            </w:r>
          </w:hyperlink>
        </w:p>
        <w:p w:rsidR="000F2964" w:rsidRDefault="00797FA7">
          <w:pPr>
            <w:pStyle w:val="Sumrio4"/>
            <w:rPr>
              <w:rFonts w:asciiTheme="minorHAnsi" w:hAnsiTheme="minorHAnsi"/>
              <w:sz w:val="22"/>
            </w:rPr>
          </w:pPr>
          <w:hyperlink w:anchor="_Toc411871215" w:history="1">
            <w:r w:rsidR="000F2964" w:rsidRPr="008D5E71">
              <w:rPr>
                <w:rStyle w:val="Hyperlink"/>
                <w:rFonts w:ascii="Arial Negrito" w:hAnsi="Arial Negrito"/>
              </w:rPr>
              <w:t>6.4.5.7.</w:t>
            </w:r>
            <w:r w:rsidR="000F2964">
              <w:rPr>
                <w:rFonts w:asciiTheme="minorHAnsi" w:hAnsiTheme="minorHAnsi"/>
                <w:sz w:val="22"/>
              </w:rPr>
              <w:tab/>
            </w:r>
            <w:r w:rsidR="000F2964" w:rsidRPr="008D5E71">
              <w:rPr>
                <w:rStyle w:val="Hyperlink"/>
              </w:rPr>
              <w:t>Considerações sobre a Transferência de Organismos entre Bacias</w:t>
            </w:r>
            <w:r w:rsidR="000F2964">
              <w:rPr>
                <w:webHidden/>
              </w:rPr>
              <w:tab/>
            </w:r>
            <w:r w:rsidR="000F2964">
              <w:rPr>
                <w:webHidden/>
              </w:rPr>
              <w:fldChar w:fldCharType="begin"/>
            </w:r>
            <w:r w:rsidR="000F2964">
              <w:rPr>
                <w:webHidden/>
              </w:rPr>
              <w:instrText xml:space="preserve"> PAGEREF _Toc411871215 \h </w:instrText>
            </w:r>
            <w:r w:rsidR="000F2964">
              <w:rPr>
                <w:webHidden/>
              </w:rPr>
            </w:r>
            <w:r w:rsidR="000F2964">
              <w:rPr>
                <w:webHidden/>
              </w:rPr>
              <w:fldChar w:fldCharType="separate"/>
            </w:r>
            <w:r w:rsidR="000F2964">
              <w:rPr>
                <w:webHidden/>
              </w:rPr>
              <w:t>124</w:t>
            </w:r>
            <w:r w:rsidR="000F2964">
              <w:rPr>
                <w:webHidden/>
              </w:rPr>
              <w:fldChar w:fldCharType="end"/>
            </w:r>
          </w:hyperlink>
        </w:p>
        <w:p w:rsidR="000F2964" w:rsidRDefault="00797FA7">
          <w:pPr>
            <w:pStyle w:val="Sumrio3"/>
            <w:rPr>
              <w:rFonts w:asciiTheme="minorHAnsi" w:eastAsiaTheme="minorEastAsia" w:hAnsiTheme="minorHAnsi"/>
              <w:sz w:val="22"/>
              <w:lang w:eastAsia="pt-BR"/>
            </w:rPr>
          </w:pPr>
          <w:hyperlink w:anchor="_Toc411871216" w:history="1">
            <w:r w:rsidR="000F2964" w:rsidRPr="008D5E71">
              <w:rPr>
                <w:rStyle w:val="Hyperlink"/>
                <w:rFonts w:ascii="Arial Negrito" w:hAnsi="Arial Negrito"/>
              </w:rPr>
              <w:t>6.4.6.</w:t>
            </w:r>
            <w:r w:rsidR="000F2964">
              <w:rPr>
                <w:rFonts w:asciiTheme="minorHAnsi" w:eastAsiaTheme="minorEastAsia" w:hAnsiTheme="minorHAnsi"/>
                <w:sz w:val="22"/>
                <w:lang w:eastAsia="pt-BR"/>
              </w:rPr>
              <w:tab/>
            </w:r>
            <w:r w:rsidR="000F2964" w:rsidRPr="008D5E71">
              <w:rPr>
                <w:rStyle w:val="Hyperlink"/>
              </w:rPr>
              <w:t>Áreas Naturais Protegidas</w:t>
            </w:r>
            <w:r w:rsidR="000F2964">
              <w:rPr>
                <w:webHidden/>
              </w:rPr>
              <w:tab/>
            </w:r>
            <w:r w:rsidR="000F2964">
              <w:rPr>
                <w:webHidden/>
              </w:rPr>
              <w:fldChar w:fldCharType="begin"/>
            </w:r>
            <w:r w:rsidR="000F2964">
              <w:rPr>
                <w:webHidden/>
              </w:rPr>
              <w:instrText xml:space="preserve"> PAGEREF _Toc411871216 \h </w:instrText>
            </w:r>
            <w:r w:rsidR="000F2964">
              <w:rPr>
                <w:webHidden/>
              </w:rPr>
            </w:r>
            <w:r w:rsidR="000F2964">
              <w:rPr>
                <w:webHidden/>
              </w:rPr>
              <w:fldChar w:fldCharType="separate"/>
            </w:r>
            <w:r w:rsidR="000F2964">
              <w:rPr>
                <w:webHidden/>
              </w:rPr>
              <w:t>130</w:t>
            </w:r>
            <w:r w:rsidR="000F2964">
              <w:rPr>
                <w:webHidden/>
              </w:rPr>
              <w:fldChar w:fldCharType="end"/>
            </w:r>
          </w:hyperlink>
        </w:p>
        <w:p w:rsidR="000F2964" w:rsidRDefault="00797FA7">
          <w:pPr>
            <w:pStyle w:val="Sumrio4"/>
            <w:rPr>
              <w:rFonts w:asciiTheme="minorHAnsi" w:hAnsiTheme="minorHAnsi"/>
              <w:sz w:val="22"/>
            </w:rPr>
          </w:pPr>
          <w:hyperlink w:anchor="_Toc411871217" w:history="1">
            <w:r w:rsidR="000F2964" w:rsidRPr="008D5E71">
              <w:rPr>
                <w:rStyle w:val="Hyperlink"/>
                <w:rFonts w:ascii="Arial Negrito" w:hAnsi="Arial Negrito"/>
              </w:rPr>
              <w:t>6.4.6.1.</w:t>
            </w:r>
            <w:r w:rsidR="000F2964">
              <w:rPr>
                <w:rFonts w:asciiTheme="minorHAnsi" w:hAnsiTheme="minorHAnsi"/>
                <w:sz w:val="22"/>
              </w:rPr>
              <w:tab/>
            </w:r>
            <w:r w:rsidR="000F2964" w:rsidRPr="008D5E71">
              <w:rPr>
                <w:rStyle w:val="Hyperlink"/>
              </w:rPr>
              <w:t>Reservas da Biosfera – Unesco</w:t>
            </w:r>
            <w:r w:rsidR="000F2964">
              <w:rPr>
                <w:webHidden/>
              </w:rPr>
              <w:tab/>
            </w:r>
            <w:r w:rsidR="000F2964">
              <w:rPr>
                <w:webHidden/>
              </w:rPr>
              <w:fldChar w:fldCharType="begin"/>
            </w:r>
            <w:r w:rsidR="000F2964">
              <w:rPr>
                <w:webHidden/>
              </w:rPr>
              <w:instrText xml:space="preserve"> PAGEREF _Toc411871217 \h </w:instrText>
            </w:r>
            <w:r w:rsidR="000F2964">
              <w:rPr>
                <w:webHidden/>
              </w:rPr>
            </w:r>
            <w:r w:rsidR="000F2964">
              <w:rPr>
                <w:webHidden/>
              </w:rPr>
              <w:fldChar w:fldCharType="separate"/>
            </w:r>
            <w:r w:rsidR="000F2964">
              <w:rPr>
                <w:webHidden/>
              </w:rPr>
              <w:t>130</w:t>
            </w:r>
            <w:r w:rsidR="000F2964">
              <w:rPr>
                <w:webHidden/>
              </w:rPr>
              <w:fldChar w:fldCharType="end"/>
            </w:r>
          </w:hyperlink>
        </w:p>
        <w:p w:rsidR="000F2964" w:rsidRDefault="00797FA7">
          <w:pPr>
            <w:pStyle w:val="Sumrio4"/>
            <w:rPr>
              <w:rFonts w:asciiTheme="minorHAnsi" w:hAnsiTheme="minorHAnsi"/>
              <w:sz w:val="22"/>
            </w:rPr>
          </w:pPr>
          <w:hyperlink w:anchor="_Toc411871218" w:history="1">
            <w:r w:rsidR="000F2964" w:rsidRPr="008D5E71">
              <w:rPr>
                <w:rStyle w:val="Hyperlink"/>
                <w:rFonts w:ascii="Arial Negrito" w:hAnsi="Arial Negrito"/>
              </w:rPr>
              <w:t>6.4.6.2.</w:t>
            </w:r>
            <w:r w:rsidR="000F2964">
              <w:rPr>
                <w:rFonts w:asciiTheme="minorHAnsi" w:hAnsiTheme="minorHAnsi"/>
                <w:sz w:val="22"/>
              </w:rPr>
              <w:tab/>
            </w:r>
            <w:r w:rsidR="000F2964" w:rsidRPr="008D5E71">
              <w:rPr>
                <w:rStyle w:val="Hyperlink"/>
              </w:rPr>
              <w:t>Unidades de Conservação do SNUC</w:t>
            </w:r>
            <w:r w:rsidR="000F2964">
              <w:rPr>
                <w:webHidden/>
              </w:rPr>
              <w:tab/>
            </w:r>
            <w:r w:rsidR="000F2964">
              <w:rPr>
                <w:webHidden/>
              </w:rPr>
              <w:fldChar w:fldCharType="begin"/>
            </w:r>
            <w:r w:rsidR="000F2964">
              <w:rPr>
                <w:webHidden/>
              </w:rPr>
              <w:instrText xml:space="preserve"> PAGEREF _Toc411871218 \h </w:instrText>
            </w:r>
            <w:r w:rsidR="000F2964">
              <w:rPr>
                <w:webHidden/>
              </w:rPr>
            </w:r>
            <w:r w:rsidR="000F2964">
              <w:rPr>
                <w:webHidden/>
              </w:rPr>
              <w:fldChar w:fldCharType="separate"/>
            </w:r>
            <w:r w:rsidR="000F2964">
              <w:rPr>
                <w:webHidden/>
              </w:rPr>
              <w:t>132</w:t>
            </w:r>
            <w:r w:rsidR="000F2964">
              <w:rPr>
                <w:webHidden/>
              </w:rPr>
              <w:fldChar w:fldCharType="end"/>
            </w:r>
          </w:hyperlink>
        </w:p>
        <w:p w:rsidR="000F2964" w:rsidRDefault="00797FA7">
          <w:pPr>
            <w:pStyle w:val="Sumrio4"/>
            <w:rPr>
              <w:rFonts w:asciiTheme="minorHAnsi" w:hAnsiTheme="minorHAnsi"/>
              <w:sz w:val="22"/>
            </w:rPr>
          </w:pPr>
          <w:hyperlink w:anchor="_Toc411871219" w:history="1">
            <w:r w:rsidR="000F2964" w:rsidRPr="008D5E71">
              <w:rPr>
                <w:rStyle w:val="Hyperlink"/>
                <w:rFonts w:ascii="Arial Negrito" w:hAnsi="Arial Negrito"/>
              </w:rPr>
              <w:t>6.4.6.3.</w:t>
            </w:r>
            <w:r w:rsidR="000F2964">
              <w:rPr>
                <w:rFonts w:asciiTheme="minorHAnsi" w:hAnsiTheme="minorHAnsi"/>
                <w:sz w:val="22"/>
              </w:rPr>
              <w:tab/>
            </w:r>
            <w:r w:rsidR="000F2964" w:rsidRPr="008D5E71">
              <w:rPr>
                <w:rStyle w:val="Hyperlink"/>
              </w:rPr>
              <w:t>Corredores Ecológicos e Áreas Prioritárias para Conservação e Conectividade</w:t>
            </w:r>
            <w:r w:rsidR="000F2964">
              <w:rPr>
                <w:webHidden/>
              </w:rPr>
              <w:tab/>
            </w:r>
            <w:r w:rsidR="000F2964">
              <w:rPr>
                <w:webHidden/>
              </w:rPr>
              <w:fldChar w:fldCharType="begin"/>
            </w:r>
            <w:r w:rsidR="000F2964">
              <w:rPr>
                <w:webHidden/>
              </w:rPr>
              <w:instrText xml:space="preserve"> PAGEREF _Toc411871219 \h </w:instrText>
            </w:r>
            <w:r w:rsidR="000F2964">
              <w:rPr>
                <w:webHidden/>
              </w:rPr>
            </w:r>
            <w:r w:rsidR="000F2964">
              <w:rPr>
                <w:webHidden/>
              </w:rPr>
              <w:fldChar w:fldCharType="separate"/>
            </w:r>
            <w:r w:rsidR="000F2964">
              <w:rPr>
                <w:webHidden/>
              </w:rPr>
              <w:t>142</w:t>
            </w:r>
            <w:r w:rsidR="000F2964">
              <w:rPr>
                <w:webHidden/>
              </w:rPr>
              <w:fldChar w:fldCharType="end"/>
            </w:r>
          </w:hyperlink>
        </w:p>
        <w:p w:rsidR="000F2964" w:rsidRDefault="00797FA7">
          <w:pPr>
            <w:pStyle w:val="Sumrio4"/>
            <w:rPr>
              <w:rFonts w:asciiTheme="minorHAnsi" w:hAnsiTheme="minorHAnsi"/>
              <w:sz w:val="22"/>
            </w:rPr>
          </w:pPr>
          <w:hyperlink w:anchor="_Toc411871220" w:history="1">
            <w:r w:rsidR="000F2964" w:rsidRPr="008D5E71">
              <w:rPr>
                <w:rStyle w:val="Hyperlink"/>
                <w:rFonts w:ascii="Arial Negrito" w:hAnsi="Arial Negrito"/>
              </w:rPr>
              <w:t>6.4.6.4.</w:t>
            </w:r>
            <w:r w:rsidR="000F2964">
              <w:rPr>
                <w:rFonts w:asciiTheme="minorHAnsi" w:hAnsiTheme="minorHAnsi"/>
                <w:sz w:val="22"/>
              </w:rPr>
              <w:tab/>
            </w:r>
            <w:r w:rsidR="000F2964" w:rsidRPr="008D5E71">
              <w:rPr>
                <w:rStyle w:val="Hyperlink"/>
              </w:rPr>
              <w:t>Interfaces com as Áreas de Proteção de Mananciais da RMSP</w:t>
            </w:r>
            <w:r w:rsidR="000F2964">
              <w:rPr>
                <w:webHidden/>
              </w:rPr>
              <w:tab/>
            </w:r>
            <w:r w:rsidR="000F2964">
              <w:rPr>
                <w:webHidden/>
              </w:rPr>
              <w:fldChar w:fldCharType="begin"/>
            </w:r>
            <w:r w:rsidR="000F2964">
              <w:rPr>
                <w:webHidden/>
              </w:rPr>
              <w:instrText xml:space="preserve"> PAGEREF _Toc411871220 \h </w:instrText>
            </w:r>
            <w:r w:rsidR="000F2964">
              <w:rPr>
                <w:webHidden/>
              </w:rPr>
            </w:r>
            <w:r w:rsidR="000F2964">
              <w:rPr>
                <w:webHidden/>
              </w:rPr>
              <w:fldChar w:fldCharType="separate"/>
            </w:r>
            <w:r w:rsidR="000F2964">
              <w:rPr>
                <w:webHidden/>
              </w:rPr>
              <w:t>145</w:t>
            </w:r>
            <w:r w:rsidR="000F2964">
              <w:rPr>
                <w:webHidden/>
              </w:rPr>
              <w:fldChar w:fldCharType="end"/>
            </w:r>
          </w:hyperlink>
        </w:p>
        <w:p w:rsidR="000F2964" w:rsidRDefault="00797FA7">
          <w:pPr>
            <w:pStyle w:val="Sumrio4"/>
            <w:rPr>
              <w:rFonts w:asciiTheme="minorHAnsi" w:hAnsiTheme="minorHAnsi"/>
              <w:sz w:val="22"/>
            </w:rPr>
          </w:pPr>
          <w:hyperlink w:anchor="_Toc411871221" w:history="1">
            <w:r w:rsidR="000F2964" w:rsidRPr="008D5E71">
              <w:rPr>
                <w:rStyle w:val="Hyperlink"/>
                <w:rFonts w:ascii="Arial Negrito" w:eastAsia="MS Mincho" w:hAnsi="Arial Negrito"/>
              </w:rPr>
              <w:t>6.4.6.5.</w:t>
            </w:r>
            <w:r w:rsidR="000F2964">
              <w:rPr>
                <w:rFonts w:asciiTheme="minorHAnsi" w:hAnsiTheme="minorHAnsi"/>
                <w:sz w:val="22"/>
              </w:rPr>
              <w:tab/>
            </w:r>
            <w:r w:rsidR="000F2964" w:rsidRPr="008D5E71">
              <w:rPr>
                <w:rStyle w:val="Hyperlink"/>
                <w:rFonts w:eastAsia="MS Mincho"/>
              </w:rPr>
              <w:t>Interface do Projeto com a APA Federal Mananciais do Paraíba do Sul</w:t>
            </w:r>
            <w:r w:rsidR="000F2964">
              <w:rPr>
                <w:webHidden/>
              </w:rPr>
              <w:tab/>
            </w:r>
            <w:r w:rsidR="000F2964">
              <w:rPr>
                <w:webHidden/>
              </w:rPr>
              <w:fldChar w:fldCharType="begin"/>
            </w:r>
            <w:r w:rsidR="000F2964">
              <w:rPr>
                <w:webHidden/>
              </w:rPr>
              <w:instrText xml:space="preserve"> PAGEREF _Toc411871221 \h </w:instrText>
            </w:r>
            <w:r w:rsidR="000F2964">
              <w:rPr>
                <w:webHidden/>
              </w:rPr>
            </w:r>
            <w:r w:rsidR="000F2964">
              <w:rPr>
                <w:webHidden/>
              </w:rPr>
              <w:fldChar w:fldCharType="separate"/>
            </w:r>
            <w:r w:rsidR="000F2964">
              <w:rPr>
                <w:webHidden/>
              </w:rPr>
              <w:t>152</w:t>
            </w:r>
            <w:r w:rsidR="000F2964">
              <w:rPr>
                <w:webHidden/>
              </w:rPr>
              <w:fldChar w:fldCharType="end"/>
            </w:r>
          </w:hyperlink>
        </w:p>
        <w:p w:rsidR="000F2964" w:rsidRDefault="00797FA7">
          <w:pPr>
            <w:pStyle w:val="Sumrio4"/>
            <w:rPr>
              <w:rFonts w:asciiTheme="minorHAnsi" w:hAnsiTheme="minorHAnsi"/>
              <w:sz w:val="22"/>
            </w:rPr>
          </w:pPr>
          <w:hyperlink w:anchor="_Toc411871222" w:history="1">
            <w:r w:rsidR="000F2964" w:rsidRPr="008D5E71">
              <w:rPr>
                <w:rStyle w:val="Hyperlink"/>
                <w:rFonts w:ascii="Arial Negrito" w:hAnsi="Arial Negrito"/>
              </w:rPr>
              <w:t>6.4.6.6.</w:t>
            </w:r>
            <w:r w:rsidR="000F2964">
              <w:rPr>
                <w:rFonts w:asciiTheme="minorHAnsi" w:hAnsiTheme="minorHAnsi"/>
                <w:sz w:val="22"/>
              </w:rPr>
              <w:tab/>
            </w:r>
            <w:r w:rsidR="000F2964" w:rsidRPr="008D5E71">
              <w:rPr>
                <w:rStyle w:val="Hyperlink"/>
                <w:rFonts w:eastAsia="MS Mincho"/>
              </w:rPr>
              <w:t>Interface do Projeto com</w:t>
            </w:r>
            <w:r w:rsidR="000F2964" w:rsidRPr="008D5E71">
              <w:rPr>
                <w:rStyle w:val="Hyperlink"/>
              </w:rPr>
              <w:t xml:space="preserve"> o Parque Estadual Itaberaba</w:t>
            </w:r>
            <w:r w:rsidR="000F2964">
              <w:rPr>
                <w:webHidden/>
              </w:rPr>
              <w:tab/>
            </w:r>
            <w:r w:rsidR="000F2964">
              <w:rPr>
                <w:webHidden/>
              </w:rPr>
              <w:fldChar w:fldCharType="begin"/>
            </w:r>
            <w:r w:rsidR="000F2964">
              <w:rPr>
                <w:webHidden/>
              </w:rPr>
              <w:instrText xml:space="preserve"> PAGEREF _Toc411871222 \h </w:instrText>
            </w:r>
            <w:r w:rsidR="000F2964">
              <w:rPr>
                <w:webHidden/>
              </w:rPr>
            </w:r>
            <w:r w:rsidR="000F2964">
              <w:rPr>
                <w:webHidden/>
              </w:rPr>
              <w:fldChar w:fldCharType="separate"/>
            </w:r>
            <w:r w:rsidR="000F2964">
              <w:rPr>
                <w:webHidden/>
              </w:rPr>
              <w:t>153</w:t>
            </w:r>
            <w:r w:rsidR="000F2964">
              <w:rPr>
                <w:webHidden/>
              </w:rPr>
              <w:fldChar w:fldCharType="end"/>
            </w:r>
          </w:hyperlink>
        </w:p>
        <w:p w:rsidR="000F2964" w:rsidRDefault="00797FA7">
          <w:pPr>
            <w:pStyle w:val="Sumrio4"/>
            <w:rPr>
              <w:rFonts w:asciiTheme="minorHAnsi" w:hAnsiTheme="minorHAnsi"/>
              <w:sz w:val="22"/>
            </w:rPr>
          </w:pPr>
          <w:hyperlink w:anchor="_Toc411871223" w:history="1">
            <w:r w:rsidR="000F2964" w:rsidRPr="008D5E71">
              <w:rPr>
                <w:rStyle w:val="Hyperlink"/>
                <w:rFonts w:ascii="Arial Negrito" w:eastAsia="MS Mincho" w:hAnsi="Arial Negrito" w:cs="Arial"/>
              </w:rPr>
              <w:t>6.4.6.7.</w:t>
            </w:r>
            <w:r w:rsidR="000F2964">
              <w:rPr>
                <w:rFonts w:asciiTheme="minorHAnsi" w:hAnsiTheme="minorHAnsi"/>
                <w:sz w:val="22"/>
              </w:rPr>
              <w:tab/>
            </w:r>
            <w:r w:rsidR="000F2964" w:rsidRPr="008D5E71">
              <w:rPr>
                <w:rStyle w:val="Hyperlink"/>
                <w:rFonts w:eastAsia="MS Mincho"/>
              </w:rPr>
              <w:t>Interface do Projeto com a</w:t>
            </w:r>
            <w:r w:rsidR="000F2964" w:rsidRPr="008D5E71">
              <w:rPr>
                <w:rStyle w:val="Hyperlink"/>
              </w:rPr>
              <w:t>s</w:t>
            </w:r>
            <w:r w:rsidR="000F2964" w:rsidRPr="008D5E71">
              <w:rPr>
                <w:rStyle w:val="Hyperlink"/>
                <w:rFonts w:eastAsia="MS Mincho"/>
              </w:rPr>
              <w:t xml:space="preserve"> APA</w:t>
            </w:r>
            <w:r w:rsidR="000F2964" w:rsidRPr="008D5E71">
              <w:rPr>
                <w:rStyle w:val="Hyperlink"/>
              </w:rPr>
              <w:t>s Piracantareira</w:t>
            </w:r>
            <w:r w:rsidR="000F2964">
              <w:rPr>
                <w:webHidden/>
              </w:rPr>
              <w:tab/>
            </w:r>
            <w:r w:rsidR="000F2964">
              <w:rPr>
                <w:webHidden/>
              </w:rPr>
              <w:fldChar w:fldCharType="begin"/>
            </w:r>
            <w:r w:rsidR="000F2964">
              <w:rPr>
                <w:webHidden/>
              </w:rPr>
              <w:instrText xml:space="preserve"> PAGEREF _Toc411871223 \h </w:instrText>
            </w:r>
            <w:r w:rsidR="000F2964">
              <w:rPr>
                <w:webHidden/>
              </w:rPr>
            </w:r>
            <w:r w:rsidR="000F2964">
              <w:rPr>
                <w:webHidden/>
              </w:rPr>
              <w:fldChar w:fldCharType="separate"/>
            </w:r>
            <w:r w:rsidR="000F2964">
              <w:rPr>
                <w:webHidden/>
              </w:rPr>
              <w:t>153</w:t>
            </w:r>
            <w:r w:rsidR="000F2964">
              <w:rPr>
                <w:webHidden/>
              </w:rPr>
              <w:fldChar w:fldCharType="end"/>
            </w:r>
          </w:hyperlink>
        </w:p>
        <w:p w:rsidR="00427B60" w:rsidRPr="0069310A" w:rsidRDefault="00B5232B">
          <w:r>
            <w:rPr>
              <w:b/>
            </w:rPr>
            <w:fldChar w:fldCharType="end"/>
          </w:r>
        </w:p>
      </w:sdtContent>
    </w:sdt>
    <w:p w:rsidR="004E4046" w:rsidRPr="0069310A" w:rsidRDefault="004E4046" w:rsidP="004E4046">
      <w:pPr>
        <w:rPr>
          <w:b/>
          <w:sz w:val="24"/>
          <w:szCs w:val="24"/>
        </w:rPr>
      </w:pPr>
    </w:p>
    <w:p w:rsidR="004E4046" w:rsidRDefault="00CC6BEB" w:rsidP="004E4046">
      <w:pPr>
        <w:rPr>
          <w:b/>
          <w:sz w:val="24"/>
          <w:szCs w:val="24"/>
        </w:rPr>
      </w:pPr>
      <w:r w:rsidRPr="00CC6BEB">
        <w:rPr>
          <w:b/>
          <w:sz w:val="24"/>
          <w:szCs w:val="24"/>
        </w:rPr>
        <w:lastRenderedPageBreak/>
        <w:t xml:space="preserve">Volume II </w:t>
      </w:r>
      <w:r w:rsidR="00326380">
        <w:rPr>
          <w:b/>
          <w:sz w:val="24"/>
          <w:szCs w:val="24"/>
        </w:rPr>
        <w:t>–</w:t>
      </w:r>
      <w:r w:rsidRPr="00CC6BEB">
        <w:rPr>
          <w:b/>
          <w:sz w:val="24"/>
          <w:szCs w:val="24"/>
        </w:rPr>
        <w:t xml:space="preserve"> Anexos</w:t>
      </w:r>
    </w:p>
    <w:p w:rsidR="00326380" w:rsidRPr="00CC6BEB" w:rsidRDefault="00326380" w:rsidP="004E4046">
      <w:pPr>
        <w:rPr>
          <w:b/>
          <w:sz w:val="24"/>
          <w:szCs w:val="24"/>
        </w:rPr>
      </w:pPr>
      <w:r w:rsidRPr="00CC6BEB">
        <w:rPr>
          <w:b/>
          <w:sz w:val="24"/>
          <w:szCs w:val="24"/>
        </w:rPr>
        <w:t xml:space="preserve">Volume II </w:t>
      </w:r>
      <w:r>
        <w:rPr>
          <w:b/>
          <w:sz w:val="24"/>
          <w:szCs w:val="24"/>
        </w:rPr>
        <w:t>- Tomo 1</w:t>
      </w:r>
    </w:p>
    <w:p w:rsidR="00C53A57" w:rsidRDefault="00CC6BEB" w:rsidP="004E4046">
      <w:r w:rsidRPr="0035565D">
        <w:rPr>
          <w:b/>
        </w:rPr>
        <w:t>Anexo 1</w:t>
      </w:r>
      <w:r>
        <w:t xml:space="preserve">. </w:t>
      </w:r>
      <w:r w:rsidR="00C53A57">
        <w:t>Leva</w:t>
      </w:r>
      <w:r w:rsidR="00932A67">
        <w:t>n</w:t>
      </w:r>
      <w:r w:rsidR="00C53A57">
        <w:t>tamentos Florísticos e Fitofisionômicos</w:t>
      </w:r>
    </w:p>
    <w:p w:rsidR="00C53A57" w:rsidRDefault="00C53A57" w:rsidP="004E4046">
      <w:r>
        <w:tab/>
      </w:r>
      <w:r w:rsidRPr="00C53A57">
        <w:rPr>
          <w:b/>
        </w:rPr>
        <w:t>Anexo 1.1</w:t>
      </w:r>
      <w:r>
        <w:t>. Fichas de Caracterização Fitofisionômica da Vegetação</w:t>
      </w:r>
    </w:p>
    <w:p w:rsidR="00CC6BEB" w:rsidRDefault="00C53A57" w:rsidP="004E4046">
      <w:r>
        <w:tab/>
      </w:r>
      <w:r w:rsidRPr="00C53A57">
        <w:rPr>
          <w:b/>
        </w:rPr>
        <w:t>Anexo 1.</w:t>
      </w:r>
      <w:r>
        <w:rPr>
          <w:b/>
        </w:rPr>
        <w:t>2</w:t>
      </w:r>
      <w:r w:rsidR="00932A67">
        <w:t>. Espécies Registradas nos Le</w:t>
      </w:r>
      <w:r>
        <w:t>vantamentos Florísticos (Tabelas 1 a 4)</w:t>
      </w:r>
    </w:p>
    <w:p w:rsidR="00CC6BEB" w:rsidRDefault="00CC6BEB" w:rsidP="004E4046">
      <w:r w:rsidRPr="0035565D">
        <w:rPr>
          <w:b/>
        </w:rPr>
        <w:t>Anexo 2</w:t>
      </w:r>
      <w:r>
        <w:t>. Fauna de Ocorrência Provável na AII</w:t>
      </w:r>
    </w:p>
    <w:p w:rsidR="00CC6BEB" w:rsidRDefault="00CC6BEB" w:rsidP="004E4046">
      <w:r>
        <w:tab/>
      </w:r>
      <w:r w:rsidRPr="00435299">
        <w:rPr>
          <w:b/>
        </w:rPr>
        <w:t>A</w:t>
      </w:r>
      <w:r w:rsidR="0035565D" w:rsidRPr="00435299">
        <w:rPr>
          <w:b/>
        </w:rPr>
        <w:t>nexo 2.1</w:t>
      </w:r>
      <w:r w:rsidR="0035565D">
        <w:t xml:space="preserve">. </w:t>
      </w:r>
      <w:r w:rsidR="00C53A57">
        <w:t>Lista de Aves de possível ocorrência na AII</w:t>
      </w:r>
    </w:p>
    <w:p w:rsidR="00C53A57" w:rsidRDefault="0035565D" w:rsidP="004E4046">
      <w:r>
        <w:tab/>
      </w:r>
      <w:r w:rsidRPr="00435299">
        <w:rPr>
          <w:b/>
        </w:rPr>
        <w:t>Anexo 2.2</w:t>
      </w:r>
      <w:r>
        <w:t xml:space="preserve">. </w:t>
      </w:r>
      <w:r w:rsidR="00C53A57">
        <w:t>Documentação Fotográfica. Aves registradas na Campanha de Campo</w:t>
      </w:r>
    </w:p>
    <w:p w:rsidR="00C53A57" w:rsidRDefault="00C53A57" w:rsidP="004E4046">
      <w:r>
        <w:tab/>
      </w:r>
      <w:r w:rsidRPr="00435299">
        <w:rPr>
          <w:b/>
        </w:rPr>
        <w:t>Anexo 2.3</w:t>
      </w:r>
      <w:r>
        <w:t xml:space="preserve">. </w:t>
      </w:r>
      <w:r w:rsidR="00326380">
        <w:t>Lista de Répteis e Anfíbios de possível ocorrência na AII</w:t>
      </w:r>
    </w:p>
    <w:p w:rsidR="0035565D" w:rsidRDefault="0035565D" w:rsidP="004E4046">
      <w:r>
        <w:tab/>
      </w:r>
      <w:r w:rsidRPr="00435299">
        <w:rPr>
          <w:b/>
        </w:rPr>
        <w:t>Anexo 2.</w:t>
      </w:r>
      <w:r w:rsidR="00326380">
        <w:rPr>
          <w:b/>
        </w:rPr>
        <w:t>4</w:t>
      </w:r>
      <w:r>
        <w:t xml:space="preserve">. </w:t>
      </w:r>
      <w:r w:rsidR="00326380">
        <w:t>Lista de Mamíferos de possível ocorrência na AII</w:t>
      </w:r>
    </w:p>
    <w:p w:rsidR="00491D58" w:rsidRDefault="00491D58" w:rsidP="004E4046">
      <w:r>
        <w:tab/>
      </w:r>
      <w:r w:rsidRPr="00326380">
        <w:rPr>
          <w:b/>
        </w:rPr>
        <w:t>Anexo 2.</w:t>
      </w:r>
      <w:r w:rsidR="00326380" w:rsidRPr="00326380">
        <w:rPr>
          <w:b/>
        </w:rPr>
        <w:t>5</w:t>
      </w:r>
      <w:r w:rsidRPr="00326380">
        <w:t xml:space="preserve">. </w:t>
      </w:r>
      <w:r w:rsidR="00326380" w:rsidRPr="00326380">
        <w:t>Lista de Espécies de Ictiofauna de possível ocorrência na AII</w:t>
      </w:r>
    </w:p>
    <w:p w:rsidR="0035565D" w:rsidRDefault="0035565D" w:rsidP="004E4046">
      <w:r w:rsidRPr="0035565D">
        <w:rPr>
          <w:b/>
        </w:rPr>
        <w:t>Anexo 3</w:t>
      </w:r>
      <w:r>
        <w:t>. Campanha de Monitoramento Limnológico e de Qualidade de Água, realizada pela Sabesp e CETESB em Maio e Julho de 2014.</w:t>
      </w:r>
      <w:r w:rsidR="002E4110">
        <w:t xml:space="preserve"> </w:t>
      </w:r>
      <w:r w:rsidR="00326380" w:rsidRPr="00326380">
        <w:t>Levantamento complementar de Sedimentos (Nov. 2015) e Bentos (Jan. 2015) realizado pela PRIME Engenharia</w:t>
      </w:r>
      <w:r w:rsidR="00326380">
        <w:t>.</w:t>
      </w:r>
      <w:r w:rsidR="00326380" w:rsidRPr="00326380">
        <w:t xml:space="preserve"> </w:t>
      </w:r>
      <w:r w:rsidR="002E4110">
        <w:t>Resultados e Laudos</w:t>
      </w:r>
    </w:p>
    <w:p w:rsidR="00326380" w:rsidRPr="00326380" w:rsidRDefault="00326380" w:rsidP="004E4046">
      <w:pPr>
        <w:rPr>
          <w:b/>
          <w:sz w:val="24"/>
          <w:szCs w:val="24"/>
        </w:rPr>
      </w:pPr>
      <w:r w:rsidRPr="00CC6BEB">
        <w:rPr>
          <w:b/>
          <w:sz w:val="24"/>
          <w:szCs w:val="24"/>
        </w:rPr>
        <w:t xml:space="preserve">Volume II </w:t>
      </w:r>
      <w:r>
        <w:rPr>
          <w:b/>
          <w:sz w:val="24"/>
          <w:szCs w:val="24"/>
        </w:rPr>
        <w:t xml:space="preserve">- </w:t>
      </w:r>
      <w:r w:rsidRPr="00326380">
        <w:rPr>
          <w:b/>
          <w:sz w:val="24"/>
          <w:szCs w:val="24"/>
        </w:rPr>
        <w:t>Tomo 2</w:t>
      </w:r>
    </w:p>
    <w:p w:rsidR="0035565D" w:rsidRDefault="0035565D" w:rsidP="004E4046">
      <w:r w:rsidRPr="0035565D">
        <w:rPr>
          <w:b/>
        </w:rPr>
        <w:t>Anexo 4</w:t>
      </w:r>
      <w:r>
        <w:t>. Avaliação Preliminar de Áreas Contaminadas</w:t>
      </w:r>
    </w:p>
    <w:p w:rsidR="00326380" w:rsidRDefault="00326380" w:rsidP="004E4046">
      <w:r w:rsidRPr="00326380">
        <w:rPr>
          <w:b/>
        </w:rPr>
        <w:t>Anexo 5</w:t>
      </w:r>
      <w:r>
        <w:t>. Relatório de Sondagens à Trado, Percussão e Rotativa. Perfis de Sondagens</w:t>
      </w:r>
    </w:p>
    <w:p w:rsidR="00A11DBD" w:rsidRPr="004C6041" w:rsidRDefault="00A11DBD" w:rsidP="00A11DBD">
      <w:r>
        <w:rPr>
          <w:b/>
        </w:rPr>
        <w:t>Anexo 6</w:t>
      </w:r>
      <w:r>
        <w:t>. Estudo Geológico e Pré-dimensionamento do Túnel</w:t>
      </w:r>
    </w:p>
    <w:p w:rsidR="00A11DBD" w:rsidRDefault="00A11DBD" w:rsidP="00A11DBD">
      <w:r w:rsidRPr="00326380">
        <w:rPr>
          <w:b/>
        </w:rPr>
        <w:t xml:space="preserve">Anexo </w:t>
      </w:r>
      <w:r>
        <w:rPr>
          <w:b/>
        </w:rPr>
        <w:t>7</w:t>
      </w:r>
      <w:r>
        <w:t>. Documentos</w:t>
      </w:r>
    </w:p>
    <w:p w:rsidR="003B5DCD" w:rsidRDefault="003B5DCD" w:rsidP="00A11DBD">
      <w:r w:rsidRPr="003B5DCD">
        <w:rPr>
          <w:b/>
        </w:rPr>
        <w:t>Anexo 8</w:t>
      </w:r>
      <w:r>
        <w:t>. Estudo Arqueológico</w:t>
      </w:r>
    </w:p>
    <w:p w:rsidR="00CC6BEB" w:rsidRDefault="00CC6BEB" w:rsidP="004E4046"/>
    <w:p w:rsidR="0035565D" w:rsidRPr="0035565D" w:rsidRDefault="0035565D" w:rsidP="004E4046">
      <w:pPr>
        <w:rPr>
          <w:b/>
          <w:sz w:val="24"/>
          <w:szCs w:val="24"/>
        </w:rPr>
      </w:pPr>
      <w:r w:rsidRPr="0035565D">
        <w:rPr>
          <w:b/>
          <w:sz w:val="24"/>
          <w:szCs w:val="24"/>
        </w:rPr>
        <w:t>Volume III – Figuras (Caderno A3)</w:t>
      </w:r>
    </w:p>
    <w:p w:rsidR="007E1DD9" w:rsidRPr="00232780" w:rsidRDefault="007E1DD9" w:rsidP="007E1DD9">
      <w:pPr>
        <w:rPr>
          <w:b/>
        </w:rPr>
      </w:pPr>
      <w:r w:rsidRPr="00232780">
        <w:rPr>
          <w:b/>
        </w:rPr>
        <w:t>Parte A. Figuras do EIA</w:t>
      </w:r>
    </w:p>
    <w:p w:rsidR="007E1DD9" w:rsidRDefault="007E1DD9" w:rsidP="007E1DD9">
      <w:r>
        <w:t>Figura A1. Estudo de Alternativas. Escala 1:50.000. 5 Folhas: Alt. 1, 2, 3, 4 e 5.</w:t>
      </w:r>
    </w:p>
    <w:p w:rsidR="007E1DD9" w:rsidRDefault="007E1DD9" w:rsidP="007E1DD9">
      <w:r>
        <w:t>Figura A2. Anteprojeto Consolidado da Interligação sobre imagem de satélite. Uso do Solo e Cobertura Vegetal. Escala 1:1000. Folhas 1 a 35.</w:t>
      </w:r>
    </w:p>
    <w:p w:rsidR="007E1DD9" w:rsidRDefault="007E1DD9" w:rsidP="007E1DD9">
      <w:r>
        <w:t>Figura A3.1. Anteprojeto Consolidado da Interligação sobre imagem de satélite. Desapropriação, Servidão e Ocupação Temporária. Escala 1:1000. Folhas 1 a 35.</w:t>
      </w:r>
    </w:p>
    <w:p w:rsidR="007E1DD9" w:rsidRDefault="007E1DD9" w:rsidP="007E1DD9">
      <w:r>
        <w:t>Figura A3.2. Anteprojeto Consolidado da Interligação. Linha de Transmissão - Captação. Escala 1:2.500. Folha única.</w:t>
      </w:r>
    </w:p>
    <w:p w:rsidR="007E1DD9" w:rsidRDefault="007E1DD9" w:rsidP="007E1DD9">
      <w:r>
        <w:t>Figura A3.3. Anteprojeto Consolidado da Interligação. Estrada de Acesso à Captação. Escala 1:2.500. Folha única.</w:t>
      </w:r>
    </w:p>
    <w:p w:rsidR="007E1DD9" w:rsidRDefault="007E1DD9" w:rsidP="007E1DD9">
      <w:r>
        <w:t>Figura A3.4. Anteprojeto Consolidado da Interligação. Desemboque do Túnel e Captação 2ª Etapa. Escala 1:2.500. Folha única.</w:t>
      </w:r>
    </w:p>
    <w:p w:rsidR="007E1DD9" w:rsidRDefault="007E1DD9" w:rsidP="007E1DD9">
      <w:r>
        <w:t>Figura A4.1. Estradas de Acesso à Obra do Túnel. Uso e Ocupação do Solo no entorno do acesso da Rodovia Dom Pedro I ao Emboque do Túnel e à Janela de Acesso Intermediário. Escala 1:2.500. Folhas 1 a 5.</w:t>
      </w:r>
    </w:p>
    <w:p w:rsidR="007E1DD9" w:rsidRDefault="007E1DD9" w:rsidP="007E1DD9">
      <w:r>
        <w:t>Figura A4.2. Estradas de Acesso à Obra do Túnel. Uso e Ocupação do Solo no entorno do acesso da Rodovia Dom Pedro I à Janela de Acesso Intermediário. Escala 1:2.500. Folhas 1 a 3.</w:t>
      </w:r>
    </w:p>
    <w:p w:rsidR="007E1DD9" w:rsidRDefault="007E1DD9" w:rsidP="007E1DD9">
      <w:r>
        <w:t>Figura A4.3. Estradas de Acesso à Obra do Túnel. Uso e Ocupação do Solo no entorno do acesso da Rodovia Dom Pedro I à Descarga no Reservatório Atibainha. Escala 1:2.500. Folhas 1 a 8.</w:t>
      </w:r>
    </w:p>
    <w:p w:rsidR="007E1DD9" w:rsidRDefault="007E1DD9" w:rsidP="007E1DD9">
      <w:r>
        <w:lastRenderedPageBreak/>
        <w:t>Figura A4.4. Estradas de Acesso à Obra do Túnel. Uso e Ocupação do Solo no entorno do acesso da Janela de Acesso Intermediário à Descarga no Reservatório Atibainha. Escala 1:2.500. Folhas 1 a 6.</w:t>
      </w:r>
    </w:p>
    <w:p w:rsidR="007E1DD9" w:rsidRDefault="007E1DD9" w:rsidP="007E1DD9">
      <w:r>
        <w:t>Figura A5. Uso do Solo e Vegetação na AID. Escala 1:7.500. Folhas 1 a 8.</w:t>
      </w:r>
    </w:p>
    <w:p w:rsidR="007E1DD9" w:rsidRDefault="007E1DD9" w:rsidP="007E1DD9">
      <w:r>
        <w:t xml:space="preserve">Figura A6. </w:t>
      </w:r>
      <w:r w:rsidRPr="00AD6A02">
        <w:t>Carta de Fragilidade Ambiental</w:t>
      </w:r>
      <w:r>
        <w:t xml:space="preserve"> na AID. Escala 1:7.500. Folhas 1 a 8.</w:t>
      </w:r>
    </w:p>
    <w:p w:rsidR="007E1DD9" w:rsidRPr="00232780" w:rsidRDefault="007E1DD9" w:rsidP="007E1DD9">
      <w:pPr>
        <w:rPr>
          <w:b/>
        </w:rPr>
      </w:pPr>
      <w:r w:rsidRPr="00232780">
        <w:rPr>
          <w:b/>
        </w:rPr>
        <w:t xml:space="preserve">Parte B. </w:t>
      </w:r>
      <w:r>
        <w:rPr>
          <w:b/>
        </w:rPr>
        <w:t xml:space="preserve">Desenhos do </w:t>
      </w:r>
      <w:r w:rsidRPr="00232780">
        <w:rPr>
          <w:b/>
        </w:rPr>
        <w:t>Anteprojeto de Engenharia da Interligação</w:t>
      </w:r>
    </w:p>
    <w:p w:rsidR="007E1DD9" w:rsidRDefault="007E1DD9" w:rsidP="007E1DD9">
      <w:r w:rsidRPr="0014463D">
        <w:t>20542-DE-HID-001-0</w:t>
      </w:r>
      <w:r>
        <w:t>.</w:t>
      </w:r>
      <w:r w:rsidRPr="0014463D">
        <w:t xml:space="preserve"> </w:t>
      </w:r>
      <w:r>
        <w:t xml:space="preserve">Anteprojeto Consolidado. Planta e </w:t>
      </w:r>
      <w:r w:rsidRPr="0014463D">
        <w:t>Perfil</w:t>
      </w:r>
      <w:r>
        <w:t xml:space="preserve"> </w:t>
      </w:r>
      <w:r w:rsidRPr="0014463D">
        <w:t>Reduzido</w:t>
      </w:r>
      <w:r>
        <w:t>.</w:t>
      </w:r>
      <w:r w:rsidRPr="0014463D">
        <w:t xml:space="preserve"> </w:t>
      </w:r>
      <w:r>
        <w:t xml:space="preserve">H 1:15.000, V 1:1500. </w:t>
      </w:r>
      <w:r w:rsidRPr="0014463D">
        <w:t>A1 estendido</w:t>
      </w:r>
    </w:p>
    <w:p w:rsidR="007E1DD9" w:rsidRDefault="007E1DD9" w:rsidP="007E1DD9">
      <w:r w:rsidRPr="0014463D">
        <w:t>20542-DE-HID-002-0</w:t>
      </w:r>
      <w:r>
        <w:t>.</w:t>
      </w:r>
      <w:r w:rsidRPr="0014463D">
        <w:t xml:space="preserve"> </w:t>
      </w:r>
      <w:r>
        <w:t xml:space="preserve">Adutora. </w:t>
      </w:r>
      <w:r w:rsidRPr="0014463D">
        <w:t>Planta</w:t>
      </w:r>
      <w:r>
        <w:t xml:space="preserve"> e </w:t>
      </w:r>
      <w:r w:rsidRPr="0014463D">
        <w:t>Perfil</w:t>
      </w:r>
      <w:r>
        <w:t xml:space="preserve">. Escala H 1:1000, V 1:200. </w:t>
      </w:r>
      <w:r w:rsidRPr="0014463D">
        <w:t>A1</w:t>
      </w:r>
      <w:r>
        <w:t>. Folhas 1 a 20</w:t>
      </w:r>
    </w:p>
    <w:p w:rsidR="007E1DD9" w:rsidRDefault="007E1DD9" w:rsidP="007E1DD9">
      <w:r w:rsidRPr="0014463D">
        <w:t>20542-DE-HID-003-0</w:t>
      </w:r>
      <w:r>
        <w:t>.</w:t>
      </w:r>
      <w:r w:rsidRPr="0014463D">
        <w:t xml:space="preserve"> Capt</w:t>
      </w:r>
      <w:r>
        <w:t>ação, Estação Elevatória e Subestação</w:t>
      </w:r>
      <w:r w:rsidRPr="0014463D">
        <w:t xml:space="preserve"> Jaguari</w:t>
      </w:r>
      <w:r>
        <w:t xml:space="preserve"> -</w:t>
      </w:r>
      <w:r w:rsidRPr="0014463D">
        <w:t xml:space="preserve"> 1ª Etapa</w:t>
      </w:r>
      <w:r>
        <w:t>. Planta e Cortes. Escala 1:400.</w:t>
      </w:r>
      <w:r w:rsidRPr="0014463D">
        <w:t xml:space="preserve"> A1</w:t>
      </w:r>
    </w:p>
    <w:p w:rsidR="007E1DD9" w:rsidRDefault="007E1DD9" w:rsidP="007E1DD9">
      <w:r w:rsidRPr="006463BC">
        <w:t>20542-DE-HID-004-0</w:t>
      </w:r>
      <w:r>
        <w:t>.</w:t>
      </w:r>
      <w:r w:rsidRPr="006463BC">
        <w:t xml:space="preserve"> </w:t>
      </w:r>
      <w:r w:rsidRPr="0014463D">
        <w:t>Capt</w:t>
      </w:r>
      <w:r>
        <w:t xml:space="preserve">ação, Elevatória e Bacia de Dissipação </w:t>
      </w:r>
      <w:r w:rsidRPr="006463BC">
        <w:t>Jaguari</w:t>
      </w:r>
      <w:r>
        <w:t>. Planta Geral, Planta e Corte da</w:t>
      </w:r>
      <w:r w:rsidRPr="006463BC">
        <w:t xml:space="preserve"> 2ª Etapa</w:t>
      </w:r>
      <w:r>
        <w:t>. Escalas 1:750 e 1:400.</w:t>
      </w:r>
      <w:r w:rsidRPr="006463BC">
        <w:t xml:space="preserve"> A1</w:t>
      </w:r>
    </w:p>
    <w:p w:rsidR="007E1DD9" w:rsidRDefault="007E1DD9" w:rsidP="007E1DD9">
      <w:r w:rsidRPr="006463BC">
        <w:t>20542-DE-HID-005-0</w:t>
      </w:r>
      <w:r>
        <w:t>.</w:t>
      </w:r>
      <w:r w:rsidRPr="006463BC">
        <w:t xml:space="preserve"> </w:t>
      </w:r>
      <w:r>
        <w:t xml:space="preserve">Travessia sob a Rodovia para </w:t>
      </w:r>
      <w:r w:rsidRPr="006463BC">
        <w:t>Sta Isabel</w:t>
      </w:r>
      <w:r>
        <w:t>. Planta, Corte, Detalhe. Escala 1:300.</w:t>
      </w:r>
      <w:r w:rsidRPr="006463BC">
        <w:t xml:space="preserve"> A1</w:t>
      </w:r>
    </w:p>
    <w:p w:rsidR="007E1DD9" w:rsidRDefault="007E1DD9" w:rsidP="007E1DD9">
      <w:r w:rsidRPr="006463BC">
        <w:t>20542-DE-HID-006-0</w:t>
      </w:r>
      <w:r>
        <w:t>.</w:t>
      </w:r>
      <w:r w:rsidRPr="006463BC">
        <w:t xml:space="preserve"> </w:t>
      </w:r>
      <w:r>
        <w:t xml:space="preserve">Travessia sob a Rodovia </w:t>
      </w:r>
      <w:r w:rsidRPr="006463BC">
        <w:t>Dom Pedro I</w:t>
      </w:r>
      <w:r>
        <w:t>. Planta e Corte. Escala 1:300.</w:t>
      </w:r>
      <w:r w:rsidRPr="006463BC">
        <w:t xml:space="preserve"> A1</w:t>
      </w:r>
    </w:p>
    <w:p w:rsidR="007E1DD9" w:rsidRDefault="007E1DD9" w:rsidP="007E1DD9">
      <w:r w:rsidRPr="006463BC">
        <w:t>20542-DE-HID-007-0</w:t>
      </w:r>
      <w:r>
        <w:t>.</w:t>
      </w:r>
      <w:r w:rsidRPr="006463BC">
        <w:t xml:space="preserve"> Emboque </w:t>
      </w:r>
      <w:r>
        <w:t xml:space="preserve">do </w:t>
      </w:r>
      <w:r w:rsidRPr="006463BC">
        <w:t xml:space="preserve">Túnel </w:t>
      </w:r>
      <w:r>
        <w:t xml:space="preserve">Adutor. Planta Geral, Planta e Cortes. Escalas 1:400 e 1:100. </w:t>
      </w:r>
      <w:r w:rsidRPr="006463BC">
        <w:t>A1</w:t>
      </w:r>
    </w:p>
    <w:p w:rsidR="007E1DD9" w:rsidRDefault="007E1DD9" w:rsidP="007E1DD9">
      <w:r w:rsidRPr="005A28BF">
        <w:t>20542-DE-HID-008-0</w:t>
      </w:r>
      <w:r>
        <w:t>.</w:t>
      </w:r>
      <w:r w:rsidRPr="005A28BF">
        <w:t xml:space="preserve"> Túnel </w:t>
      </w:r>
      <w:r>
        <w:t xml:space="preserve">de </w:t>
      </w:r>
      <w:r w:rsidRPr="005A28BF">
        <w:t>Acesso Intermediário</w:t>
      </w:r>
      <w:r>
        <w:t>.</w:t>
      </w:r>
      <w:r w:rsidRPr="005A28BF">
        <w:t xml:space="preserve"> </w:t>
      </w:r>
      <w:r>
        <w:t xml:space="preserve">Planta e Cortes. Escalas 1:250 e 1:100. </w:t>
      </w:r>
      <w:r w:rsidRPr="005A28BF">
        <w:t>A1</w:t>
      </w:r>
    </w:p>
    <w:p w:rsidR="007E1DD9" w:rsidRDefault="007E1DD9" w:rsidP="007E1DD9">
      <w:r w:rsidRPr="005A28BF">
        <w:t>20542-DE-HID-009-0</w:t>
      </w:r>
      <w:r>
        <w:t>.</w:t>
      </w:r>
      <w:r w:rsidRPr="005A28BF">
        <w:t xml:space="preserve"> </w:t>
      </w:r>
      <w:r>
        <w:t xml:space="preserve">Bacia de Dissipação e Conexão com Reservatório </w:t>
      </w:r>
      <w:r w:rsidRPr="005A28BF">
        <w:t xml:space="preserve">Atibainha </w:t>
      </w:r>
      <w:r>
        <w:t xml:space="preserve">- </w:t>
      </w:r>
      <w:r w:rsidRPr="005A28BF">
        <w:t>1ª Etapa</w:t>
      </w:r>
      <w:r>
        <w:t>.</w:t>
      </w:r>
      <w:r w:rsidRPr="005A28BF">
        <w:t xml:space="preserve"> </w:t>
      </w:r>
      <w:r>
        <w:t xml:space="preserve">Plantas e Cortes. Escalas 1:350, 1:300, 1:200. </w:t>
      </w:r>
      <w:r w:rsidRPr="005A28BF">
        <w:t>A1</w:t>
      </w:r>
    </w:p>
    <w:p w:rsidR="007E1DD9" w:rsidRDefault="007E1DD9" w:rsidP="007E1DD9">
      <w:r w:rsidRPr="00220E99">
        <w:t>20542-DE-HID-010-0</w:t>
      </w:r>
      <w:r>
        <w:t>.</w:t>
      </w:r>
      <w:r w:rsidRPr="00220E99">
        <w:t xml:space="preserve"> </w:t>
      </w:r>
      <w:r>
        <w:t xml:space="preserve">Bacia de Dissipação e Elevatória </w:t>
      </w:r>
      <w:r w:rsidRPr="00220E99">
        <w:t xml:space="preserve">Atibainha </w:t>
      </w:r>
      <w:r>
        <w:t xml:space="preserve">- </w:t>
      </w:r>
      <w:r w:rsidRPr="00220E99">
        <w:t>2ª Etapa</w:t>
      </w:r>
      <w:r>
        <w:t>.</w:t>
      </w:r>
      <w:r w:rsidRPr="00220E99">
        <w:t xml:space="preserve"> </w:t>
      </w:r>
      <w:r>
        <w:t xml:space="preserve">Planta Geral, Planta e Cortes. Escalas 1:750, 1:300, 1:200. </w:t>
      </w:r>
      <w:r w:rsidRPr="00220E99">
        <w:t>A1</w:t>
      </w:r>
    </w:p>
    <w:p w:rsidR="007E1DD9" w:rsidRDefault="007E1DD9" w:rsidP="007E1DD9">
      <w:r w:rsidRPr="00220E99">
        <w:t>20542-DE-HID-011-0</w:t>
      </w:r>
      <w:r>
        <w:t xml:space="preserve">. Obras-Tipo </w:t>
      </w:r>
      <w:r w:rsidRPr="00220E99">
        <w:t>Localizadas</w:t>
      </w:r>
      <w:r>
        <w:t>.</w:t>
      </w:r>
      <w:r w:rsidRPr="00220E99">
        <w:t xml:space="preserve"> </w:t>
      </w:r>
      <w:r>
        <w:t xml:space="preserve">Plantas e Cortes. Escalas 1:200, 1:50. </w:t>
      </w:r>
      <w:r w:rsidRPr="00220E99">
        <w:t>A1</w:t>
      </w:r>
    </w:p>
    <w:p w:rsidR="007E1DD9" w:rsidRDefault="007E1DD9" w:rsidP="007E1DD9">
      <w:r w:rsidRPr="00220E99">
        <w:t>20542-DE-HID-012-0</w:t>
      </w:r>
      <w:r>
        <w:t>.</w:t>
      </w:r>
      <w:r w:rsidRPr="00220E99">
        <w:t xml:space="preserve"> </w:t>
      </w:r>
      <w:r>
        <w:t xml:space="preserve">Detalhes Genéricos. Escalas 1:200, 1:100, 1:75. </w:t>
      </w:r>
      <w:r w:rsidRPr="00220E99">
        <w:t>A1</w:t>
      </w:r>
    </w:p>
    <w:p w:rsidR="007E1DD9" w:rsidRDefault="007E1DD9" w:rsidP="007E1DD9">
      <w:r w:rsidRPr="00220E99">
        <w:t>20542-DE-TRP-001-0</w:t>
      </w:r>
      <w:r>
        <w:t>.</w:t>
      </w:r>
      <w:r w:rsidRPr="00220E99">
        <w:t xml:space="preserve"> </w:t>
      </w:r>
      <w:r>
        <w:t>Anteprojeto Consolidado</w:t>
      </w:r>
      <w:r w:rsidRPr="00220E99">
        <w:t xml:space="preserve"> </w:t>
      </w:r>
      <w:r>
        <w:t xml:space="preserve">de </w:t>
      </w:r>
      <w:r w:rsidRPr="00220E99">
        <w:t>Terraplenagem</w:t>
      </w:r>
      <w:r>
        <w:t>.</w:t>
      </w:r>
      <w:r w:rsidRPr="00220E99">
        <w:t xml:space="preserve"> Captação</w:t>
      </w:r>
      <w:r>
        <w:t>, Elevatória e Subestação</w:t>
      </w:r>
      <w:r w:rsidRPr="0014463D">
        <w:t xml:space="preserve"> Jaguari</w:t>
      </w:r>
      <w:r>
        <w:t>.</w:t>
      </w:r>
      <w:r w:rsidRPr="00220E99">
        <w:t xml:space="preserve"> </w:t>
      </w:r>
      <w:r>
        <w:t xml:space="preserve">Planta, Cortes e Perfil das Vias de Acesso. Escalas 1:1000, 1:500. </w:t>
      </w:r>
      <w:r w:rsidRPr="00220E99">
        <w:t>A1</w:t>
      </w:r>
    </w:p>
    <w:p w:rsidR="007E1DD9" w:rsidRDefault="007E1DD9" w:rsidP="007E1DD9">
      <w:r w:rsidRPr="00C17A6E">
        <w:t>20542-DE-TRP-002-0</w:t>
      </w:r>
      <w:r>
        <w:t>.</w:t>
      </w:r>
      <w:r w:rsidRPr="00C17A6E">
        <w:t xml:space="preserve"> </w:t>
      </w:r>
      <w:r>
        <w:t>Anteprojeto Consolidado</w:t>
      </w:r>
      <w:r w:rsidRPr="00220E99">
        <w:t xml:space="preserve"> </w:t>
      </w:r>
      <w:r>
        <w:t xml:space="preserve">de </w:t>
      </w:r>
      <w:r w:rsidRPr="00C17A6E">
        <w:t>Terraplenagem</w:t>
      </w:r>
      <w:r>
        <w:t>.</w:t>
      </w:r>
      <w:r w:rsidRPr="00C17A6E">
        <w:t xml:space="preserve"> </w:t>
      </w:r>
      <w:r>
        <w:t xml:space="preserve">Vias de Acesso aos Emboques dos </w:t>
      </w:r>
      <w:r w:rsidRPr="00C17A6E">
        <w:t>Túne</w:t>
      </w:r>
      <w:r>
        <w:t>is.</w:t>
      </w:r>
      <w:r w:rsidRPr="00C17A6E">
        <w:t xml:space="preserve"> </w:t>
      </w:r>
      <w:r>
        <w:t xml:space="preserve">Planta e Perfil, </w:t>
      </w:r>
      <w:r w:rsidRPr="00C17A6E">
        <w:t xml:space="preserve">Seções </w:t>
      </w:r>
      <w:r>
        <w:t xml:space="preserve">Representativas. Escalas 1:1000, 1:500. </w:t>
      </w:r>
      <w:r w:rsidRPr="00C17A6E">
        <w:t>A1</w:t>
      </w:r>
    </w:p>
    <w:p w:rsidR="007E1DD9" w:rsidRDefault="007E1DD9" w:rsidP="004E4046"/>
    <w:p w:rsidR="00164D83" w:rsidRPr="00CE1148" w:rsidRDefault="00164D83" w:rsidP="00CE1148">
      <w:pPr>
        <w:jc w:val="center"/>
        <w:rPr>
          <w:b/>
        </w:rPr>
      </w:pPr>
      <w:r w:rsidRPr="00CE1148">
        <w:rPr>
          <w:b/>
        </w:rPr>
        <w:t>Lista de Figuras</w:t>
      </w:r>
      <w:r w:rsidR="00A11DBD">
        <w:rPr>
          <w:b/>
        </w:rPr>
        <w:t>. Tomo 3</w:t>
      </w:r>
    </w:p>
    <w:p w:rsidR="006C6962" w:rsidRPr="006C6962" w:rsidRDefault="006C6962" w:rsidP="0089349D">
      <w:pPr>
        <w:rPr>
          <w:b/>
        </w:rPr>
      </w:pPr>
      <w:r w:rsidRPr="006C6962">
        <w:rPr>
          <w:b/>
        </w:rPr>
        <w:t>Vegetação</w:t>
      </w:r>
    </w:p>
    <w:p w:rsidR="0089349D" w:rsidRPr="00777309" w:rsidRDefault="0089349D" w:rsidP="0089349D">
      <w:r w:rsidRPr="00777309">
        <w:t>Figura 6.4.</w:t>
      </w:r>
      <w:r w:rsidR="0026570F">
        <w:t>1-</w:t>
      </w:r>
      <w:r w:rsidRPr="00777309">
        <w:t>1</w:t>
      </w:r>
      <w:r w:rsidR="0026570F">
        <w:t>.</w:t>
      </w:r>
      <w:r w:rsidRPr="00777309">
        <w:t xml:space="preserve"> Vegetação remanescente na Área de Estudo</w:t>
      </w:r>
      <w:r>
        <w:t xml:space="preserve"> </w:t>
      </w:r>
    </w:p>
    <w:p w:rsidR="0089349D" w:rsidRPr="00777309" w:rsidRDefault="0089349D" w:rsidP="0089349D">
      <w:pPr>
        <w:rPr>
          <w:bCs/>
        </w:rPr>
      </w:pPr>
      <w:r w:rsidRPr="00777309">
        <w:rPr>
          <w:bCs/>
        </w:rPr>
        <w:t>Figura 6.4.2</w:t>
      </w:r>
      <w:r w:rsidR="0026570F">
        <w:rPr>
          <w:bCs/>
        </w:rPr>
        <w:t>-1.</w:t>
      </w:r>
      <w:r w:rsidRPr="00777309">
        <w:rPr>
          <w:bCs/>
        </w:rPr>
        <w:t xml:space="preserve"> Transeções percorridas para realização do levantamento florístico na área F3.</w:t>
      </w:r>
    </w:p>
    <w:p w:rsidR="0089349D" w:rsidRPr="00777309" w:rsidRDefault="0089349D" w:rsidP="0089349D">
      <w:r w:rsidRPr="00777309">
        <w:t>Figura 6.4.</w:t>
      </w:r>
      <w:r w:rsidR="0026570F">
        <w:t>2-2.</w:t>
      </w:r>
      <w:r w:rsidRPr="00777309">
        <w:t xml:space="preserve"> Transeções percorridas para realização do levantamento florístico na área F8.</w:t>
      </w:r>
    </w:p>
    <w:p w:rsidR="0089349D" w:rsidRPr="00777309" w:rsidRDefault="0089349D" w:rsidP="0089349D">
      <w:pPr>
        <w:rPr>
          <w:bCs/>
        </w:rPr>
      </w:pPr>
      <w:r w:rsidRPr="00777309">
        <w:rPr>
          <w:bCs/>
        </w:rPr>
        <w:t>Figura 6.4.</w:t>
      </w:r>
      <w:r w:rsidR="0026570F">
        <w:rPr>
          <w:bCs/>
        </w:rPr>
        <w:t>2-3.</w:t>
      </w:r>
      <w:r w:rsidRPr="00777309">
        <w:rPr>
          <w:bCs/>
        </w:rPr>
        <w:t xml:space="preserve"> Transeções percorridas para realização do levantamento florístico na área F24</w:t>
      </w:r>
    </w:p>
    <w:p w:rsidR="0089349D" w:rsidRPr="00777309" w:rsidRDefault="0089349D" w:rsidP="0089349D">
      <w:r w:rsidRPr="00777309">
        <w:t>Figura 6.4.</w:t>
      </w:r>
      <w:r w:rsidR="0026570F">
        <w:t>2-4.</w:t>
      </w:r>
      <w:r w:rsidRPr="00777309">
        <w:t xml:space="preserve"> Transeções percorridas para realização do leva</w:t>
      </w:r>
      <w:r w:rsidR="0026570F">
        <w:t>ntamento florístico na área F28</w:t>
      </w:r>
    </w:p>
    <w:p w:rsidR="0089349D" w:rsidRPr="00777309" w:rsidRDefault="0089349D" w:rsidP="0089349D">
      <w:r w:rsidRPr="00777309">
        <w:rPr>
          <w:bCs/>
        </w:rPr>
        <w:t>Figura 6.4.</w:t>
      </w:r>
      <w:r w:rsidR="0026570F">
        <w:rPr>
          <w:bCs/>
        </w:rPr>
        <w:t>2-5.</w:t>
      </w:r>
      <w:r w:rsidRPr="00777309">
        <w:rPr>
          <w:bCs/>
        </w:rPr>
        <w:t xml:space="preserve"> Transeções percorridas para realização do levantamento florístico na área F3</w:t>
      </w:r>
      <w:r w:rsidR="000F2964">
        <w:rPr>
          <w:bCs/>
        </w:rPr>
        <w:t>3</w:t>
      </w:r>
      <w:r w:rsidRPr="00777309">
        <w:t xml:space="preserve"> </w:t>
      </w:r>
    </w:p>
    <w:p w:rsidR="0089349D" w:rsidRPr="00777309" w:rsidRDefault="0089349D" w:rsidP="0089349D">
      <w:r w:rsidRPr="00777309">
        <w:t>Figura 6.4.</w:t>
      </w:r>
      <w:r w:rsidR="0026570F">
        <w:t>2-6.</w:t>
      </w:r>
      <w:r w:rsidRPr="00777309">
        <w:t xml:space="preserve"> Transeções percorridas para realização do levantamento florístico na área F37</w:t>
      </w:r>
    </w:p>
    <w:p w:rsidR="0089349D" w:rsidRPr="00777309" w:rsidRDefault="0089349D" w:rsidP="0089349D">
      <w:pPr>
        <w:rPr>
          <w:bCs/>
        </w:rPr>
      </w:pPr>
      <w:r w:rsidRPr="00777309">
        <w:rPr>
          <w:bCs/>
        </w:rPr>
        <w:t>Figura 6.4.</w:t>
      </w:r>
      <w:r w:rsidR="0026570F">
        <w:rPr>
          <w:bCs/>
        </w:rPr>
        <w:t>2-7.</w:t>
      </w:r>
      <w:r w:rsidRPr="00777309">
        <w:rPr>
          <w:bCs/>
        </w:rPr>
        <w:t xml:space="preserve"> Curvas de acumulação de espécies em função do tempo de amostragem</w:t>
      </w:r>
    </w:p>
    <w:p w:rsidR="0089349D" w:rsidRPr="00777309" w:rsidRDefault="0089349D" w:rsidP="0089349D">
      <w:r w:rsidRPr="00777309">
        <w:lastRenderedPageBreak/>
        <w:t>Figura 6.4.</w:t>
      </w:r>
      <w:r w:rsidR="0026570F">
        <w:t>2-8.</w:t>
      </w:r>
      <w:r w:rsidRPr="00777309">
        <w:t xml:space="preserve"> Similaridade florística entre as áreas </w:t>
      </w:r>
      <w:r w:rsidR="000F2964" w:rsidRPr="00777309">
        <w:t xml:space="preserve">de amostragem </w:t>
      </w:r>
      <w:r w:rsidRPr="00777309">
        <w:t>F3, F8, F24, F28, F33 e F37, na Interligação entre as Represas Jaguari e Atibainha</w:t>
      </w:r>
    </w:p>
    <w:p w:rsidR="0089349D" w:rsidRPr="00777309" w:rsidRDefault="0089349D" w:rsidP="0089349D">
      <w:pPr>
        <w:rPr>
          <w:rFonts w:eastAsia="Times New Roman" w:cs="Arial"/>
        </w:rPr>
      </w:pPr>
      <w:r w:rsidRPr="00777309">
        <w:rPr>
          <w:rFonts w:eastAsia="Times New Roman" w:cs="Arial"/>
        </w:rPr>
        <w:t>Figura 6.4.</w:t>
      </w:r>
      <w:r w:rsidR="0026570F">
        <w:rPr>
          <w:rFonts w:eastAsia="Times New Roman" w:cs="Arial"/>
        </w:rPr>
        <w:t>2-9.</w:t>
      </w:r>
      <w:r w:rsidRPr="00777309">
        <w:rPr>
          <w:rFonts w:eastAsia="Times New Roman" w:cs="Arial"/>
        </w:rPr>
        <w:t xml:space="preserve"> Número de famílias e espécies registradas nas áreas de levantamento florístico na AID da Interligação entre as Represas Jaguari e Atibainha</w:t>
      </w:r>
    </w:p>
    <w:p w:rsidR="0089349D" w:rsidRPr="00777309" w:rsidRDefault="0089349D" w:rsidP="0089349D">
      <w:pPr>
        <w:rPr>
          <w:rFonts w:eastAsia="Times New Roman" w:cs="Arial"/>
        </w:rPr>
      </w:pPr>
      <w:r w:rsidRPr="00777309">
        <w:rPr>
          <w:rFonts w:eastAsia="Times New Roman" w:cs="Arial"/>
        </w:rPr>
        <w:t>Figura 6.4.</w:t>
      </w:r>
      <w:r w:rsidR="0026570F">
        <w:rPr>
          <w:rFonts w:eastAsia="Times New Roman" w:cs="Arial"/>
        </w:rPr>
        <w:t>2-10.</w:t>
      </w:r>
      <w:r w:rsidRPr="00777309">
        <w:rPr>
          <w:rFonts w:eastAsia="Times New Roman" w:cs="Arial"/>
        </w:rPr>
        <w:t xml:space="preserve"> Número de espécies para cada classe sucessional registrado nas diferentes fitofisionomias de ocorrência na AID</w:t>
      </w:r>
    </w:p>
    <w:p w:rsidR="0089349D" w:rsidRPr="00777309" w:rsidRDefault="0089349D" w:rsidP="0089349D">
      <w:pPr>
        <w:rPr>
          <w:rFonts w:eastAsia="Times New Roman" w:cs="Arial"/>
        </w:rPr>
      </w:pPr>
      <w:r w:rsidRPr="00777309">
        <w:rPr>
          <w:rFonts w:eastAsia="Times New Roman" w:cs="Arial"/>
        </w:rPr>
        <w:t>Figura 6.4.</w:t>
      </w:r>
      <w:r w:rsidR="0026570F">
        <w:rPr>
          <w:rFonts w:eastAsia="Times New Roman" w:cs="Arial"/>
        </w:rPr>
        <w:t>2-11.</w:t>
      </w:r>
      <w:r w:rsidRPr="00777309">
        <w:rPr>
          <w:rFonts w:eastAsia="Times New Roman" w:cs="Arial"/>
        </w:rPr>
        <w:t xml:space="preserve"> Número de espécies para cada classe sucessional registrad</w:t>
      </w:r>
      <w:r w:rsidR="000F2964">
        <w:rPr>
          <w:rFonts w:eastAsia="Times New Roman" w:cs="Arial"/>
        </w:rPr>
        <w:t>o</w:t>
      </w:r>
      <w:r w:rsidRPr="00777309">
        <w:rPr>
          <w:rFonts w:eastAsia="Times New Roman" w:cs="Arial"/>
        </w:rPr>
        <w:t xml:space="preserve"> nas áreas de levantamento florístico, na AID e ADA</w:t>
      </w:r>
    </w:p>
    <w:p w:rsidR="006C6962" w:rsidRPr="006C6962" w:rsidRDefault="006C6962" w:rsidP="0089349D">
      <w:pPr>
        <w:rPr>
          <w:b/>
        </w:rPr>
      </w:pPr>
      <w:r w:rsidRPr="006C6962">
        <w:rPr>
          <w:b/>
        </w:rPr>
        <w:t>Fauna Silvestre</w:t>
      </w:r>
    </w:p>
    <w:p w:rsidR="0089349D" w:rsidRPr="0026570F" w:rsidRDefault="0089349D" w:rsidP="0089349D">
      <w:r w:rsidRPr="00777309">
        <w:t>Figura 6.4.</w:t>
      </w:r>
      <w:r w:rsidR="0026570F">
        <w:t>4-1.</w:t>
      </w:r>
      <w:r w:rsidRPr="00777309">
        <w:t xml:space="preserve"> Número de espécies registradas para cada família Passeriforme e Não-</w:t>
      </w:r>
      <w:r w:rsidRPr="0026570F">
        <w:t>passeriforme</w:t>
      </w:r>
      <w:r w:rsidR="0026570F" w:rsidRPr="0026570F">
        <w:t xml:space="preserve"> </w:t>
      </w:r>
      <w:r w:rsidR="0026570F" w:rsidRPr="0026570F">
        <w:rPr>
          <w:bCs/>
        </w:rPr>
        <w:t>por meio de dados primários e secundários</w:t>
      </w:r>
    </w:p>
    <w:p w:rsidR="0089349D" w:rsidRPr="00777309" w:rsidRDefault="0089349D" w:rsidP="0089349D">
      <w:r w:rsidRPr="00777309">
        <w:t>Figura 6.4.</w:t>
      </w:r>
      <w:r w:rsidR="0026570F">
        <w:t>4-2.</w:t>
      </w:r>
      <w:r w:rsidRPr="00777309">
        <w:t xml:space="preserve"> Curva do Coletor (rarefação baseada na amostra) e estimador de riqueza </w:t>
      </w:r>
      <w:r w:rsidR="000F2964">
        <w:t xml:space="preserve">de Avifauna, </w:t>
      </w:r>
      <w:r w:rsidRPr="00777309">
        <w:t>calculados para a AID do empreendimento.</w:t>
      </w:r>
    </w:p>
    <w:p w:rsidR="0089349D" w:rsidRPr="00777309" w:rsidRDefault="0089349D" w:rsidP="0089349D">
      <w:r w:rsidRPr="00777309">
        <w:t>Figura 6.4.</w:t>
      </w:r>
      <w:r w:rsidR="0026570F">
        <w:t>4-3.</w:t>
      </w:r>
      <w:r w:rsidRPr="00777309">
        <w:t xml:space="preserve">  Número de espécies </w:t>
      </w:r>
      <w:r w:rsidR="000F2964">
        <w:t xml:space="preserve">de Aves </w:t>
      </w:r>
      <w:r w:rsidRPr="00777309">
        <w:t>registradas em cada área amostral e número de espécies exclusivas por área</w:t>
      </w:r>
    </w:p>
    <w:p w:rsidR="0089349D" w:rsidRPr="00777309" w:rsidRDefault="0089349D" w:rsidP="0089349D">
      <w:r w:rsidRPr="00777309">
        <w:t>Figura 6.4.</w:t>
      </w:r>
      <w:r w:rsidR="0026570F">
        <w:t>4-4.</w:t>
      </w:r>
      <w:r w:rsidRPr="00777309">
        <w:t xml:space="preserve"> Similaridade entre as cinco áreas amostrais</w:t>
      </w:r>
      <w:r w:rsidR="000F2964">
        <w:t xml:space="preserve"> de Avifauna</w:t>
      </w:r>
    </w:p>
    <w:p w:rsidR="0089349D" w:rsidRPr="00777309" w:rsidRDefault="0089349D" w:rsidP="0089349D">
      <w:r w:rsidRPr="00777309">
        <w:t>Figura 6.4.</w:t>
      </w:r>
      <w:r w:rsidR="0026570F">
        <w:t>4-5.</w:t>
      </w:r>
      <w:r w:rsidRPr="00777309">
        <w:t xml:space="preserve"> Distribuição dos Índices Pontuais de Abundância calculados para todas as espécies </w:t>
      </w:r>
      <w:r w:rsidR="000F2964">
        <w:t xml:space="preserve">de Aves </w:t>
      </w:r>
      <w:r w:rsidRPr="00777309">
        <w:t>registradas na área de estudo através dos pontos de escuta</w:t>
      </w:r>
    </w:p>
    <w:p w:rsidR="0089349D" w:rsidRPr="00777309" w:rsidRDefault="0089349D" w:rsidP="0089349D">
      <w:r w:rsidRPr="00777309">
        <w:t xml:space="preserve">Figura </w:t>
      </w:r>
      <w:r w:rsidR="0026570F">
        <w:t>6.4.4-6.</w:t>
      </w:r>
      <w:r w:rsidRPr="00777309">
        <w:t xml:space="preserve"> Preferência de habitat para as aves registradas em campo nas diferentes áreas amostrais.</w:t>
      </w:r>
    </w:p>
    <w:p w:rsidR="0089349D" w:rsidRPr="000F2964" w:rsidRDefault="000F2964" w:rsidP="0089349D">
      <w:r w:rsidRPr="000F2964">
        <w:rPr>
          <w:bCs/>
        </w:rPr>
        <w:t>Figura 6.4.4-7. Sensibilidade a distúrbios de origem antrópica para as espécies de Aves encontradas em cada área pesquisada</w:t>
      </w:r>
    </w:p>
    <w:p w:rsidR="0089349D" w:rsidRPr="00777309" w:rsidRDefault="0089349D" w:rsidP="0089349D">
      <w:r w:rsidRPr="00777309">
        <w:t>Figura</w:t>
      </w:r>
      <w:r>
        <w:t xml:space="preserve"> 6.4.</w:t>
      </w:r>
      <w:r w:rsidR="005F4346">
        <w:t>4-8.</w:t>
      </w:r>
      <w:r w:rsidRPr="00777309">
        <w:t xml:space="preserve"> </w:t>
      </w:r>
      <w:r w:rsidR="000F2964">
        <w:t xml:space="preserve">Avifauna. </w:t>
      </w:r>
      <w:r w:rsidRPr="00777309">
        <w:t>Distribuição das guildas tróficas para os dados primários e secundários</w:t>
      </w:r>
    </w:p>
    <w:p w:rsidR="0089349D" w:rsidRPr="00777309" w:rsidRDefault="0089349D" w:rsidP="0089349D">
      <w:r w:rsidRPr="00777309">
        <w:t>Figura 6.4.</w:t>
      </w:r>
      <w:r w:rsidR="005F4346">
        <w:t>4-9.</w:t>
      </w:r>
      <w:r w:rsidRPr="00777309">
        <w:t xml:space="preserve"> Riqueza da herpetofauna registrada por área amostral na AID </w:t>
      </w:r>
    </w:p>
    <w:p w:rsidR="0089349D" w:rsidRPr="00777309" w:rsidRDefault="0089349D" w:rsidP="0089349D">
      <w:r w:rsidRPr="00777309">
        <w:t>Figura 6.4.</w:t>
      </w:r>
      <w:r w:rsidR="005F4346">
        <w:t>4-10.</w:t>
      </w:r>
      <w:r w:rsidRPr="00777309">
        <w:t xml:space="preserve"> Composição da herpetofauna registrada na AID</w:t>
      </w:r>
    </w:p>
    <w:p w:rsidR="0089349D" w:rsidRPr="00777309" w:rsidRDefault="0089349D" w:rsidP="0089349D">
      <w:pPr>
        <w:rPr>
          <w:rFonts w:cs="Arial"/>
        </w:rPr>
      </w:pPr>
      <w:r w:rsidRPr="00777309">
        <w:rPr>
          <w:rFonts w:cs="Arial"/>
        </w:rPr>
        <w:t>Figura 6.4.</w:t>
      </w:r>
      <w:r w:rsidR="005F4346">
        <w:rPr>
          <w:rFonts w:cs="Arial"/>
        </w:rPr>
        <w:t>4-11.</w:t>
      </w:r>
      <w:r w:rsidRPr="00777309">
        <w:rPr>
          <w:rFonts w:cs="Arial"/>
        </w:rPr>
        <w:t xml:space="preserve"> Espécies de</w:t>
      </w:r>
      <w:r w:rsidR="000F2964">
        <w:rPr>
          <w:rFonts w:cs="Arial"/>
        </w:rPr>
        <w:t xml:space="preserve"> anfíbios anuros encontradas na</w:t>
      </w:r>
      <w:r w:rsidRPr="00777309">
        <w:rPr>
          <w:rFonts w:cs="Arial"/>
        </w:rPr>
        <w:t xml:space="preserve"> AID</w:t>
      </w:r>
    </w:p>
    <w:p w:rsidR="0089349D" w:rsidRPr="00777309" w:rsidRDefault="0089349D" w:rsidP="0089349D">
      <w:pPr>
        <w:rPr>
          <w:rFonts w:cs="Arial"/>
        </w:rPr>
      </w:pPr>
      <w:r w:rsidRPr="00777309">
        <w:rPr>
          <w:rFonts w:cs="Arial"/>
        </w:rPr>
        <w:t>Figura 6.4.</w:t>
      </w:r>
      <w:r w:rsidR="005F4346">
        <w:rPr>
          <w:rFonts w:cs="Arial"/>
        </w:rPr>
        <w:t>4-12.</w:t>
      </w:r>
      <w:r w:rsidRPr="00777309">
        <w:rPr>
          <w:rFonts w:cs="Arial"/>
        </w:rPr>
        <w:t xml:space="preserve"> Curva do coletor aleatorizada</w:t>
      </w:r>
      <w:r w:rsidR="005F4346">
        <w:rPr>
          <w:rFonts w:cs="Arial"/>
        </w:rPr>
        <w:t xml:space="preserve"> </w:t>
      </w:r>
      <w:r w:rsidR="005F4346" w:rsidRPr="005F4346">
        <w:rPr>
          <w:rFonts w:cs="Arial"/>
        </w:rPr>
        <w:t>(1000 randomizações, intervalo de confiança de 95%) e curva de riqueza estimada (Jackknife 1) com base na fauna de anfíbios e répteis registrada na AID</w:t>
      </w:r>
    </w:p>
    <w:p w:rsidR="0089349D" w:rsidRPr="00777309" w:rsidRDefault="0089349D" w:rsidP="0089349D">
      <w:pPr>
        <w:rPr>
          <w:rFonts w:cs="Arial"/>
        </w:rPr>
      </w:pPr>
      <w:r w:rsidRPr="00777309">
        <w:rPr>
          <w:rFonts w:cs="Arial"/>
        </w:rPr>
        <w:t>Figura 6.4.</w:t>
      </w:r>
      <w:r w:rsidR="005F4346">
        <w:rPr>
          <w:rFonts w:cs="Arial"/>
        </w:rPr>
        <w:t>4-13.</w:t>
      </w:r>
      <w:r w:rsidRPr="00777309">
        <w:rPr>
          <w:rFonts w:cs="Arial"/>
        </w:rPr>
        <w:t xml:space="preserve"> Localização geográfica das armadilhas fotográficas 1 e 2 utilizadas para o Levantamento da Mastofauna</w:t>
      </w:r>
    </w:p>
    <w:p w:rsidR="0089349D" w:rsidRPr="00777309" w:rsidRDefault="0089349D" w:rsidP="0089349D">
      <w:pPr>
        <w:rPr>
          <w:rFonts w:cs="Arial"/>
        </w:rPr>
      </w:pPr>
      <w:r w:rsidRPr="00777309">
        <w:rPr>
          <w:rFonts w:cs="Arial"/>
        </w:rPr>
        <w:t>Figura 6.4.</w:t>
      </w:r>
      <w:r w:rsidR="005F4346">
        <w:rPr>
          <w:rFonts w:cs="Arial"/>
        </w:rPr>
        <w:t>4-14.</w:t>
      </w:r>
      <w:r w:rsidRPr="00777309">
        <w:rPr>
          <w:rFonts w:cs="Arial"/>
        </w:rPr>
        <w:t xml:space="preserve"> Localização geográfica das armadilhas fotográficas 3, 4, 5 e 6 utilizadas para o Levantamento da Mastofauna</w:t>
      </w:r>
    </w:p>
    <w:p w:rsidR="0089349D" w:rsidRPr="00777309" w:rsidRDefault="0089349D" w:rsidP="0089349D">
      <w:pPr>
        <w:rPr>
          <w:rFonts w:cs="Arial"/>
        </w:rPr>
      </w:pPr>
      <w:r w:rsidRPr="00777309">
        <w:rPr>
          <w:rFonts w:cs="Arial"/>
        </w:rPr>
        <w:t>Figura 6.4.</w:t>
      </w:r>
      <w:r w:rsidR="005F4346">
        <w:rPr>
          <w:rFonts w:cs="Arial"/>
        </w:rPr>
        <w:t>4-15.</w:t>
      </w:r>
      <w:r w:rsidRPr="00777309">
        <w:rPr>
          <w:rFonts w:cs="Arial"/>
        </w:rPr>
        <w:t xml:space="preserve"> Localização geográfica das armadilhas fotográficas 7, 8, 9 e 10 utilizadas para o Levantamento da Mastofauna</w:t>
      </w:r>
    </w:p>
    <w:p w:rsidR="0089349D" w:rsidRPr="005F4346" w:rsidRDefault="0089349D" w:rsidP="0089349D">
      <w:pPr>
        <w:rPr>
          <w:rFonts w:cs="Arial"/>
        </w:rPr>
      </w:pPr>
      <w:r w:rsidRPr="005F4346">
        <w:rPr>
          <w:rFonts w:cs="Arial"/>
        </w:rPr>
        <w:t>Figura 6.4.</w:t>
      </w:r>
      <w:r w:rsidR="005F4346" w:rsidRPr="005F4346">
        <w:rPr>
          <w:rFonts w:cs="Arial"/>
        </w:rPr>
        <w:t>4-16.</w:t>
      </w:r>
      <w:r w:rsidRPr="005F4346">
        <w:rPr>
          <w:rFonts w:cs="Arial"/>
        </w:rPr>
        <w:t xml:space="preserve"> Curva de acúmulo de espécies de médios e grandes mamíferos silvestres registrados</w:t>
      </w:r>
      <w:r w:rsidR="005F4346" w:rsidRPr="005F4346">
        <w:rPr>
          <w:rFonts w:cs="Arial"/>
        </w:rPr>
        <w:t xml:space="preserve"> e o intervalo de confiança máximo e mínimo para o Levantamento da Mastofauna</w:t>
      </w:r>
    </w:p>
    <w:p w:rsidR="0089349D" w:rsidRPr="00777309" w:rsidRDefault="0089349D" w:rsidP="0089349D">
      <w:r w:rsidRPr="00777309">
        <w:t>Figura 6.4.</w:t>
      </w:r>
      <w:r w:rsidR="005F4346">
        <w:t>4-17.</w:t>
      </w:r>
      <w:r w:rsidRPr="00777309">
        <w:t xml:space="preserve"> Riqueza de mamíferos grandes e médios de acordo com o habitat preferencial registrado</w:t>
      </w:r>
    </w:p>
    <w:p w:rsidR="0089349D" w:rsidRPr="00777309" w:rsidRDefault="0089349D" w:rsidP="0089349D">
      <w:r w:rsidRPr="00777309">
        <w:t>Figura 6.4.</w:t>
      </w:r>
      <w:r w:rsidR="005F4346">
        <w:t>4-18.</w:t>
      </w:r>
      <w:r w:rsidRPr="00777309">
        <w:t xml:space="preserve"> Riqueza de mamíferos grandes e médios de acordo com o período de atividade</w:t>
      </w:r>
    </w:p>
    <w:p w:rsidR="0089349D" w:rsidRPr="00777309" w:rsidRDefault="0089349D" w:rsidP="0089349D">
      <w:r w:rsidRPr="00777309">
        <w:t>Figura 6.4.</w:t>
      </w:r>
      <w:r w:rsidR="005F4346">
        <w:t>4-19.</w:t>
      </w:r>
      <w:r>
        <w:t xml:space="preserve"> </w:t>
      </w:r>
      <w:r w:rsidRPr="00777309">
        <w:t>Riqueza de mamíferos grandes e médios de acordo com a dieta</w:t>
      </w:r>
    </w:p>
    <w:p w:rsidR="0089349D" w:rsidRPr="00777309" w:rsidRDefault="0089349D" w:rsidP="0089349D">
      <w:pPr>
        <w:rPr>
          <w:b/>
        </w:rPr>
      </w:pPr>
      <w:bookmarkStart w:id="2" w:name="_Toc404598468"/>
      <w:r w:rsidRPr="00777309">
        <w:rPr>
          <w:b/>
        </w:rPr>
        <w:t>Biota Aquática</w:t>
      </w:r>
      <w:bookmarkEnd w:id="2"/>
    </w:p>
    <w:p w:rsidR="005F4346" w:rsidRDefault="005F4346" w:rsidP="0089349D">
      <w:r>
        <w:t>Figura 6.4.5-1. Índice da Comunidade Zooplanctônica para Reservatórios</w:t>
      </w:r>
    </w:p>
    <w:p w:rsidR="0089349D" w:rsidRPr="00777309" w:rsidRDefault="0089349D" w:rsidP="0089349D">
      <w:r w:rsidRPr="00777309">
        <w:lastRenderedPageBreak/>
        <w:t>Figura 6.4.</w:t>
      </w:r>
      <w:r w:rsidR="005F4346">
        <w:t>5-2.</w:t>
      </w:r>
      <w:r w:rsidRPr="00777309">
        <w:t xml:space="preserve"> Densidade de organismos fitoplactônicos no Reservatório Cachoeira</w:t>
      </w:r>
    </w:p>
    <w:p w:rsidR="0089349D" w:rsidRPr="00777309" w:rsidRDefault="0089349D" w:rsidP="0089349D">
      <w:r w:rsidRPr="00777309">
        <w:t>Figura 6.4.</w:t>
      </w:r>
      <w:r w:rsidR="005F4346">
        <w:t>5-3.</w:t>
      </w:r>
      <w:r w:rsidRPr="00777309">
        <w:t xml:space="preserve"> Densidade de organismos fitoplactônicos do Reservatório Atibainha</w:t>
      </w:r>
    </w:p>
    <w:p w:rsidR="0089349D" w:rsidRPr="00777309" w:rsidRDefault="0089349D" w:rsidP="0089349D">
      <w:r w:rsidRPr="00777309">
        <w:t>Figura 6.4.</w:t>
      </w:r>
      <w:r w:rsidR="005F4346">
        <w:t>5-</w:t>
      </w:r>
      <w:r w:rsidRPr="00777309">
        <w:t>4</w:t>
      </w:r>
      <w:r w:rsidR="005F4346">
        <w:t>.</w:t>
      </w:r>
      <w:r w:rsidRPr="00777309">
        <w:t xml:space="preserve"> Variação</w:t>
      </w:r>
      <w:r w:rsidR="005F4346">
        <w:t xml:space="preserve"> da densidade de cianobactérias. 2002 a 2008</w:t>
      </w:r>
    </w:p>
    <w:p w:rsidR="0089349D" w:rsidRPr="00777309" w:rsidRDefault="0089349D" w:rsidP="0089349D">
      <w:r w:rsidRPr="00777309">
        <w:t>Figura 6.4.</w:t>
      </w:r>
      <w:r w:rsidR="005F4346">
        <w:t>5-</w:t>
      </w:r>
      <w:r w:rsidRPr="00777309">
        <w:t>5</w:t>
      </w:r>
      <w:r w:rsidR="005F4346">
        <w:t>.</w:t>
      </w:r>
      <w:r w:rsidRPr="00777309">
        <w:t xml:space="preserve"> Desenvolvimento de cianobactérias</w:t>
      </w:r>
    </w:p>
    <w:p w:rsidR="0089349D" w:rsidRPr="00777309" w:rsidRDefault="0089349D" w:rsidP="0089349D">
      <w:r w:rsidRPr="00777309">
        <w:t>Figura 6.4.</w:t>
      </w:r>
      <w:r w:rsidR="005F4346">
        <w:t>5-</w:t>
      </w:r>
      <w:r w:rsidRPr="00777309">
        <w:t>6</w:t>
      </w:r>
      <w:r w:rsidR="005F4346">
        <w:t>.</w:t>
      </w:r>
      <w:r w:rsidRPr="00777309">
        <w:t xml:space="preserve"> IET, Rio Paraíba do Sul no período de 2006 a 2010</w:t>
      </w:r>
    </w:p>
    <w:p w:rsidR="0089349D" w:rsidRPr="00777309" w:rsidRDefault="0089349D" w:rsidP="0089349D">
      <w:r w:rsidRPr="00777309">
        <w:t>Figura 6.4.</w:t>
      </w:r>
      <w:r w:rsidR="005F4346">
        <w:t>5-</w:t>
      </w:r>
      <w:r w:rsidRPr="00777309">
        <w:t>7</w:t>
      </w:r>
      <w:r w:rsidR="005F4346">
        <w:t>.</w:t>
      </w:r>
      <w:r w:rsidRPr="00777309">
        <w:t xml:space="preserve"> IVA, Rio Paraíba do Sul no período de 2006 a 2010</w:t>
      </w:r>
    </w:p>
    <w:p w:rsidR="0089349D" w:rsidRPr="00777309" w:rsidRDefault="0089349D" w:rsidP="0089349D">
      <w:r w:rsidRPr="00777309">
        <w:t>Figura 6.4.</w:t>
      </w:r>
      <w:r w:rsidR="005F4346">
        <w:t>5-</w:t>
      </w:r>
      <w:r w:rsidRPr="00777309">
        <w:t>8</w:t>
      </w:r>
      <w:r w:rsidR="005F4346">
        <w:t>.</w:t>
      </w:r>
      <w:r w:rsidRPr="00777309">
        <w:t xml:space="preserve"> Análise qualitativa da comunidade fitoplanctônica da </w:t>
      </w:r>
      <w:r w:rsidR="00045D13">
        <w:t>r</w:t>
      </w:r>
      <w:r w:rsidRPr="00777309">
        <w:t>epresa de Atibainha</w:t>
      </w:r>
    </w:p>
    <w:p w:rsidR="0089349D" w:rsidRPr="00777309" w:rsidRDefault="0089349D" w:rsidP="0089349D">
      <w:r w:rsidRPr="00777309">
        <w:t>Figura 6.4.</w:t>
      </w:r>
      <w:r w:rsidR="005F4346">
        <w:t>5-</w:t>
      </w:r>
      <w:r w:rsidRPr="00777309">
        <w:t>9</w:t>
      </w:r>
      <w:r w:rsidR="005F4346">
        <w:t>.</w:t>
      </w:r>
      <w:r w:rsidRPr="00777309">
        <w:t xml:space="preserve"> Análise quantitativa da comunidade fitoplanctônica da </w:t>
      </w:r>
      <w:r w:rsidR="00045D13">
        <w:t>r</w:t>
      </w:r>
      <w:r w:rsidRPr="00777309">
        <w:t>epresa de Atibainha</w:t>
      </w:r>
    </w:p>
    <w:p w:rsidR="0089349D" w:rsidRPr="00777309" w:rsidRDefault="0089349D" w:rsidP="0089349D">
      <w:r w:rsidRPr="00777309">
        <w:t>Figura 6.4.</w:t>
      </w:r>
      <w:r w:rsidR="005F4346">
        <w:t>5-1</w:t>
      </w:r>
      <w:r w:rsidRPr="00777309">
        <w:t>0</w:t>
      </w:r>
      <w:r w:rsidR="005F4346">
        <w:t>.</w:t>
      </w:r>
      <w:r w:rsidRPr="00777309">
        <w:t xml:space="preserve"> Análise qualitativa da comunidade zooplanctônica da </w:t>
      </w:r>
      <w:r w:rsidR="00045D13">
        <w:t>r</w:t>
      </w:r>
      <w:r w:rsidRPr="00777309">
        <w:t>epresa de Atibainha</w:t>
      </w:r>
    </w:p>
    <w:p w:rsidR="0089349D" w:rsidRPr="00777309" w:rsidRDefault="0089349D" w:rsidP="0089349D">
      <w:r w:rsidRPr="00777309">
        <w:t>Figura 6.4.</w:t>
      </w:r>
      <w:r w:rsidR="005F4346">
        <w:t>5-1</w:t>
      </w:r>
      <w:r w:rsidRPr="00777309">
        <w:t>1</w:t>
      </w:r>
      <w:r w:rsidR="005F4346">
        <w:t>.</w:t>
      </w:r>
      <w:r w:rsidRPr="00777309">
        <w:t xml:space="preserve"> Análise quantitativa da comunidade zooplanctônica da </w:t>
      </w:r>
      <w:r w:rsidR="00045D13">
        <w:t>r</w:t>
      </w:r>
      <w:r w:rsidRPr="00777309">
        <w:t>epresa de Atibainha</w:t>
      </w:r>
    </w:p>
    <w:p w:rsidR="0089349D" w:rsidRPr="00777309" w:rsidRDefault="0089349D" w:rsidP="0089349D">
      <w:r w:rsidRPr="00777309">
        <w:t>Figura 6.4.</w:t>
      </w:r>
      <w:r w:rsidR="005F4346">
        <w:t>5-1</w:t>
      </w:r>
      <w:r w:rsidRPr="00777309">
        <w:t>2</w:t>
      </w:r>
      <w:r w:rsidR="005F4346">
        <w:t>.</w:t>
      </w:r>
      <w:r>
        <w:t xml:space="preserve"> </w:t>
      </w:r>
      <w:r w:rsidRPr="00777309">
        <w:t xml:space="preserve">Análise qualitativa da comunidade fitoplanctônica da </w:t>
      </w:r>
      <w:r w:rsidR="00045D13">
        <w:t>r</w:t>
      </w:r>
      <w:r w:rsidRPr="00777309">
        <w:t>epresa Jaguari/CESP</w:t>
      </w:r>
    </w:p>
    <w:p w:rsidR="0089349D" w:rsidRPr="00777309" w:rsidRDefault="0089349D" w:rsidP="0089349D">
      <w:r w:rsidRPr="00777309">
        <w:t>Figura 6.4.</w:t>
      </w:r>
      <w:r w:rsidR="005F4346">
        <w:t>5-1</w:t>
      </w:r>
      <w:r w:rsidRPr="00777309">
        <w:t>3</w:t>
      </w:r>
      <w:r w:rsidR="005F4346">
        <w:t>.</w:t>
      </w:r>
      <w:r w:rsidRPr="00777309">
        <w:t xml:space="preserve"> Análise quantitativa da comunidade fitoplanctônica da </w:t>
      </w:r>
      <w:r w:rsidR="00045D13">
        <w:t>r</w:t>
      </w:r>
      <w:r w:rsidRPr="00777309">
        <w:t>epresa Jaguari/CESP</w:t>
      </w:r>
    </w:p>
    <w:p w:rsidR="0089349D" w:rsidRPr="00777309" w:rsidRDefault="0089349D" w:rsidP="0089349D">
      <w:r w:rsidRPr="00777309">
        <w:t>Figura 6.4.</w:t>
      </w:r>
      <w:r w:rsidR="005F4346">
        <w:t>5-1</w:t>
      </w:r>
      <w:r w:rsidRPr="00777309">
        <w:t>4</w:t>
      </w:r>
      <w:r w:rsidR="005F4346">
        <w:t>.</w:t>
      </w:r>
      <w:r w:rsidRPr="00777309">
        <w:t xml:space="preserve"> Análise qualitativa d</w:t>
      </w:r>
      <w:r w:rsidR="00045D13">
        <w:t>a comunidade zooplanctônica da r</w:t>
      </w:r>
      <w:r w:rsidRPr="00777309">
        <w:t>epresa Jaguari/CESP</w:t>
      </w:r>
    </w:p>
    <w:p w:rsidR="0089349D" w:rsidRDefault="005F4346" w:rsidP="0089349D">
      <w:r>
        <w:t>Figura 6.4.5-1</w:t>
      </w:r>
      <w:r w:rsidR="0089349D" w:rsidRPr="00777309">
        <w:t>5</w:t>
      </w:r>
      <w:r>
        <w:t>.</w:t>
      </w:r>
      <w:r w:rsidR="0089349D" w:rsidRPr="00777309">
        <w:t xml:space="preserve"> Análise quantitativa da comunidade zooplanctônica da </w:t>
      </w:r>
      <w:r w:rsidR="00045D13">
        <w:t>r</w:t>
      </w:r>
      <w:r w:rsidR="0089349D" w:rsidRPr="00777309">
        <w:t>epresa Jaguari/CESP</w:t>
      </w:r>
    </w:p>
    <w:p w:rsidR="00C43944" w:rsidRDefault="006C6962" w:rsidP="0089349D">
      <w:r w:rsidRPr="00BD6ECC">
        <w:t xml:space="preserve">Figura </w:t>
      </w:r>
      <w:r>
        <w:t>6.4.5-</w:t>
      </w:r>
      <w:r w:rsidRPr="00BD6ECC">
        <w:t>1</w:t>
      </w:r>
      <w:r>
        <w:t>6</w:t>
      </w:r>
      <w:r w:rsidRPr="00BD6ECC">
        <w:t>. Imagem de satélite da área de estudo com os pontos de amostragem</w:t>
      </w:r>
      <w:r>
        <w:t xml:space="preserve"> de Ictiofauna</w:t>
      </w:r>
    </w:p>
    <w:p w:rsidR="006C6962" w:rsidRDefault="006C6962" w:rsidP="0089349D">
      <w:pPr>
        <w:rPr>
          <w:noProof/>
        </w:rPr>
      </w:pPr>
      <w:r w:rsidRPr="00467CF4">
        <w:rPr>
          <w:noProof/>
        </w:rPr>
        <w:t xml:space="preserve">Figura </w:t>
      </w:r>
      <w:r>
        <w:rPr>
          <w:noProof/>
        </w:rPr>
        <w:t>6.4.5-17</w:t>
      </w:r>
      <w:r w:rsidRPr="00467CF4">
        <w:rPr>
          <w:noProof/>
        </w:rPr>
        <w:t>. Pontos amostrados no levantamento de dados primários d</w:t>
      </w:r>
      <w:r>
        <w:rPr>
          <w:noProof/>
        </w:rPr>
        <w:t>e</w:t>
      </w:r>
      <w:r w:rsidRPr="00467CF4">
        <w:rPr>
          <w:noProof/>
        </w:rPr>
        <w:t xml:space="preserve"> ictiofauna</w:t>
      </w:r>
    </w:p>
    <w:p w:rsidR="006C6962" w:rsidRDefault="006C6962" w:rsidP="0089349D">
      <w:pPr>
        <w:rPr>
          <w:noProof/>
        </w:rPr>
      </w:pPr>
      <w:r w:rsidRPr="00467CF4">
        <w:rPr>
          <w:noProof/>
        </w:rPr>
        <w:t xml:space="preserve">Figura </w:t>
      </w:r>
      <w:r>
        <w:rPr>
          <w:noProof/>
        </w:rPr>
        <w:t>6.4.5-18</w:t>
      </w:r>
      <w:r w:rsidRPr="00467CF4">
        <w:rPr>
          <w:noProof/>
        </w:rPr>
        <w:t xml:space="preserve">. Apetrechos de pesca utilizados no </w:t>
      </w:r>
      <w:r>
        <w:rPr>
          <w:noProof/>
        </w:rPr>
        <w:t>levantamento de dados primários</w:t>
      </w:r>
      <w:r w:rsidR="000F2964" w:rsidRPr="000F2964">
        <w:rPr>
          <w:noProof/>
        </w:rPr>
        <w:t xml:space="preserve"> </w:t>
      </w:r>
      <w:r w:rsidR="000F2964" w:rsidRPr="00467CF4">
        <w:rPr>
          <w:noProof/>
        </w:rPr>
        <w:t>d</w:t>
      </w:r>
      <w:r w:rsidR="000F2964">
        <w:rPr>
          <w:noProof/>
        </w:rPr>
        <w:t>e</w:t>
      </w:r>
      <w:r w:rsidR="000F2964" w:rsidRPr="00467CF4">
        <w:rPr>
          <w:noProof/>
        </w:rPr>
        <w:t xml:space="preserve"> ictiofauna</w:t>
      </w:r>
    </w:p>
    <w:p w:rsidR="006C6962" w:rsidRDefault="006C6962" w:rsidP="0089349D">
      <w:r w:rsidRPr="00467CF4">
        <w:t xml:space="preserve">Figura </w:t>
      </w:r>
      <w:r>
        <w:t>6.4.5-19</w:t>
      </w:r>
      <w:r w:rsidRPr="00467CF4">
        <w:t xml:space="preserve">. Espécies capturadas no levantamento de dados primários da </w:t>
      </w:r>
      <w:r w:rsidR="000F2964" w:rsidRPr="00467CF4">
        <w:t>Ictiofauna</w:t>
      </w:r>
    </w:p>
    <w:p w:rsidR="006C6962" w:rsidRDefault="006C6962" w:rsidP="0089349D">
      <w:r>
        <w:t>Figura 6.4.5-20</w:t>
      </w:r>
      <w:r w:rsidRPr="00467CF4">
        <w:t xml:space="preserve">. </w:t>
      </w:r>
      <w:r w:rsidR="000F2964" w:rsidRPr="00467CF4">
        <w:t>Ictiofauna</w:t>
      </w:r>
      <w:r w:rsidR="000F2964">
        <w:t>.</w:t>
      </w:r>
      <w:r w:rsidR="000F2964" w:rsidRPr="00467CF4">
        <w:t xml:space="preserve"> </w:t>
      </w:r>
      <w:r w:rsidRPr="00467CF4">
        <w:t>Abundância total das espécies capturadas no reservatório Atibainha</w:t>
      </w:r>
    </w:p>
    <w:p w:rsidR="006C6962" w:rsidRDefault="006C6962" w:rsidP="0089349D">
      <w:r w:rsidRPr="00467CF4">
        <w:t xml:space="preserve">Figura </w:t>
      </w:r>
      <w:r>
        <w:t>6.4.5-21</w:t>
      </w:r>
      <w:r w:rsidRPr="00467CF4">
        <w:t xml:space="preserve">. </w:t>
      </w:r>
      <w:r w:rsidR="000F2964" w:rsidRPr="00467CF4">
        <w:t>Ictiofauna</w:t>
      </w:r>
      <w:r w:rsidR="000F2964">
        <w:t>.</w:t>
      </w:r>
      <w:r w:rsidR="000F2964" w:rsidRPr="00467CF4">
        <w:t xml:space="preserve"> </w:t>
      </w:r>
      <w:r w:rsidRPr="00467CF4">
        <w:t>Abundância total das espécies capturadas no reservatório Jaguari</w:t>
      </w:r>
    </w:p>
    <w:p w:rsidR="006C6962" w:rsidRDefault="006C6962" w:rsidP="0089349D">
      <w:r w:rsidRPr="001B2E1C">
        <w:t xml:space="preserve">Figura </w:t>
      </w:r>
      <w:r>
        <w:t>6.4.5-22</w:t>
      </w:r>
      <w:r w:rsidRPr="001B2E1C">
        <w:t xml:space="preserve">. </w:t>
      </w:r>
      <w:r w:rsidR="000F2964" w:rsidRPr="00467CF4">
        <w:t>Ictiofauna</w:t>
      </w:r>
      <w:r w:rsidR="000F2964">
        <w:t>.</w:t>
      </w:r>
      <w:r w:rsidR="000F2964" w:rsidRPr="00467CF4">
        <w:t xml:space="preserve"> </w:t>
      </w:r>
      <w:r w:rsidRPr="001B2E1C">
        <w:t>Curva de rarefação</w:t>
      </w:r>
    </w:p>
    <w:p w:rsidR="006C6962" w:rsidRDefault="006C6962" w:rsidP="0089349D">
      <w:r>
        <w:t>Figura 6.4.5-23</w:t>
      </w:r>
      <w:r w:rsidRPr="001B2E1C">
        <w:t xml:space="preserve">. </w:t>
      </w:r>
      <w:r w:rsidR="000F2964" w:rsidRPr="00467CF4">
        <w:t>Ictiofauna</w:t>
      </w:r>
      <w:r w:rsidR="000F2964">
        <w:t>.</w:t>
      </w:r>
      <w:r w:rsidR="000F2964" w:rsidRPr="00467CF4">
        <w:t xml:space="preserve"> </w:t>
      </w:r>
      <w:r w:rsidRPr="001B2E1C">
        <w:t>Análise de agrupamento</w:t>
      </w:r>
    </w:p>
    <w:p w:rsidR="00502D8C" w:rsidRDefault="00502D8C" w:rsidP="0089349D">
      <w:r>
        <w:t>Figura 6.4.5-24. Bentos no reservatório Jaguari-Jacareí (Cantareira). 2009</w:t>
      </w:r>
    </w:p>
    <w:p w:rsidR="00502D8C" w:rsidRDefault="00502D8C" w:rsidP="0089349D">
      <w:r>
        <w:t>Figura 6.4.5-25. Bentos no reservatório Jaguari-Jacareí (Cantareira). 2010</w:t>
      </w:r>
    </w:p>
    <w:p w:rsidR="00502D8C" w:rsidRDefault="00502D8C" w:rsidP="0089349D">
      <w:r>
        <w:t>Figura 6.4.5-26. Bentos no reservatório Jaguari-Jacareí (Cantareira). 2011</w:t>
      </w:r>
    </w:p>
    <w:p w:rsidR="00502D8C" w:rsidRDefault="00502D8C" w:rsidP="0089349D">
      <w:r>
        <w:t>Figura 6.4.5-27. Bentos no reservatório Jaguari (CESP). 2012</w:t>
      </w:r>
    </w:p>
    <w:p w:rsidR="00502D8C" w:rsidRDefault="00502D8C" w:rsidP="0089349D">
      <w:r>
        <w:t>Figura 6.4.5-28. Bentos no reservatório Jaguari (CESP). 2013</w:t>
      </w:r>
    </w:p>
    <w:p w:rsidR="006C6962" w:rsidRPr="006C6962" w:rsidRDefault="006C6962" w:rsidP="0089349D">
      <w:pPr>
        <w:rPr>
          <w:b/>
        </w:rPr>
      </w:pPr>
      <w:r w:rsidRPr="006C6962">
        <w:rPr>
          <w:b/>
        </w:rPr>
        <w:t xml:space="preserve">Áreas </w:t>
      </w:r>
      <w:r w:rsidR="003C18B1">
        <w:rPr>
          <w:b/>
        </w:rPr>
        <w:t xml:space="preserve">Naturais </w:t>
      </w:r>
      <w:r w:rsidRPr="006C6962">
        <w:rPr>
          <w:b/>
        </w:rPr>
        <w:t>Protegidas</w:t>
      </w:r>
    </w:p>
    <w:p w:rsidR="0089349D" w:rsidRDefault="0089349D" w:rsidP="0089349D">
      <w:r>
        <w:t>Figura 6.4.6-1</w:t>
      </w:r>
      <w:r w:rsidR="006C6962">
        <w:t>.</w:t>
      </w:r>
      <w:r>
        <w:t xml:space="preserve"> Reserva da Biosfera do Cinturão Verde </w:t>
      </w:r>
      <w:r w:rsidR="007938F3">
        <w:t>da Cidade de São Paulo – RBCVSP</w:t>
      </w:r>
    </w:p>
    <w:p w:rsidR="0089349D" w:rsidRDefault="0089349D" w:rsidP="0089349D">
      <w:r>
        <w:t>Figura 6.4.6-2</w:t>
      </w:r>
      <w:r w:rsidR="006C6962">
        <w:t>.</w:t>
      </w:r>
      <w:r>
        <w:t xml:space="preserve"> Áreas Naturais Protegidas AII</w:t>
      </w:r>
    </w:p>
    <w:p w:rsidR="0089349D" w:rsidRDefault="0089349D" w:rsidP="0089349D">
      <w:r>
        <w:t>Figura 6.4.6-3</w:t>
      </w:r>
      <w:r w:rsidR="006C6962">
        <w:t>.</w:t>
      </w:r>
      <w:r>
        <w:t xml:space="preserve"> Áreas Naturais Protegidas Detalhe</w:t>
      </w:r>
    </w:p>
    <w:p w:rsidR="0089349D" w:rsidRDefault="0089349D" w:rsidP="0089349D">
      <w:r>
        <w:t>Figura 6.4.6-4</w:t>
      </w:r>
      <w:r w:rsidR="006C6962">
        <w:t>.</w:t>
      </w:r>
      <w:r w:rsidRPr="00DB39C2">
        <w:t xml:space="preserve"> Áreas Prioritárias para a Conserv</w:t>
      </w:r>
      <w:r>
        <w:t>ação e Conectividade</w:t>
      </w:r>
    </w:p>
    <w:p w:rsidR="0089349D" w:rsidRDefault="0089349D" w:rsidP="0089349D">
      <w:r>
        <w:t>Figura 6.4.6-5</w:t>
      </w:r>
      <w:r w:rsidR="006C6962">
        <w:t>.</w:t>
      </w:r>
      <w:r w:rsidRPr="00DB39C2">
        <w:t xml:space="preserve"> Fragmentos Indicados para Criação de Unidades de Conservação de Proteção Integral</w:t>
      </w:r>
    </w:p>
    <w:p w:rsidR="007938F3" w:rsidRPr="00CE7535" w:rsidRDefault="007938F3" w:rsidP="0089349D">
      <w:r w:rsidRPr="00CE7535">
        <w:t>Figura 6.4.6-6. A Interligação na APM Jaguari em Santa Isabel</w:t>
      </w:r>
    </w:p>
    <w:p w:rsidR="007938F3" w:rsidRPr="007938F3" w:rsidRDefault="00CE7535" w:rsidP="0089349D">
      <w:r w:rsidRPr="00CE7535">
        <w:t>Figura 6.4.6-7. Localização da futura APRM Alto Juquery e a Interligação</w:t>
      </w:r>
    </w:p>
    <w:p w:rsidR="0089349D" w:rsidRDefault="0089349D" w:rsidP="00340132"/>
    <w:p w:rsidR="00164D83" w:rsidRPr="00CE1148" w:rsidRDefault="00164D83" w:rsidP="00CE1148">
      <w:pPr>
        <w:jc w:val="center"/>
        <w:rPr>
          <w:b/>
        </w:rPr>
      </w:pPr>
      <w:r w:rsidRPr="00CE1148">
        <w:rPr>
          <w:b/>
        </w:rPr>
        <w:t>Lista de Tabelas</w:t>
      </w:r>
      <w:r w:rsidR="00A11DBD">
        <w:rPr>
          <w:b/>
        </w:rPr>
        <w:t>. Tomo 3</w:t>
      </w:r>
    </w:p>
    <w:p w:rsidR="00C61DCD" w:rsidRPr="00C61DCD" w:rsidRDefault="00C61DCD" w:rsidP="00A11DBD">
      <w:pPr>
        <w:rPr>
          <w:rFonts w:eastAsia="SimSun" w:cs="Arial"/>
          <w:b/>
        </w:rPr>
      </w:pPr>
      <w:r w:rsidRPr="00C61DCD">
        <w:rPr>
          <w:rFonts w:eastAsia="SimSun" w:cs="Arial"/>
          <w:b/>
        </w:rPr>
        <w:t>Vegetação</w:t>
      </w:r>
    </w:p>
    <w:p w:rsidR="00A11DBD" w:rsidRPr="004E2848" w:rsidRDefault="00A11DBD" w:rsidP="00A11DBD">
      <w:pPr>
        <w:rPr>
          <w:rFonts w:eastAsia="SimSun" w:cs="Arial"/>
        </w:rPr>
      </w:pPr>
      <w:r w:rsidRPr="004E2848">
        <w:rPr>
          <w:rFonts w:eastAsia="SimSun" w:cs="Arial"/>
        </w:rPr>
        <w:t>Tabela 6.4.1</w:t>
      </w:r>
      <w:r>
        <w:rPr>
          <w:rFonts w:eastAsia="SimSun" w:cs="Arial"/>
        </w:rPr>
        <w:t>-1.</w:t>
      </w:r>
      <w:r w:rsidRPr="004E2848">
        <w:rPr>
          <w:rFonts w:eastAsia="SimSun" w:cs="Arial"/>
        </w:rPr>
        <w:t xml:space="preserve"> Vegetação Nativa Remanescente. Tipologia</w:t>
      </w:r>
      <w:r>
        <w:rPr>
          <w:rFonts w:eastAsia="SimSun" w:cs="Arial"/>
        </w:rPr>
        <w:t xml:space="preserve"> e área de cobertura, por UGRHI</w:t>
      </w:r>
    </w:p>
    <w:p w:rsidR="00A11DBD" w:rsidRPr="004E2848" w:rsidRDefault="00A11DBD" w:rsidP="00A11DBD">
      <w:pPr>
        <w:rPr>
          <w:rFonts w:eastAsia="SimSun" w:cs="Arial"/>
        </w:rPr>
      </w:pPr>
      <w:r w:rsidRPr="004E2848">
        <w:rPr>
          <w:rFonts w:eastAsia="SimSun" w:cs="Arial"/>
        </w:rPr>
        <w:t>Tabela 6.4.</w:t>
      </w:r>
      <w:r>
        <w:rPr>
          <w:rFonts w:eastAsia="SimSun" w:cs="Arial"/>
        </w:rPr>
        <w:t>1-2.</w:t>
      </w:r>
      <w:r w:rsidRPr="004E2848">
        <w:rPr>
          <w:rFonts w:eastAsia="SimSun" w:cs="Arial"/>
        </w:rPr>
        <w:t xml:space="preserve"> Vegetação Nativa Remanescente. Tipologia e á</w:t>
      </w:r>
      <w:r>
        <w:rPr>
          <w:rFonts w:eastAsia="SimSun" w:cs="Arial"/>
        </w:rPr>
        <w:t>rea de cobertura, por município</w:t>
      </w:r>
    </w:p>
    <w:p w:rsidR="00A11DBD" w:rsidRPr="004E2848" w:rsidRDefault="00A11DBD" w:rsidP="00A11DBD">
      <w:pPr>
        <w:rPr>
          <w:rFonts w:eastAsia="SimSun" w:cs="Arial"/>
        </w:rPr>
      </w:pPr>
      <w:r w:rsidRPr="004E2848">
        <w:rPr>
          <w:rFonts w:eastAsia="SimSun" w:cs="Arial"/>
        </w:rPr>
        <w:t>Tabela 6.4.</w:t>
      </w:r>
      <w:r>
        <w:rPr>
          <w:rFonts w:eastAsia="SimSun" w:cs="Arial"/>
        </w:rPr>
        <w:t>1-</w:t>
      </w:r>
      <w:r w:rsidRPr="004E2848">
        <w:rPr>
          <w:rFonts w:eastAsia="SimSun" w:cs="Arial"/>
        </w:rPr>
        <w:t>3</w:t>
      </w:r>
      <w:r>
        <w:rPr>
          <w:rFonts w:eastAsia="SimSun" w:cs="Arial"/>
        </w:rPr>
        <w:t>.</w:t>
      </w:r>
      <w:r w:rsidRPr="004E2848">
        <w:rPr>
          <w:rFonts w:eastAsia="SimSun" w:cs="Arial"/>
        </w:rPr>
        <w:t xml:space="preserve"> Vegetação Nativa Remanescente. N</w:t>
      </w:r>
      <w:r w:rsidRPr="00FD2CCD">
        <w:rPr>
          <w:rFonts w:eastAsia="SimSun" w:cs="Arial"/>
        </w:rPr>
        <w:t>º</w:t>
      </w:r>
      <w:r w:rsidRPr="004E2848">
        <w:rPr>
          <w:rFonts w:eastAsia="SimSun" w:cs="Arial"/>
        </w:rPr>
        <w:t xml:space="preserve"> de fragment</w:t>
      </w:r>
      <w:r>
        <w:rPr>
          <w:rFonts w:eastAsia="SimSun" w:cs="Arial"/>
        </w:rPr>
        <w:t>os, por área e município, AII</w:t>
      </w:r>
    </w:p>
    <w:p w:rsidR="00A11DBD" w:rsidRPr="004E2848" w:rsidRDefault="00A11DBD" w:rsidP="00A11DBD">
      <w:pPr>
        <w:rPr>
          <w:rFonts w:eastAsia="SimSun" w:cs="Arial"/>
        </w:rPr>
      </w:pPr>
      <w:r w:rsidRPr="004E2848">
        <w:rPr>
          <w:rFonts w:eastAsia="SimSun" w:cs="Arial"/>
        </w:rPr>
        <w:t>Tabela 6.4.</w:t>
      </w:r>
      <w:r>
        <w:rPr>
          <w:rFonts w:eastAsia="SimSun" w:cs="Arial"/>
        </w:rPr>
        <w:t>2-1.</w:t>
      </w:r>
      <w:r w:rsidRPr="004E2848">
        <w:rPr>
          <w:rFonts w:eastAsia="SimSun" w:cs="Arial"/>
        </w:rPr>
        <w:t xml:space="preserve"> Cobertura vegetal na AID, por município.</w:t>
      </w:r>
    </w:p>
    <w:p w:rsidR="00A11DBD" w:rsidRPr="004E2848" w:rsidRDefault="00A11DBD" w:rsidP="00A11DBD">
      <w:pPr>
        <w:rPr>
          <w:rFonts w:eastAsia="SimSun" w:cs="Arial"/>
        </w:rPr>
      </w:pPr>
      <w:r w:rsidRPr="004E2848">
        <w:rPr>
          <w:rFonts w:eastAsia="SimSun" w:cs="Arial"/>
        </w:rPr>
        <w:t>Tabela 6.4.</w:t>
      </w:r>
      <w:r>
        <w:rPr>
          <w:rFonts w:eastAsia="SimSun" w:cs="Arial"/>
        </w:rPr>
        <w:t xml:space="preserve">2-2. </w:t>
      </w:r>
      <w:r w:rsidRPr="004E2848">
        <w:rPr>
          <w:rFonts w:eastAsia="SimSun" w:cs="Arial"/>
        </w:rPr>
        <w:t>Localização e características gerais das áreas de levantamento</w:t>
      </w:r>
      <w:r w:rsidR="007005C7">
        <w:rPr>
          <w:rFonts w:eastAsia="SimSun" w:cs="Arial"/>
        </w:rPr>
        <w:t xml:space="preserve"> de </w:t>
      </w:r>
      <w:r w:rsidR="007055B7">
        <w:rPr>
          <w:rFonts w:eastAsia="SimSun" w:cs="Arial"/>
        </w:rPr>
        <w:t>Flora</w:t>
      </w:r>
      <w:r w:rsidRPr="004E2848">
        <w:rPr>
          <w:rFonts w:eastAsia="SimSun" w:cs="Arial"/>
        </w:rPr>
        <w:t>, 2014, na AID da Interligação entre as represas Jaguari e Atibainha.</w:t>
      </w:r>
    </w:p>
    <w:p w:rsidR="00A11DBD" w:rsidRDefault="00A11DBD" w:rsidP="00A11DBD">
      <w:pPr>
        <w:rPr>
          <w:rFonts w:eastAsia="SimSun" w:cs="Arial"/>
        </w:rPr>
      </w:pPr>
      <w:r w:rsidRPr="00FD2CCD">
        <w:rPr>
          <w:rFonts w:eastAsia="SimSun" w:cs="Arial"/>
        </w:rPr>
        <w:t>Tabela 6.4.2-3</w:t>
      </w:r>
      <w:r>
        <w:rPr>
          <w:rFonts w:eastAsia="SimSun" w:cs="Arial"/>
        </w:rPr>
        <w:t>.</w:t>
      </w:r>
      <w:r w:rsidRPr="00FD2CCD">
        <w:rPr>
          <w:rFonts w:eastAsia="SimSun" w:cs="Arial"/>
        </w:rPr>
        <w:t xml:space="preserve"> Matriz de similaridade entre os pontos de amostragem. Coeficiente de Jaccard.</w:t>
      </w:r>
    </w:p>
    <w:p w:rsidR="00C61DCD" w:rsidRDefault="00C61DCD" w:rsidP="00A11DBD">
      <w:pPr>
        <w:rPr>
          <w:rFonts w:eastAsia="SimSun" w:cs="Arial"/>
        </w:rPr>
      </w:pPr>
      <w:r w:rsidRPr="00C61DCD">
        <w:rPr>
          <w:rFonts w:eastAsia="SimSun" w:cs="Arial"/>
        </w:rPr>
        <w:t>Tabela 6.4.3-1. Formações Vegetais presentes na ADA – Sistema Hidráulico</w:t>
      </w:r>
    </w:p>
    <w:p w:rsidR="00C61DCD" w:rsidRDefault="00C61DCD" w:rsidP="00A11DBD">
      <w:r w:rsidRPr="00C61DCD">
        <w:t>Tabela 6.4.3-2. Formações Vegetais presentes na ADA – LT. Município de Santa Isabel</w:t>
      </w:r>
    </w:p>
    <w:p w:rsidR="00C61DCD" w:rsidRPr="00C61DCD" w:rsidRDefault="00C61DCD" w:rsidP="00A11DBD">
      <w:r w:rsidRPr="00C61DCD">
        <w:t>Tabela 6.4.3-3. Fragmentos Florestais mais Significativos na ADA</w:t>
      </w:r>
    </w:p>
    <w:p w:rsidR="00A11DBD" w:rsidRPr="00FD2CCD" w:rsidRDefault="00A11DBD" w:rsidP="00A11DBD">
      <w:pPr>
        <w:rPr>
          <w:rFonts w:eastAsia="SimSun" w:cs="Arial"/>
          <w:b/>
        </w:rPr>
      </w:pPr>
      <w:r w:rsidRPr="00FD2CCD">
        <w:rPr>
          <w:rFonts w:eastAsia="SimSun" w:cs="Arial"/>
          <w:b/>
        </w:rPr>
        <w:t>Fauna Silvestre</w:t>
      </w:r>
    </w:p>
    <w:p w:rsidR="00A11DBD" w:rsidRPr="00FD2CCD" w:rsidRDefault="00A11DBD" w:rsidP="00A11DBD">
      <w:pPr>
        <w:rPr>
          <w:rFonts w:eastAsia="SimSun" w:cs="Arial"/>
        </w:rPr>
      </w:pPr>
      <w:r w:rsidRPr="00FD2CCD">
        <w:rPr>
          <w:rFonts w:eastAsia="SimSun" w:cs="Arial"/>
        </w:rPr>
        <w:t>Tabela 6.4.4-1</w:t>
      </w:r>
      <w:bookmarkStart w:id="3" w:name="_Toc404598461"/>
      <w:r>
        <w:rPr>
          <w:rFonts w:eastAsia="SimSun" w:cs="Arial"/>
        </w:rPr>
        <w:t>.</w:t>
      </w:r>
      <w:r w:rsidRPr="00FD2CCD">
        <w:rPr>
          <w:rFonts w:eastAsia="SimSun" w:cs="Arial"/>
        </w:rPr>
        <w:t xml:space="preserve"> Listagem de estudos de cunho técnico/científico utilizado</w:t>
      </w:r>
      <w:r w:rsidR="007055B7">
        <w:rPr>
          <w:rFonts w:eastAsia="SimSun" w:cs="Arial"/>
        </w:rPr>
        <w:t>s</w:t>
      </w:r>
      <w:r w:rsidRPr="00FD2CCD">
        <w:rPr>
          <w:rFonts w:eastAsia="SimSun" w:cs="Arial"/>
        </w:rPr>
        <w:t xml:space="preserve"> para a composição do levantamento de dados secundários da avifauna de potencial ocorrência na AID</w:t>
      </w:r>
    </w:p>
    <w:p w:rsidR="00A11DBD" w:rsidRPr="00FD2CCD" w:rsidRDefault="00A11DBD" w:rsidP="00A11DBD">
      <w:pPr>
        <w:rPr>
          <w:rFonts w:eastAsia="SimSun" w:cs="Arial"/>
        </w:rPr>
      </w:pPr>
      <w:r w:rsidRPr="00FD2CCD">
        <w:rPr>
          <w:rFonts w:eastAsia="SimSun" w:cs="Arial"/>
        </w:rPr>
        <w:t>Tabela 6.4.4-2. Estações amostrais</w:t>
      </w:r>
      <w:r w:rsidR="007055B7">
        <w:rPr>
          <w:rFonts w:eastAsia="SimSun" w:cs="Arial"/>
        </w:rPr>
        <w:t xml:space="preserve"> de Avifauna</w:t>
      </w:r>
      <w:r w:rsidRPr="00FD2CCD">
        <w:rPr>
          <w:rFonts w:eastAsia="SimSun" w:cs="Arial"/>
        </w:rPr>
        <w:t xml:space="preserve">, metodologia empregada, data, período do dia e seus respetivos horários de amostragem, </w:t>
      </w:r>
      <w:r w:rsidR="007055B7">
        <w:rPr>
          <w:rFonts w:eastAsia="SimSun" w:cs="Arial"/>
        </w:rPr>
        <w:t xml:space="preserve">e </w:t>
      </w:r>
      <w:r w:rsidRPr="00FD2CCD">
        <w:rPr>
          <w:rFonts w:eastAsia="SimSun" w:cs="Arial"/>
        </w:rPr>
        <w:t>esforço empregado</w:t>
      </w:r>
    </w:p>
    <w:p w:rsidR="00A11DBD" w:rsidRPr="00FD2CCD" w:rsidRDefault="00A11DBD" w:rsidP="00A11DBD">
      <w:pPr>
        <w:rPr>
          <w:rFonts w:eastAsia="SimSun" w:cs="Arial"/>
        </w:rPr>
      </w:pPr>
      <w:r w:rsidRPr="00FD2CCD">
        <w:rPr>
          <w:rFonts w:eastAsia="SimSun" w:cs="Arial"/>
        </w:rPr>
        <w:t>Tabela 6.4.4-3. Índice de diversidade de Shannon calculado para cada área de estudo</w:t>
      </w:r>
      <w:r w:rsidR="00F80621" w:rsidRPr="00F80621">
        <w:rPr>
          <w:bCs/>
        </w:rPr>
        <w:t xml:space="preserve"> de Avifauna</w:t>
      </w:r>
    </w:p>
    <w:p w:rsidR="00A11DBD" w:rsidRPr="00FD2CCD" w:rsidRDefault="00A11DBD" w:rsidP="00A11DBD">
      <w:pPr>
        <w:rPr>
          <w:rFonts w:eastAsia="SimSun" w:cs="Arial"/>
        </w:rPr>
      </w:pPr>
      <w:r w:rsidRPr="00FD2CCD">
        <w:rPr>
          <w:rFonts w:eastAsia="SimSun" w:cs="Arial"/>
        </w:rPr>
        <w:t xml:space="preserve">Tabela 6.4.4-4. Número de espécies </w:t>
      </w:r>
      <w:r w:rsidR="00F80621">
        <w:rPr>
          <w:rFonts w:eastAsia="SimSun" w:cs="Arial"/>
        </w:rPr>
        <w:t xml:space="preserve">de aves </w:t>
      </w:r>
      <w:r w:rsidRPr="00FD2CCD">
        <w:rPr>
          <w:rFonts w:eastAsia="SimSun" w:cs="Arial"/>
        </w:rPr>
        <w:t>endêmicas, ameaçadas, incluídas nos Apêndices da CITES e IN n</w:t>
      </w:r>
      <w:r w:rsidRPr="00C61DCD">
        <w:rPr>
          <w:rFonts w:eastAsia="SimSun" w:cs="Arial"/>
          <w:vertAlign w:val="superscript"/>
        </w:rPr>
        <w:t>o</w:t>
      </w:r>
      <w:r w:rsidRPr="00FD2CCD">
        <w:rPr>
          <w:rFonts w:eastAsia="SimSun" w:cs="Arial"/>
        </w:rPr>
        <w:t xml:space="preserve"> 1, cinegéticas, de interesse econômico, migratórias e exótico-invasoras, com potencial ocorrência e registradas em campo nas Áreas de Influência do empreendimento</w:t>
      </w:r>
    </w:p>
    <w:p w:rsidR="00A11DBD" w:rsidRPr="00FD2CCD" w:rsidRDefault="00A11DBD" w:rsidP="00A11DBD">
      <w:pPr>
        <w:rPr>
          <w:rFonts w:eastAsia="SimSun" w:cs="Arial"/>
        </w:rPr>
      </w:pPr>
      <w:r w:rsidRPr="00FD2CCD">
        <w:rPr>
          <w:rFonts w:eastAsia="SimSun" w:cs="Arial"/>
        </w:rPr>
        <w:t>Tabela 6.4.4-5. Descrição dos cinco fragmentos selecionados para a amostragem da herpetofauna, entre os dias 30/09 e 05/10/2014.</w:t>
      </w:r>
    </w:p>
    <w:p w:rsidR="00A11DBD" w:rsidRPr="00FD2CCD" w:rsidRDefault="00A11DBD" w:rsidP="00A11DBD">
      <w:pPr>
        <w:rPr>
          <w:rFonts w:eastAsia="SimSun" w:cs="Arial"/>
        </w:rPr>
      </w:pPr>
      <w:r w:rsidRPr="00FD2CCD">
        <w:rPr>
          <w:rFonts w:eastAsia="SimSun" w:cs="Arial"/>
        </w:rPr>
        <w:t xml:space="preserve">Tabela </w:t>
      </w:r>
      <w:r w:rsidR="00B5232B" w:rsidRPr="00FD2CCD">
        <w:rPr>
          <w:rFonts w:eastAsia="SimSun" w:cs="Arial"/>
        </w:rPr>
        <w:fldChar w:fldCharType="begin"/>
      </w:r>
      <w:r w:rsidRPr="00FD2CCD">
        <w:rPr>
          <w:rFonts w:eastAsia="SimSun" w:cs="Arial"/>
        </w:rPr>
        <w:instrText xml:space="preserve"> SEQ Tabela \* ARABIC </w:instrText>
      </w:r>
      <w:r w:rsidR="00B5232B" w:rsidRPr="00FD2CCD">
        <w:rPr>
          <w:rFonts w:eastAsia="SimSun" w:cs="Arial"/>
        </w:rPr>
        <w:fldChar w:fldCharType="separate"/>
      </w:r>
      <w:r w:rsidRPr="00FD2CCD">
        <w:rPr>
          <w:rFonts w:eastAsia="SimSun" w:cs="Arial"/>
        </w:rPr>
        <w:t>6</w:t>
      </w:r>
      <w:r w:rsidR="00B5232B" w:rsidRPr="00FD2CCD">
        <w:rPr>
          <w:rFonts w:eastAsia="SimSun" w:cs="Arial"/>
        </w:rPr>
        <w:fldChar w:fldCharType="end"/>
      </w:r>
      <w:r w:rsidRPr="00FD2CCD">
        <w:rPr>
          <w:rFonts w:eastAsia="SimSun" w:cs="Arial"/>
        </w:rPr>
        <w:t xml:space="preserve">.4.4-6. Coordenadas (UTM, DATUM SAD 69) dos pontos onde foram encontrados exemplares de répteis ou anfíbios e demais pontos de interesse nos fragmentos escolhidos e regiões próximas às obras </w:t>
      </w:r>
    </w:p>
    <w:p w:rsidR="00A11DBD" w:rsidRPr="00FD2CCD" w:rsidRDefault="00A11DBD" w:rsidP="00A11DBD">
      <w:pPr>
        <w:rPr>
          <w:rFonts w:eastAsia="SimSun" w:cs="Arial"/>
        </w:rPr>
      </w:pPr>
      <w:r w:rsidRPr="00FD2CCD">
        <w:rPr>
          <w:rFonts w:eastAsia="SimSun" w:cs="Arial"/>
        </w:rPr>
        <w:t>Tabela 6.4.4-7. Esforço amostral empregado em cada método por área durante as amostragens da herpetofauna</w:t>
      </w:r>
    </w:p>
    <w:p w:rsidR="00A11DBD" w:rsidRPr="00FD2CCD" w:rsidRDefault="00A11DBD" w:rsidP="00A11DBD">
      <w:pPr>
        <w:rPr>
          <w:rFonts w:eastAsia="SimSun" w:cs="Arial"/>
        </w:rPr>
      </w:pPr>
      <w:r w:rsidRPr="00FD2CCD">
        <w:rPr>
          <w:rFonts w:eastAsia="SimSun" w:cs="Arial"/>
        </w:rPr>
        <w:t xml:space="preserve">Tabela 6.4.4-8. Lista das espécies de anfíbios e répteis registradas em campo durante amostragem da herpetofauna </w:t>
      </w:r>
    </w:p>
    <w:p w:rsidR="00A11DBD" w:rsidRPr="00FD2CCD" w:rsidRDefault="00A11DBD" w:rsidP="00A11DBD">
      <w:pPr>
        <w:rPr>
          <w:rFonts w:eastAsia="SimSun" w:cs="Arial"/>
        </w:rPr>
      </w:pPr>
      <w:r w:rsidRPr="00FD2CCD">
        <w:rPr>
          <w:rFonts w:eastAsia="SimSun" w:cs="Arial"/>
        </w:rPr>
        <w:t xml:space="preserve">Tabela 6.4.4-9. Principais referências utilizadas para caracterização regional </w:t>
      </w:r>
      <w:r w:rsidR="00C61DCD" w:rsidRPr="00C61DCD">
        <w:rPr>
          <w:rFonts w:eastAsia="SimSun" w:cs="Arial"/>
        </w:rPr>
        <w:t>da Mastofauna</w:t>
      </w:r>
      <w:r w:rsidR="00C61DCD" w:rsidRPr="00FD2CCD">
        <w:rPr>
          <w:rFonts w:eastAsia="SimSun" w:cs="Arial"/>
        </w:rPr>
        <w:t xml:space="preserve"> </w:t>
      </w:r>
      <w:r w:rsidRPr="00FD2CCD">
        <w:rPr>
          <w:rFonts w:eastAsia="SimSun" w:cs="Arial"/>
        </w:rPr>
        <w:t>por meio de dados secundários</w:t>
      </w:r>
    </w:p>
    <w:p w:rsidR="00A11DBD" w:rsidRPr="00FD2CCD" w:rsidRDefault="00A11DBD" w:rsidP="00A11DBD">
      <w:pPr>
        <w:rPr>
          <w:rFonts w:eastAsia="SimSun" w:cs="Arial"/>
        </w:rPr>
      </w:pPr>
      <w:r w:rsidRPr="00FD2CCD">
        <w:rPr>
          <w:rFonts w:eastAsia="SimSun" w:cs="Arial"/>
        </w:rPr>
        <w:t>Tabela 6.4.4-10. Coordenadas (UTM, DATUM SAD 69) das armadilhas fotográficas dispostas durante o Levantamento de Mastofauna na AID da Interligação das represas Jaguari e Atibainha</w:t>
      </w:r>
    </w:p>
    <w:p w:rsidR="00A11DBD" w:rsidRPr="00FD2CCD" w:rsidRDefault="00A11DBD" w:rsidP="00A11DBD">
      <w:pPr>
        <w:rPr>
          <w:rFonts w:eastAsia="SimSun" w:cs="Arial"/>
        </w:rPr>
      </w:pPr>
      <w:r w:rsidRPr="00FD2CCD">
        <w:rPr>
          <w:rFonts w:eastAsia="SimSun" w:cs="Arial"/>
        </w:rPr>
        <w:t xml:space="preserve">Tabela 6.4.4-11. </w:t>
      </w:r>
      <w:r w:rsidR="0089349D">
        <w:rPr>
          <w:rFonts w:eastAsia="SimSun" w:cs="Arial"/>
        </w:rPr>
        <w:t xml:space="preserve">Mastofauna. </w:t>
      </w:r>
      <w:r w:rsidRPr="00FD2CCD">
        <w:rPr>
          <w:rFonts w:eastAsia="SimSun" w:cs="Arial"/>
        </w:rPr>
        <w:t>Esforço empregado em cada método por área de amostragem</w:t>
      </w:r>
    </w:p>
    <w:p w:rsidR="00A11DBD" w:rsidRPr="00FD2CCD" w:rsidRDefault="00A11DBD" w:rsidP="00A11DBD">
      <w:pPr>
        <w:rPr>
          <w:rFonts w:eastAsia="SimSun" w:cs="Arial"/>
        </w:rPr>
      </w:pPr>
      <w:r w:rsidRPr="00FD2CCD">
        <w:rPr>
          <w:rFonts w:eastAsia="SimSun" w:cs="Arial"/>
        </w:rPr>
        <w:t>Tabela 6.4.4-12. Breve descrição das áreas de amostragem da mastofauna</w:t>
      </w:r>
    </w:p>
    <w:p w:rsidR="00A11DBD" w:rsidRPr="00FD2CCD" w:rsidRDefault="00A11DBD" w:rsidP="00A11DBD">
      <w:pPr>
        <w:rPr>
          <w:rFonts w:eastAsia="SimSun" w:cs="Arial"/>
        </w:rPr>
      </w:pPr>
      <w:r w:rsidRPr="00FD2CCD">
        <w:rPr>
          <w:rFonts w:eastAsia="SimSun" w:cs="Arial"/>
        </w:rPr>
        <w:t>Tabela 6.4.4-13. Lista das espécies de mamíferos registradas em campo e os métodos de amostragem</w:t>
      </w:r>
    </w:p>
    <w:p w:rsidR="00A11DBD" w:rsidRPr="00FD2CCD" w:rsidRDefault="00A11DBD" w:rsidP="00A11DBD">
      <w:pPr>
        <w:rPr>
          <w:rFonts w:eastAsia="SimSun" w:cs="Arial"/>
          <w:b/>
        </w:rPr>
      </w:pPr>
      <w:bookmarkStart w:id="4" w:name="_Toc409347762"/>
      <w:r w:rsidRPr="00FD2CCD">
        <w:rPr>
          <w:rFonts w:eastAsia="SimSun" w:cs="Arial"/>
          <w:b/>
        </w:rPr>
        <w:t>Biota Aquática</w:t>
      </w:r>
      <w:bookmarkEnd w:id="4"/>
    </w:p>
    <w:p w:rsidR="00A11DBD" w:rsidRPr="00FD2CCD" w:rsidRDefault="00A11DBD" w:rsidP="00A11DBD">
      <w:pPr>
        <w:rPr>
          <w:rFonts w:eastAsia="SimSun" w:cs="Arial"/>
        </w:rPr>
      </w:pPr>
      <w:r w:rsidRPr="00FD2CCD">
        <w:rPr>
          <w:rFonts w:eastAsia="SimSun" w:cs="Arial"/>
        </w:rPr>
        <w:t xml:space="preserve">Tabela 6.4.5-1. Classificação do Estado Trófico para </w:t>
      </w:r>
      <w:r w:rsidRPr="00FD2CCD">
        <w:rPr>
          <w:rFonts w:eastAsia="SimSun" w:cs="Arial" w:hint="eastAsia"/>
        </w:rPr>
        <w:t xml:space="preserve">Rios </w:t>
      </w:r>
      <w:r w:rsidRPr="00FD2CCD">
        <w:rPr>
          <w:rFonts w:eastAsia="SimSun" w:cs="Arial"/>
        </w:rPr>
        <w:t>segundo Índice de Carlson modificado</w:t>
      </w:r>
    </w:p>
    <w:p w:rsidR="00A11DBD" w:rsidRPr="00FD2CCD" w:rsidRDefault="00A11DBD" w:rsidP="00A11DBD">
      <w:pPr>
        <w:rPr>
          <w:rFonts w:eastAsia="SimSun" w:cs="Arial"/>
        </w:rPr>
      </w:pPr>
      <w:r w:rsidRPr="00FD2CCD">
        <w:rPr>
          <w:rFonts w:eastAsia="SimSun" w:cs="Arial"/>
        </w:rPr>
        <w:lastRenderedPageBreak/>
        <w:t xml:space="preserve">Tabela 6.4.5-2. Classificação do Estado Trófico para </w:t>
      </w:r>
      <w:r w:rsidRPr="00FD2CCD">
        <w:rPr>
          <w:rFonts w:eastAsia="SimSun" w:cs="Arial" w:hint="eastAsia"/>
        </w:rPr>
        <w:t xml:space="preserve">Reservatórios </w:t>
      </w:r>
      <w:r w:rsidRPr="00FD2CCD">
        <w:rPr>
          <w:rFonts w:eastAsia="SimSun" w:cs="Arial"/>
        </w:rPr>
        <w:t>segundo Índice de Carlson modificado</w:t>
      </w:r>
    </w:p>
    <w:p w:rsidR="00A11DBD" w:rsidRPr="00FD2CCD" w:rsidRDefault="00A11DBD" w:rsidP="00A11DBD">
      <w:pPr>
        <w:rPr>
          <w:rFonts w:eastAsia="SimSun" w:cs="Arial"/>
        </w:rPr>
      </w:pPr>
      <w:r w:rsidRPr="00FD2CCD">
        <w:rPr>
          <w:rFonts w:eastAsia="SimSun" w:cs="Arial"/>
        </w:rPr>
        <w:t>Tabela 6.4.5-3. Classificação do IVA</w:t>
      </w:r>
    </w:p>
    <w:p w:rsidR="00A11DBD" w:rsidRPr="00FD2CCD" w:rsidRDefault="00A11DBD" w:rsidP="00A11DBD">
      <w:pPr>
        <w:rPr>
          <w:rFonts w:eastAsia="SimSun" w:cs="Arial"/>
        </w:rPr>
      </w:pPr>
      <w:r w:rsidRPr="00FD2CCD">
        <w:rPr>
          <w:rFonts w:eastAsia="SimSun" w:cs="Arial"/>
        </w:rPr>
        <w:t>Tabela 6.4.5-4. Classificação do Índice da Comunidade Fitoplanctônica – ICF</w:t>
      </w:r>
    </w:p>
    <w:p w:rsidR="00A11DBD" w:rsidRPr="00FD2CCD" w:rsidRDefault="00A11DBD" w:rsidP="00A11DBD">
      <w:pPr>
        <w:rPr>
          <w:rFonts w:eastAsia="SimSun" w:cs="Arial"/>
        </w:rPr>
      </w:pPr>
      <w:r w:rsidRPr="00FD2CCD">
        <w:rPr>
          <w:rFonts w:eastAsia="SimSun" w:cs="Arial"/>
        </w:rPr>
        <w:t>Tabela 6.4.5-5. Densidade (org/ml) de organismos fitoplactônicos no reservatório Cachoeira</w:t>
      </w:r>
    </w:p>
    <w:p w:rsidR="00A11DBD" w:rsidRPr="00FD2CCD" w:rsidRDefault="00A11DBD" w:rsidP="00A11DBD">
      <w:pPr>
        <w:rPr>
          <w:rFonts w:eastAsia="SimSun" w:cs="Arial"/>
        </w:rPr>
      </w:pPr>
      <w:r w:rsidRPr="00FD2CCD">
        <w:rPr>
          <w:rFonts w:eastAsia="SimSun" w:cs="Arial"/>
        </w:rPr>
        <w:t xml:space="preserve">Tabela 6.4.5-6. Densidade (org/ml) de organismos fitoplactônicos no reservatório Atibainha </w:t>
      </w:r>
    </w:p>
    <w:p w:rsidR="00A11DBD" w:rsidRPr="00FD2CCD" w:rsidRDefault="00A11DBD" w:rsidP="00A11DBD">
      <w:pPr>
        <w:rPr>
          <w:rFonts w:eastAsia="SimSun" w:cs="Arial"/>
        </w:rPr>
      </w:pPr>
      <w:r w:rsidRPr="00FD2CCD">
        <w:rPr>
          <w:rFonts w:eastAsia="SimSun" w:cs="Arial"/>
        </w:rPr>
        <w:t>Tabela 6.4.5-7. Clorofila e cianobactérias nas represas do Sistema Cantareira</w:t>
      </w:r>
    </w:p>
    <w:p w:rsidR="00A11DBD" w:rsidRPr="00FD2CCD" w:rsidRDefault="00A11DBD" w:rsidP="00A11DBD">
      <w:pPr>
        <w:rPr>
          <w:rFonts w:eastAsia="SimSun" w:cs="Arial"/>
        </w:rPr>
      </w:pPr>
      <w:r w:rsidRPr="00FD2CCD">
        <w:rPr>
          <w:rFonts w:eastAsia="SimSun" w:cs="Arial"/>
        </w:rPr>
        <w:t xml:space="preserve">Tabela 6.4.5-8. </w:t>
      </w:r>
      <w:r w:rsidRPr="00FD2CCD">
        <w:rPr>
          <w:rFonts w:eastAsia="SimSun" w:cs="Arial" w:hint="eastAsia"/>
        </w:rPr>
        <w:t xml:space="preserve">Clorofila </w:t>
      </w:r>
      <w:r w:rsidRPr="00FD2CCD">
        <w:rPr>
          <w:rFonts w:eastAsia="SimSun" w:cs="Arial"/>
        </w:rPr>
        <w:t xml:space="preserve">e cianobactérias na bacia do Paraíba do Sul </w:t>
      </w:r>
    </w:p>
    <w:p w:rsidR="00A11DBD" w:rsidRPr="00FD2CCD" w:rsidRDefault="00A11DBD" w:rsidP="00A11DBD">
      <w:pPr>
        <w:rPr>
          <w:rFonts w:eastAsia="SimSun" w:cs="Arial"/>
        </w:rPr>
      </w:pPr>
      <w:r w:rsidRPr="00FD2CCD">
        <w:rPr>
          <w:rFonts w:eastAsia="SimSun" w:cs="Arial"/>
        </w:rPr>
        <w:t>Tabela 6.4.5-9</w:t>
      </w:r>
      <w:r>
        <w:rPr>
          <w:rFonts w:eastAsia="SimSun" w:cs="Arial"/>
        </w:rPr>
        <w:t>.</w:t>
      </w:r>
      <w:r w:rsidRPr="00FD2CCD">
        <w:rPr>
          <w:rFonts w:eastAsia="SimSun" w:cs="Arial"/>
        </w:rPr>
        <w:t xml:space="preserve"> IET no Reservatório de Atibainha por ocasião da coleta</w:t>
      </w:r>
    </w:p>
    <w:p w:rsidR="00A11DBD" w:rsidRPr="00FD2CCD" w:rsidRDefault="00A11DBD" w:rsidP="00A11DBD">
      <w:pPr>
        <w:rPr>
          <w:rFonts w:eastAsia="SimSun" w:cs="Arial"/>
        </w:rPr>
      </w:pPr>
      <w:r w:rsidRPr="00FD2CCD">
        <w:rPr>
          <w:rFonts w:eastAsia="SimSun" w:cs="Arial"/>
        </w:rPr>
        <w:t>Tabela 6.4.5-10. IET no reservatório Jaguari/CESP por ocasião da coleta</w:t>
      </w:r>
    </w:p>
    <w:p w:rsidR="00A11DBD" w:rsidRPr="00FD2CCD" w:rsidRDefault="00A11DBD" w:rsidP="00A11DBD">
      <w:pPr>
        <w:rPr>
          <w:rFonts w:eastAsia="SimSun" w:cs="Arial"/>
        </w:rPr>
      </w:pPr>
      <w:r w:rsidRPr="00FD2CCD">
        <w:rPr>
          <w:rFonts w:eastAsia="SimSun" w:cs="Arial"/>
        </w:rPr>
        <w:t>Tabela 6.4.5-1</w:t>
      </w:r>
      <w:r w:rsidR="00502D8C">
        <w:rPr>
          <w:rFonts w:eastAsia="SimSun" w:cs="Arial"/>
        </w:rPr>
        <w:t>1</w:t>
      </w:r>
      <w:r>
        <w:rPr>
          <w:rFonts w:eastAsia="SimSun" w:cs="Arial"/>
        </w:rPr>
        <w:t>.</w:t>
      </w:r>
      <w:r w:rsidRPr="00FD2CCD">
        <w:rPr>
          <w:rFonts w:eastAsia="SimSun" w:cs="Arial"/>
        </w:rPr>
        <w:t xml:space="preserve"> Fitoplâncton - Comparação entre os reservatórios Atibainha e Jaguari/CESP</w:t>
      </w:r>
    </w:p>
    <w:p w:rsidR="00A11DBD" w:rsidRPr="00FD2CCD" w:rsidRDefault="00A11DBD" w:rsidP="00A11DBD">
      <w:pPr>
        <w:rPr>
          <w:rFonts w:eastAsia="SimSun" w:cs="Arial"/>
        </w:rPr>
      </w:pPr>
      <w:r w:rsidRPr="00FD2CCD">
        <w:rPr>
          <w:rFonts w:eastAsia="SimSun" w:cs="Arial"/>
        </w:rPr>
        <w:t>Tabela 6.4.5-1</w:t>
      </w:r>
      <w:r w:rsidR="00502D8C">
        <w:rPr>
          <w:rFonts w:eastAsia="SimSun" w:cs="Arial"/>
        </w:rPr>
        <w:t>2</w:t>
      </w:r>
      <w:r w:rsidRPr="00FD2CCD">
        <w:rPr>
          <w:rFonts w:eastAsia="SimSun" w:cs="Arial"/>
        </w:rPr>
        <w:t>. Zooplâncton - Comparação entre os reservatórios Atibainha e Jaguari/CESP</w:t>
      </w:r>
    </w:p>
    <w:p w:rsidR="00A11DBD" w:rsidRPr="00FD2CCD" w:rsidRDefault="00A11DBD" w:rsidP="00A11DBD">
      <w:pPr>
        <w:rPr>
          <w:rFonts w:eastAsia="SimSun" w:cs="Arial"/>
        </w:rPr>
      </w:pPr>
      <w:r w:rsidRPr="00FD2CCD">
        <w:rPr>
          <w:rFonts w:eastAsia="SimSun" w:cs="Arial"/>
        </w:rPr>
        <w:t>Tabela 6.4.5-1</w:t>
      </w:r>
      <w:r w:rsidR="00502D8C">
        <w:rPr>
          <w:rFonts w:eastAsia="SimSun" w:cs="Arial"/>
        </w:rPr>
        <w:t>3</w:t>
      </w:r>
      <w:r w:rsidRPr="00FD2CCD">
        <w:rPr>
          <w:rFonts w:eastAsia="SimSun" w:cs="Arial"/>
        </w:rPr>
        <w:t>. Coordenadas geográficas pontos de amostragem de Ictiofauna</w:t>
      </w:r>
    </w:p>
    <w:p w:rsidR="00A11DBD" w:rsidRPr="00FD2CCD" w:rsidRDefault="00502D8C" w:rsidP="00A11DBD">
      <w:pPr>
        <w:rPr>
          <w:rFonts w:eastAsia="SimSun" w:cs="Arial"/>
        </w:rPr>
      </w:pPr>
      <w:r>
        <w:rPr>
          <w:rFonts w:eastAsia="SimSun" w:cs="Arial"/>
        </w:rPr>
        <w:t>Tabela 6.4.5-14</w:t>
      </w:r>
      <w:r w:rsidR="00A11DBD" w:rsidRPr="00FD2CCD">
        <w:rPr>
          <w:rFonts w:eastAsia="SimSun" w:cs="Arial"/>
        </w:rPr>
        <w:t xml:space="preserve">. Lista taxonômica das espécies capturadas no </w:t>
      </w:r>
      <w:r w:rsidR="0089349D">
        <w:t xml:space="preserve">levantamento </w:t>
      </w:r>
      <w:r w:rsidR="0089349D" w:rsidRPr="00467CF4">
        <w:t>d</w:t>
      </w:r>
      <w:r w:rsidR="0089349D">
        <w:t>e</w:t>
      </w:r>
      <w:r w:rsidR="0089349D" w:rsidRPr="00FD2CCD">
        <w:rPr>
          <w:rFonts w:eastAsia="SimSun" w:cs="Arial"/>
        </w:rPr>
        <w:t xml:space="preserve"> </w:t>
      </w:r>
      <w:r w:rsidR="00A11DBD" w:rsidRPr="00FD2CCD">
        <w:rPr>
          <w:rFonts w:eastAsia="SimSun" w:cs="Arial"/>
        </w:rPr>
        <w:t>ictiofauna</w:t>
      </w:r>
    </w:p>
    <w:p w:rsidR="00A11DBD" w:rsidRDefault="00502D8C" w:rsidP="00A11DBD">
      <w:pPr>
        <w:rPr>
          <w:rFonts w:eastAsia="SimSun" w:cs="Arial"/>
        </w:rPr>
      </w:pPr>
      <w:r>
        <w:rPr>
          <w:rFonts w:eastAsia="SimSun" w:cs="Arial"/>
        </w:rPr>
        <w:t>Tabela 6.4.5-15</w:t>
      </w:r>
      <w:r w:rsidR="00A11DBD" w:rsidRPr="00FD2CCD">
        <w:rPr>
          <w:rFonts w:eastAsia="SimSun" w:cs="Arial"/>
        </w:rPr>
        <w:t xml:space="preserve">. Riqueza, número de indivíduos, índices de Shannon (diversidade), Margalef (riqueza) e Pielou (equabilidade), na amostragem </w:t>
      </w:r>
      <w:r>
        <w:rPr>
          <w:rFonts w:eastAsia="SimSun" w:cs="Arial"/>
        </w:rPr>
        <w:t xml:space="preserve">de ictiofauna </w:t>
      </w:r>
      <w:r w:rsidR="00A11DBD" w:rsidRPr="00FD2CCD">
        <w:rPr>
          <w:rFonts w:eastAsia="SimSun" w:cs="Arial"/>
        </w:rPr>
        <w:t>nas represas Jaguari e Atibainha</w:t>
      </w:r>
    </w:p>
    <w:p w:rsidR="00502D8C" w:rsidRDefault="00502D8C" w:rsidP="00A11DBD">
      <w:r>
        <w:t>Tabela 6.4.5-16. Índice da Comunidade Bentônica para zona sublitoral de reservatórios (ICB</w:t>
      </w:r>
      <w:r w:rsidRPr="000C6B88">
        <w:rPr>
          <w:vertAlign w:val="subscript"/>
        </w:rPr>
        <w:t>RES-SL</w:t>
      </w:r>
      <w:r>
        <w:t>)</w:t>
      </w:r>
    </w:p>
    <w:p w:rsidR="00502D8C" w:rsidRDefault="00502D8C" w:rsidP="00A11DBD">
      <w:r>
        <w:t>Tabela 6.4.5-17. Índice da Comunidade Bentônica para zona profundal de reservatórios (ICB</w:t>
      </w:r>
      <w:r w:rsidRPr="000C6B88">
        <w:rPr>
          <w:vertAlign w:val="subscript"/>
        </w:rPr>
        <w:t>RES-</w:t>
      </w:r>
      <w:r>
        <w:rPr>
          <w:vertAlign w:val="subscript"/>
        </w:rPr>
        <w:t>P</w:t>
      </w:r>
      <w:r>
        <w:t>)</w:t>
      </w:r>
    </w:p>
    <w:p w:rsidR="00502D8C" w:rsidRDefault="00502D8C" w:rsidP="00A11DBD">
      <w:r>
        <w:t>Tabela 6.4.5-18. Índice da Comunidade Bentônica para rios (ICB</w:t>
      </w:r>
      <w:r w:rsidRPr="000C6B88">
        <w:rPr>
          <w:vertAlign w:val="subscript"/>
        </w:rPr>
        <w:t>R</w:t>
      </w:r>
      <w:r>
        <w:rPr>
          <w:vertAlign w:val="subscript"/>
        </w:rPr>
        <w:t>IO</w:t>
      </w:r>
      <w:r>
        <w:t>)</w:t>
      </w:r>
    </w:p>
    <w:p w:rsidR="00502D8C" w:rsidRDefault="00502D8C" w:rsidP="00A11DBD">
      <w:r>
        <w:t>Tabela 6.4.5-19. Macroinvertebrados Bentônicos no reservatório Jaguari (Cantareira)</w:t>
      </w:r>
    </w:p>
    <w:p w:rsidR="00502D8C" w:rsidRDefault="00502D8C" w:rsidP="00A11DBD">
      <w:pPr>
        <w:rPr>
          <w:rFonts w:eastAsia="SimSun" w:cs="Arial"/>
        </w:rPr>
      </w:pPr>
      <w:r>
        <w:t>Tabela 6.4.5-20. Macroinvertebrados Bentônicos no reservatório Jacareí (Cantareira)</w:t>
      </w:r>
    </w:p>
    <w:p w:rsidR="00502D8C" w:rsidRPr="00FD2CCD" w:rsidRDefault="00502D8C" w:rsidP="00502D8C">
      <w:pPr>
        <w:rPr>
          <w:rFonts w:eastAsia="SimSun" w:cs="Arial"/>
        </w:rPr>
      </w:pPr>
      <w:r w:rsidRPr="00FD2CCD">
        <w:rPr>
          <w:rFonts w:eastAsia="SimSun" w:cs="Arial"/>
        </w:rPr>
        <w:t>Tabela 6.4.5-</w:t>
      </w:r>
      <w:r>
        <w:rPr>
          <w:rFonts w:eastAsia="SimSun" w:cs="Arial"/>
        </w:rPr>
        <w:t>2</w:t>
      </w:r>
      <w:r w:rsidRPr="00FD2CCD">
        <w:rPr>
          <w:rFonts w:eastAsia="SimSun" w:cs="Arial"/>
        </w:rPr>
        <w:t>1. Macroinvertebrados Bentônicos. Reservatório Jaguari</w:t>
      </w:r>
      <w:r w:rsidR="00F80621">
        <w:rPr>
          <w:rFonts w:eastAsia="SimSun" w:cs="Arial"/>
        </w:rPr>
        <w:t xml:space="preserve"> (PS)</w:t>
      </w:r>
      <w:r w:rsidRPr="00FD2CCD">
        <w:rPr>
          <w:rFonts w:eastAsia="SimSun" w:cs="Arial"/>
        </w:rPr>
        <w:t>. IG-101A</w:t>
      </w:r>
    </w:p>
    <w:p w:rsidR="0089349D" w:rsidRDefault="0089349D" w:rsidP="00A11DBD">
      <w:r>
        <w:t>Tabela 6.4.5-</w:t>
      </w:r>
      <w:r w:rsidR="00502D8C">
        <w:t>22</w:t>
      </w:r>
      <w:r>
        <w:t>. Comparativo da Comunidade Fitoplanctônica nos dois Reservatórios</w:t>
      </w:r>
    </w:p>
    <w:p w:rsidR="0089349D" w:rsidRDefault="0089349D" w:rsidP="00A11DBD">
      <w:r>
        <w:t>Tabela 6.4.5-</w:t>
      </w:r>
      <w:r w:rsidR="00502D8C">
        <w:t>23</w:t>
      </w:r>
      <w:r>
        <w:t>. Comparativo da Comunidade Zooplanctônica nos dois Reservatórios</w:t>
      </w:r>
    </w:p>
    <w:p w:rsidR="00A11DBD" w:rsidRPr="004E2848" w:rsidRDefault="00A11DBD" w:rsidP="00A11DBD">
      <w:pPr>
        <w:rPr>
          <w:rFonts w:eastAsia="SimSun" w:cs="Arial"/>
          <w:b/>
        </w:rPr>
      </w:pPr>
      <w:bookmarkStart w:id="5" w:name="_Toc404598473"/>
      <w:bookmarkEnd w:id="3"/>
      <w:r w:rsidRPr="004E2848">
        <w:rPr>
          <w:rFonts w:cs="Arial"/>
          <w:b/>
        </w:rPr>
        <w:t>Áreas Naturais Protegidas</w:t>
      </w:r>
      <w:bookmarkEnd w:id="5"/>
    </w:p>
    <w:p w:rsidR="00A11DBD" w:rsidRDefault="00A11DBD" w:rsidP="00A11DBD">
      <w:pPr>
        <w:rPr>
          <w:rFonts w:eastAsia="SimSun" w:cs="Arial"/>
        </w:rPr>
      </w:pPr>
      <w:r w:rsidRPr="004E2848">
        <w:rPr>
          <w:rFonts w:eastAsia="SimSun" w:cs="Arial"/>
        </w:rPr>
        <w:t>Tabela 6.4.</w:t>
      </w:r>
      <w:r>
        <w:rPr>
          <w:rFonts w:eastAsia="SimSun" w:cs="Arial"/>
        </w:rPr>
        <w:t xml:space="preserve">6-1. </w:t>
      </w:r>
      <w:r w:rsidRPr="004E2848">
        <w:rPr>
          <w:rFonts w:eastAsia="SimSun" w:cs="Arial"/>
        </w:rPr>
        <w:t>Presença de UCs (SNUC) nas Áreas de Influência do Empreendimento</w:t>
      </w:r>
    </w:p>
    <w:p w:rsidR="00A11DBD" w:rsidRDefault="00A11DBD" w:rsidP="00A11DBD">
      <w:pPr>
        <w:rPr>
          <w:rFonts w:eastAsia="SimSun" w:cs="Arial"/>
        </w:rPr>
      </w:pPr>
      <w:r w:rsidRPr="003310E3">
        <w:rPr>
          <w:rFonts w:eastAsia="SimSun" w:cs="Arial"/>
        </w:rPr>
        <w:t>Tabela 6.4.6-2</w:t>
      </w:r>
      <w:r>
        <w:rPr>
          <w:rFonts w:eastAsia="SimSun" w:cs="Arial"/>
        </w:rPr>
        <w:t>.</w:t>
      </w:r>
      <w:r w:rsidRPr="003310E3">
        <w:rPr>
          <w:rFonts w:eastAsia="SimSun" w:cs="Arial"/>
        </w:rPr>
        <w:t xml:space="preserve"> Presença do Empreendimento na APA Mananciais Paraíba do Sul (ADA)</w:t>
      </w:r>
    </w:p>
    <w:p w:rsidR="00A11DBD" w:rsidRPr="003310E3" w:rsidRDefault="00A11DBD" w:rsidP="00A11DBD">
      <w:pPr>
        <w:rPr>
          <w:rFonts w:eastAsia="SimSun" w:cs="Arial"/>
        </w:rPr>
      </w:pPr>
      <w:r w:rsidRPr="003310E3">
        <w:rPr>
          <w:rFonts w:eastAsia="SimSun" w:cs="Arial"/>
        </w:rPr>
        <w:t>Tabela 6.4.6-</w:t>
      </w:r>
      <w:r>
        <w:rPr>
          <w:rFonts w:eastAsia="SimSun" w:cs="Arial"/>
        </w:rPr>
        <w:t>3.</w:t>
      </w:r>
      <w:r w:rsidRPr="003310E3">
        <w:rPr>
          <w:rFonts w:eastAsia="SimSun" w:cs="Arial"/>
        </w:rPr>
        <w:t xml:space="preserve"> Presença do Empreendimento na </w:t>
      </w:r>
      <w:r>
        <w:rPr>
          <w:rFonts w:eastAsia="SimSun" w:cs="Arial"/>
        </w:rPr>
        <w:t>Zona de Amortecimento do Parque Estadual Itaberaba</w:t>
      </w:r>
      <w:r w:rsidRPr="003310E3">
        <w:rPr>
          <w:rFonts w:eastAsia="SimSun" w:cs="Arial"/>
        </w:rPr>
        <w:t xml:space="preserve"> (ADA)</w:t>
      </w:r>
    </w:p>
    <w:p w:rsidR="00A11DBD" w:rsidRDefault="00A11DBD" w:rsidP="00A11DBD">
      <w:pPr>
        <w:rPr>
          <w:rFonts w:eastAsia="SimSun" w:cs="Arial"/>
        </w:rPr>
      </w:pPr>
      <w:r w:rsidRPr="003310E3">
        <w:rPr>
          <w:rFonts w:eastAsia="SimSun" w:cs="Arial"/>
        </w:rPr>
        <w:t>Tabela 6.4.6-</w:t>
      </w:r>
      <w:r>
        <w:rPr>
          <w:rFonts w:eastAsia="SimSun" w:cs="Arial"/>
        </w:rPr>
        <w:t>4.</w:t>
      </w:r>
      <w:r w:rsidRPr="003310E3">
        <w:rPr>
          <w:rFonts w:eastAsia="SimSun" w:cs="Arial"/>
        </w:rPr>
        <w:t xml:space="preserve"> Presença do Empreendimento na APA </w:t>
      </w:r>
      <w:r>
        <w:rPr>
          <w:rFonts w:eastAsia="SimSun" w:cs="Arial"/>
        </w:rPr>
        <w:t>Piracantareira</w:t>
      </w:r>
      <w:r w:rsidRPr="003310E3">
        <w:rPr>
          <w:rFonts w:eastAsia="SimSun" w:cs="Arial"/>
        </w:rPr>
        <w:t xml:space="preserve"> (ADA)</w:t>
      </w:r>
    </w:p>
    <w:p w:rsidR="00F90B96" w:rsidRDefault="00F90B96" w:rsidP="004E4046">
      <w:pPr>
        <w:rPr>
          <w:rFonts w:eastAsia="SimSun"/>
        </w:rPr>
      </w:pPr>
    </w:p>
    <w:p w:rsidR="00F90B96" w:rsidRPr="0069310A" w:rsidRDefault="00F90B96" w:rsidP="004E4046">
      <w:pPr>
        <w:rPr>
          <w:rFonts w:eastAsia="SimSun"/>
        </w:rPr>
        <w:sectPr w:rsidR="00F90B96" w:rsidRPr="0069310A" w:rsidSect="00427B60">
          <w:headerReference w:type="default" r:id="rId10"/>
          <w:footerReference w:type="default" r:id="rId11"/>
          <w:pgSz w:w="11906" w:h="16838" w:code="9"/>
          <w:pgMar w:top="1418" w:right="1134" w:bottom="1134" w:left="1418" w:header="709" w:footer="709" w:gutter="0"/>
          <w:pgNumType w:fmt="lowerRoman" w:start="1"/>
          <w:cols w:space="708"/>
          <w:docGrid w:linePitch="360"/>
        </w:sectPr>
      </w:pPr>
    </w:p>
    <w:p w:rsidR="00147F1E" w:rsidRPr="00147F1E" w:rsidRDefault="00147F1E" w:rsidP="000C50CE">
      <w:pPr>
        <w:pStyle w:val="PargrafodaLista"/>
        <w:keepNext/>
        <w:keepLines/>
        <w:numPr>
          <w:ilvl w:val="1"/>
          <w:numId w:val="1"/>
        </w:numPr>
        <w:spacing w:before="240"/>
        <w:contextualSpacing w:val="0"/>
        <w:outlineLvl w:val="1"/>
        <w:rPr>
          <w:rFonts w:ascii="Arial Negrito" w:eastAsia="Times New Roman" w:hAnsi="Arial Negrito" w:cs="Arial"/>
          <w:b/>
          <w:bCs/>
          <w:iCs/>
          <w:vanish/>
          <w:sz w:val="24"/>
          <w:szCs w:val="28"/>
          <w:lang w:eastAsia="pt-BR"/>
        </w:rPr>
      </w:pPr>
      <w:bookmarkStart w:id="6" w:name="_Toc404450234"/>
      <w:bookmarkStart w:id="7" w:name="_Toc404452230"/>
      <w:bookmarkStart w:id="8" w:name="_Toc404462680"/>
      <w:bookmarkStart w:id="9" w:name="_Toc404598445"/>
      <w:bookmarkStart w:id="10" w:name="_Toc409345275"/>
      <w:bookmarkStart w:id="11" w:name="_Toc409345390"/>
      <w:bookmarkStart w:id="12" w:name="_Toc409345856"/>
      <w:bookmarkStart w:id="13" w:name="_Toc409347738"/>
      <w:bookmarkStart w:id="14" w:name="_Toc409626620"/>
      <w:bookmarkStart w:id="15" w:name="_Toc409640868"/>
      <w:bookmarkStart w:id="16" w:name="_Toc409868785"/>
      <w:bookmarkStart w:id="17" w:name="_Toc409872061"/>
      <w:bookmarkStart w:id="18" w:name="_Toc411337676"/>
      <w:bookmarkStart w:id="19" w:name="_Toc411368495"/>
      <w:bookmarkStart w:id="20" w:name="_Toc411871184"/>
      <w:bookmarkStart w:id="21" w:name="_Toc289445830"/>
      <w:bookmarkEnd w:id="0"/>
      <w:bookmarkEnd w:id="1"/>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rsidR="00147F1E" w:rsidRPr="00147F1E" w:rsidRDefault="00147F1E" w:rsidP="000C50CE">
      <w:pPr>
        <w:pStyle w:val="PargrafodaLista"/>
        <w:keepNext/>
        <w:keepLines/>
        <w:numPr>
          <w:ilvl w:val="1"/>
          <w:numId w:val="1"/>
        </w:numPr>
        <w:spacing w:before="240"/>
        <w:contextualSpacing w:val="0"/>
        <w:outlineLvl w:val="1"/>
        <w:rPr>
          <w:rFonts w:ascii="Arial Negrito" w:eastAsia="Times New Roman" w:hAnsi="Arial Negrito" w:cs="Arial"/>
          <w:b/>
          <w:bCs/>
          <w:iCs/>
          <w:vanish/>
          <w:sz w:val="24"/>
          <w:szCs w:val="28"/>
          <w:lang w:eastAsia="pt-BR"/>
        </w:rPr>
      </w:pPr>
      <w:bookmarkStart w:id="22" w:name="_Toc404450235"/>
      <w:bookmarkStart w:id="23" w:name="_Toc404452231"/>
      <w:bookmarkStart w:id="24" w:name="_Toc404462681"/>
      <w:bookmarkStart w:id="25" w:name="_Toc404598446"/>
      <w:bookmarkStart w:id="26" w:name="_Toc409345276"/>
      <w:bookmarkStart w:id="27" w:name="_Toc409345391"/>
      <w:bookmarkStart w:id="28" w:name="_Toc409345857"/>
      <w:bookmarkStart w:id="29" w:name="_Toc409347739"/>
      <w:bookmarkStart w:id="30" w:name="_Toc409626621"/>
      <w:bookmarkStart w:id="31" w:name="_Toc409640869"/>
      <w:bookmarkStart w:id="32" w:name="_Toc409868786"/>
      <w:bookmarkStart w:id="33" w:name="_Toc409872062"/>
      <w:bookmarkStart w:id="34" w:name="_Toc411337677"/>
      <w:bookmarkStart w:id="35" w:name="_Toc411368496"/>
      <w:bookmarkStart w:id="36" w:name="_Toc411871185"/>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rsidR="00147F1E" w:rsidRPr="00147F1E" w:rsidRDefault="00147F1E" w:rsidP="000C50CE">
      <w:pPr>
        <w:pStyle w:val="PargrafodaLista"/>
        <w:keepNext/>
        <w:keepLines/>
        <w:numPr>
          <w:ilvl w:val="1"/>
          <w:numId w:val="1"/>
        </w:numPr>
        <w:spacing w:before="240"/>
        <w:contextualSpacing w:val="0"/>
        <w:outlineLvl w:val="1"/>
        <w:rPr>
          <w:rFonts w:ascii="Arial Negrito" w:eastAsia="Times New Roman" w:hAnsi="Arial Negrito" w:cs="Arial"/>
          <w:b/>
          <w:bCs/>
          <w:iCs/>
          <w:vanish/>
          <w:sz w:val="24"/>
          <w:szCs w:val="28"/>
          <w:lang w:eastAsia="pt-BR"/>
        </w:rPr>
      </w:pPr>
      <w:bookmarkStart w:id="37" w:name="_Toc404450236"/>
      <w:bookmarkStart w:id="38" w:name="_Toc404452232"/>
      <w:bookmarkStart w:id="39" w:name="_Toc404462682"/>
      <w:bookmarkStart w:id="40" w:name="_Toc404598447"/>
      <w:bookmarkStart w:id="41" w:name="_Toc409345277"/>
      <w:bookmarkStart w:id="42" w:name="_Toc409345392"/>
      <w:bookmarkStart w:id="43" w:name="_Toc409345858"/>
      <w:bookmarkStart w:id="44" w:name="_Toc409347740"/>
      <w:bookmarkStart w:id="45" w:name="_Toc409626622"/>
      <w:bookmarkStart w:id="46" w:name="_Toc409640870"/>
      <w:bookmarkStart w:id="47" w:name="_Toc409868787"/>
      <w:bookmarkStart w:id="48" w:name="_Toc409872063"/>
      <w:bookmarkStart w:id="49" w:name="_Toc411337678"/>
      <w:bookmarkStart w:id="50" w:name="_Toc411368497"/>
      <w:bookmarkStart w:id="51" w:name="_Toc41187118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rsidR="00D9475A" w:rsidRPr="0069310A" w:rsidRDefault="00D9475A" w:rsidP="00147F1E">
      <w:pPr>
        <w:pStyle w:val="Ttulo2"/>
      </w:pPr>
      <w:bookmarkStart w:id="52" w:name="_Toc411871187"/>
      <w:r w:rsidRPr="0069310A">
        <w:t>Diagnóstico Ambiental do Meio Biótico</w:t>
      </w:r>
      <w:bookmarkEnd w:id="52"/>
    </w:p>
    <w:p w:rsidR="00D9475A" w:rsidRPr="0069310A" w:rsidRDefault="00D9475A" w:rsidP="00374B8B">
      <w:pPr>
        <w:pStyle w:val="Ttulo3"/>
      </w:pPr>
      <w:bookmarkStart w:id="53" w:name="_Toc411871188"/>
      <w:r w:rsidRPr="0069310A">
        <w:t>Cobertura Vegetal da AII</w:t>
      </w:r>
      <w:bookmarkEnd w:id="53"/>
    </w:p>
    <w:p w:rsidR="00D9475A" w:rsidRPr="0069310A" w:rsidRDefault="00D9475A" w:rsidP="00374B8B">
      <w:pPr>
        <w:pStyle w:val="Ttulo4"/>
        <w:rPr>
          <w:rStyle w:val="NormalDestaque"/>
          <w:b/>
          <w:bCs/>
          <w:color w:val="auto"/>
        </w:rPr>
      </w:pPr>
      <w:bookmarkStart w:id="54" w:name="_Toc411871189"/>
      <w:r w:rsidRPr="0069310A">
        <w:rPr>
          <w:rStyle w:val="NormalDestaque"/>
          <w:b/>
          <w:bCs/>
          <w:color w:val="auto"/>
        </w:rPr>
        <w:t>Metodologia dos Estudos de Flora para a AII</w:t>
      </w:r>
      <w:bookmarkEnd w:id="54"/>
    </w:p>
    <w:p w:rsidR="00D9475A" w:rsidRPr="0069310A" w:rsidRDefault="00D9475A" w:rsidP="00D116D7">
      <w:pPr>
        <w:rPr>
          <w:rStyle w:val="NormalDestaque"/>
          <w:rFonts w:cs="Arial"/>
          <w:b w:val="0"/>
          <w:color w:val="auto"/>
        </w:rPr>
      </w:pPr>
      <w:r w:rsidRPr="0069310A">
        <w:rPr>
          <w:rStyle w:val="NormalDestaque"/>
          <w:rFonts w:cs="Arial"/>
          <w:b w:val="0"/>
          <w:color w:val="auto"/>
        </w:rPr>
        <w:t>Objetivando uma análise integrada das possíveis alterações ambientais decorrentes da implantação da Interligação entre as represas Jaguari e Atibainha, o estudo da flora avaliou informações referentes aos três contextos de Áreas de Influência: AII, AID e ADA.</w:t>
      </w:r>
    </w:p>
    <w:p w:rsidR="00D9475A" w:rsidRPr="0069310A" w:rsidRDefault="00D9475A" w:rsidP="00D116D7">
      <w:pPr>
        <w:rPr>
          <w:rStyle w:val="NormalDestaque"/>
          <w:rFonts w:cs="Arial"/>
          <w:b w:val="0"/>
          <w:color w:val="auto"/>
        </w:rPr>
      </w:pPr>
      <w:r w:rsidRPr="0069310A">
        <w:rPr>
          <w:rStyle w:val="NormalDestaque"/>
          <w:rFonts w:cs="Arial"/>
          <w:b w:val="0"/>
          <w:color w:val="auto"/>
        </w:rPr>
        <w:t>Assim, o diagnóstico da flora visa fornecer elementos para a caracterização da vegetação nas diferentes Áreas de Influência, gerando subsídios para: (a) avaliação de possíveis impactos decorrentes da supressão de vegetação; e (b) proposição de medidas mitigadoras e/ou de compensação, como alternativas para viabilização desse processo. Destaca-se que todo o trabalho foi conduzido de forma a observar os preceitos estabelecidos na Lei da Mata Atlântica (Lei Federal nº 11.428, de 22/12/2006, e Decreto nº 6.660, de 21/11/2008) e no novo Código Florestal (Lei Federal n</w:t>
      </w:r>
      <w:r w:rsidRPr="0069310A">
        <w:rPr>
          <w:rStyle w:val="NormalDestaque"/>
          <w:rFonts w:cs="Arial"/>
          <w:b w:val="0"/>
          <w:color w:val="auto"/>
          <w:vertAlign w:val="superscript"/>
        </w:rPr>
        <w:t>o</w:t>
      </w:r>
      <w:r w:rsidRPr="0069310A">
        <w:rPr>
          <w:rStyle w:val="NormalDestaque"/>
          <w:rFonts w:cs="Arial"/>
          <w:b w:val="0"/>
          <w:color w:val="auto"/>
        </w:rPr>
        <w:t xml:space="preserve"> 12.651/2012).</w:t>
      </w:r>
    </w:p>
    <w:p w:rsidR="00D9475A" w:rsidRPr="0069310A" w:rsidRDefault="00D9475A" w:rsidP="00D116D7">
      <w:pPr>
        <w:rPr>
          <w:rStyle w:val="NormalDestaque"/>
          <w:rFonts w:cs="Arial"/>
          <w:b w:val="0"/>
          <w:color w:val="auto"/>
        </w:rPr>
      </w:pPr>
      <w:r w:rsidRPr="0069310A">
        <w:rPr>
          <w:rStyle w:val="NormalDestaque"/>
          <w:rFonts w:cs="Arial"/>
          <w:b w:val="0"/>
          <w:color w:val="auto"/>
        </w:rPr>
        <w:t xml:space="preserve">Para a Área de Influência Indireta (AII), as informações referem-se às bacias hidrográficas do Paraíba do Sul (UGRHI 2) e Piracicaba, Capivari, Jundiaí (UGRHI 5); com maior detalhamento para as bacias do rio Jaguari e do rio Atibaia, onde está inserido o empreendimento, bem como para os municípios envolvidos: Santa Isabel (captação na represa Jaguari), Igaratá e Nazaré Paulista (represa Atibainha). </w:t>
      </w:r>
    </w:p>
    <w:p w:rsidR="00D9475A" w:rsidRPr="0069310A" w:rsidRDefault="00D9475A" w:rsidP="00D116D7">
      <w:pPr>
        <w:rPr>
          <w:rStyle w:val="NormalDestaque"/>
          <w:rFonts w:cs="Arial"/>
          <w:b w:val="0"/>
          <w:color w:val="auto"/>
        </w:rPr>
      </w:pPr>
      <w:r w:rsidRPr="0069310A">
        <w:rPr>
          <w:rStyle w:val="NormalDestaque"/>
          <w:rFonts w:cs="Arial"/>
          <w:b w:val="0"/>
          <w:color w:val="auto"/>
        </w:rPr>
        <w:t>A fim de definir o grau de alteração existente sobre os ecossistemas presentes em AII, foi considerado o histórico de ocupação e de interferências antrópicas ou de conservação/ preservação nessa região, utilizando-se dados secundários. Para tanto, foi dada ênfase à caracterização geral da paisagem, observando-se: (a) informações sobre os Biomas e representatividade pretérita e atual de suas diferentes fitofisionomias; (b) identificação de áreas prioritárias para conservação e criação de unidades de conservação; e (c) identificação de áreas potenciais para formação de corredores ecológicos.</w:t>
      </w:r>
    </w:p>
    <w:p w:rsidR="00D9475A" w:rsidRPr="0069310A" w:rsidRDefault="00D9475A" w:rsidP="00D116D7">
      <w:pPr>
        <w:rPr>
          <w:rStyle w:val="NormalDestaque"/>
          <w:rFonts w:cs="Arial"/>
          <w:b w:val="0"/>
          <w:color w:val="auto"/>
        </w:rPr>
      </w:pPr>
      <w:r w:rsidRPr="0069310A">
        <w:rPr>
          <w:rStyle w:val="NormalDestaque"/>
          <w:rFonts w:cs="Arial"/>
          <w:b w:val="0"/>
          <w:color w:val="auto"/>
        </w:rPr>
        <w:t>No diagnóstico dos aspectos ambientais pertinentes à AII, houve ênfase na caracterização geral da paisagem e na quantificação das diferentes fitofisionomias existentes, por meio de informações bibliográficas, análise de imagens de satélite, observações gerais de campo.</w:t>
      </w:r>
    </w:p>
    <w:p w:rsidR="00D9475A" w:rsidRPr="0069310A" w:rsidRDefault="00D9475A" w:rsidP="00D116D7">
      <w:pPr>
        <w:rPr>
          <w:rStyle w:val="NormalDestaque"/>
          <w:rFonts w:cs="Arial"/>
          <w:b w:val="0"/>
          <w:color w:val="auto"/>
        </w:rPr>
      </w:pPr>
      <w:r w:rsidRPr="0069310A">
        <w:rPr>
          <w:rStyle w:val="NormalDestaque"/>
          <w:rFonts w:cs="Arial"/>
          <w:b w:val="0"/>
          <w:color w:val="auto"/>
        </w:rPr>
        <w:t>Foram especialmente utilizados dados obtidos nas seguintes fontes:</w:t>
      </w:r>
    </w:p>
    <w:p w:rsidR="00D9475A" w:rsidRPr="0069310A" w:rsidRDefault="00D9475A" w:rsidP="000C50CE">
      <w:pPr>
        <w:pStyle w:val="PargrafodaLista"/>
        <w:numPr>
          <w:ilvl w:val="0"/>
          <w:numId w:val="3"/>
        </w:numPr>
        <w:rPr>
          <w:rStyle w:val="NormalDestaque"/>
          <w:rFonts w:cs="Arial"/>
          <w:b w:val="0"/>
          <w:color w:val="auto"/>
        </w:rPr>
      </w:pPr>
      <w:r w:rsidRPr="0069310A">
        <w:rPr>
          <w:rStyle w:val="NormalDestaque"/>
          <w:rFonts w:cs="Arial"/>
          <w:b w:val="0"/>
          <w:color w:val="auto"/>
        </w:rPr>
        <w:t>Inventário Florestal da Vegetação Natural do Estado de São Paulo (São Paulo, 2005);</w:t>
      </w:r>
    </w:p>
    <w:p w:rsidR="00D9475A" w:rsidRPr="0069310A" w:rsidRDefault="00D9475A" w:rsidP="000C50CE">
      <w:pPr>
        <w:pStyle w:val="PargrafodaLista"/>
        <w:numPr>
          <w:ilvl w:val="0"/>
          <w:numId w:val="3"/>
        </w:numPr>
        <w:rPr>
          <w:rStyle w:val="NormalDestaque"/>
          <w:rFonts w:cs="Arial"/>
          <w:b w:val="0"/>
          <w:color w:val="auto"/>
        </w:rPr>
      </w:pPr>
      <w:r w:rsidRPr="0069310A">
        <w:rPr>
          <w:rStyle w:val="NormalDestaque"/>
          <w:rFonts w:cs="Arial"/>
          <w:b w:val="0"/>
          <w:color w:val="auto"/>
        </w:rPr>
        <w:t>“Mapeamento Preliminar da Reserva da Biosfera da Mata Atlântica” (MMA, 2007);</w:t>
      </w:r>
    </w:p>
    <w:p w:rsidR="00D9475A" w:rsidRPr="0069310A" w:rsidRDefault="00D9475A" w:rsidP="000C50CE">
      <w:pPr>
        <w:pStyle w:val="PargrafodaLista"/>
        <w:numPr>
          <w:ilvl w:val="0"/>
          <w:numId w:val="3"/>
        </w:numPr>
        <w:rPr>
          <w:rStyle w:val="NormalDestaque"/>
          <w:rFonts w:cs="Arial"/>
          <w:b w:val="0"/>
          <w:color w:val="auto"/>
        </w:rPr>
      </w:pPr>
      <w:r w:rsidRPr="0069310A">
        <w:rPr>
          <w:rStyle w:val="NormalDestaque"/>
          <w:rFonts w:cs="Arial"/>
          <w:b w:val="0"/>
          <w:color w:val="auto"/>
        </w:rPr>
        <w:t>Áreas Prioritárias para Conservação, Uso Sustentável e Repartição dos Benefícios da Biodiversidade Brasileira (MMA/SBF, 2007);</w:t>
      </w:r>
    </w:p>
    <w:p w:rsidR="00D9475A" w:rsidRPr="0069310A" w:rsidRDefault="00D9475A" w:rsidP="000C50CE">
      <w:pPr>
        <w:pStyle w:val="PargrafodaLista"/>
        <w:numPr>
          <w:ilvl w:val="0"/>
          <w:numId w:val="3"/>
        </w:numPr>
        <w:rPr>
          <w:rStyle w:val="NormalDestaque"/>
          <w:rFonts w:cs="Arial"/>
          <w:b w:val="0"/>
          <w:color w:val="auto"/>
        </w:rPr>
      </w:pPr>
      <w:r w:rsidRPr="0069310A">
        <w:rPr>
          <w:rStyle w:val="NormalDestaque"/>
          <w:rFonts w:cs="Arial"/>
          <w:b w:val="0"/>
          <w:color w:val="auto"/>
        </w:rPr>
        <w:t>“Mapa de Conectividade” (SMA, 2008);</w:t>
      </w:r>
    </w:p>
    <w:p w:rsidR="00D9475A" w:rsidRPr="0069310A" w:rsidRDefault="00D9475A" w:rsidP="000C50CE">
      <w:pPr>
        <w:pStyle w:val="PargrafodaLista"/>
        <w:numPr>
          <w:ilvl w:val="0"/>
          <w:numId w:val="3"/>
        </w:numPr>
        <w:rPr>
          <w:rStyle w:val="NormalDestaque"/>
          <w:rFonts w:cs="Arial"/>
          <w:b w:val="0"/>
          <w:color w:val="auto"/>
        </w:rPr>
      </w:pPr>
      <w:r w:rsidRPr="0069310A">
        <w:rPr>
          <w:rStyle w:val="NormalDestaque"/>
          <w:rFonts w:cs="Arial"/>
          <w:b w:val="0"/>
          <w:color w:val="auto"/>
        </w:rPr>
        <w:t>Subsídios ao planejamento ambiental da unidade hidrográfica de gerenciamento de recursos hídricos Paraíba do Sul: UGRHI 02 (São Paulo: SMA, 2011);</w:t>
      </w:r>
    </w:p>
    <w:p w:rsidR="00D9475A" w:rsidRPr="0069310A" w:rsidRDefault="00D9475A" w:rsidP="000C50CE">
      <w:pPr>
        <w:pStyle w:val="PargrafodaLista"/>
        <w:numPr>
          <w:ilvl w:val="0"/>
          <w:numId w:val="3"/>
        </w:numPr>
        <w:rPr>
          <w:rStyle w:val="NormalDestaque"/>
          <w:rFonts w:cs="Arial"/>
          <w:b w:val="0"/>
          <w:color w:val="auto"/>
        </w:rPr>
      </w:pPr>
      <w:r w:rsidRPr="0069310A">
        <w:rPr>
          <w:rStyle w:val="NormalDestaque"/>
          <w:rFonts w:cs="Arial"/>
          <w:b w:val="0"/>
          <w:color w:val="auto"/>
        </w:rPr>
        <w:t>Atlas Biota (&lt;http://www.cria.org.br/mapcria&gt;, 2014); além de dados provenientes de prefeituras, órgãos do governo e artigos científicos.</w:t>
      </w:r>
    </w:p>
    <w:p w:rsidR="00D9475A" w:rsidRPr="0069310A" w:rsidRDefault="00D9475A" w:rsidP="00D116D7">
      <w:pPr>
        <w:rPr>
          <w:rStyle w:val="NormalDestaque"/>
          <w:rFonts w:cs="Arial"/>
          <w:b w:val="0"/>
          <w:color w:val="auto"/>
        </w:rPr>
      </w:pPr>
      <w:r w:rsidRPr="0069310A">
        <w:rPr>
          <w:rStyle w:val="NormalDestaque"/>
          <w:rFonts w:cs="Arial"/>
          <w:b w:val="0"/>
          <w:color w:val="auto"/>
        </w:rPr>
        <w:t>As informações disponíveis, no entanto, apresentam diferenças quanto ao grau de detalhamento na classificação das diferentes fitofisionomias, que se devem ao tipo de objetivo dos mapeamentos e das fontes utilizadas. Também existem variações quantitativas associadas aos diferentes períodos em que se ocorreram as amostragens. Assim, o presente estudo procurou abordar de forma abrangente estes dados secundários, pautando-se naqueles com maior grau de detalhamento.</w:t>
      </w:r>
    </w:p>
    <w:p w:rsidR="00D9475A" w:rsidRPr="0069310A" w:rsidRDefault="00D9475A" w:rsidP="00D116D7">
      <w:pPr>
        <w:pStyle w:val="Ttulo4"/>
        <w:rPr>
          <w:rStyle w:val="NormalDestaque"/>
          <w:b/>
          <w:bCs/>
          <w:color w:val="auto"/>
        </w:rPr>
      </w:pPr>
      <w:bookmarkStart w:id="55" w:name="_Toc411871190"/>
      <w:r w:rsidRPr="0069310A">
        <w:rPr>
          <w:rStyle w:val="NormalDestaque"/>
          <w:b/>
          <w:bCs/>
          <w:color w:val="auto"/>
        </w:rPr>
        <w:t>Aspectos Gerais da Vegetação na AII</w:t>
      </w:r>
      <w:bookmarkEnd w:id="55"/>
    </w:p>
    <w:p w:rsidR="00D9475A" w:rsidRPr="0069310A" w:rsidRDefault="00D9475A" w:rsidP="00D9475A">
      <w:pPr>
        <w:rPr>
          <w:rFonts w:eastAsia="Times New Roman" w:cs="Arial"/>
        </w:rPr>
      </w:pPr>
      <w:r w:rsidRPr="0069310A">
        <w:rPr>
          <w:rFonts w:eastAsia="Times New Roman" w:cs="Arial"/>
        </w:rPr>
        <w:t xml:space="preserve">A AII da Interligação entre as represas Jaguari e Atibainha engloba os municípios de Santa Isabel (captação na Represa Jaguari), Igaratá e Nazaré Paulista (Represa Atibainha) que, por sua vez, são integrantes de duas Unidades de Gerenciamento de Recursos Hídricos (UGHRIs 2 e 5), </w:t>
      </w:r>
      <w:r w:rsidRPr="0069310A">
        <w:rPr>
          <w:rFonts w:eastAsia="Times New Roman" w:cs="Arial"/>
        </w:rPr>
        <w:lastRenderedPageBreak/>
        <w:t xml:space="preserve">ambas localizadas sob o domínio predominante do Bioma Mata Atl, cujas características gerais são posteriormente abordadas. </w:t>
      </w:r>
    </w:p>
    <w:p w:rsidR="00D9475A" w:rsidRPr="0069310A" w:rsidRDefault="00D9475A" w:rsidP="00D9475A">
      <w:pPr>
        <w:rPr>
          <w:rFonts w:eastAsia="MS Mincho" w:cs="Arial"/>
        </w:rPr>
      </w:pPr>
      <w:r w:rsidRPr="0069310A">
        <w:rPr>
          <w:rFonts w:eastAsia="Times New Roman" w:cs="Arial"/>
        </w:rPr>
        <w:t xml:space="preserve">Segundo dados fornecidos pelo </w:t>
      </w:r>
      <w:r w:rsidRPr="0069310A">
        <w:rPr>
          <w:rFonts w:eastAsia="MS Mincho" w:cs="Arial"/>
          <w:bCs/>
        </w:rPr>
        <w:t xml:space="preserve">Inventário Florestal da Vegetação Natural do Estado de São Paulo (Kronka </w:t>
      </w:r>
      <w:r w:rsidRPr="0069310A">
        <w:rPr>
          <w:rFonts w:eastAsia="MS Mincho" w:cs="Arial"/>
          <w:bCs/>
          <w:i/>
        </w:rPr>
        <w:t>et al</w:t>
      </w:r>
      <w:r w:rsidRPr="0069310A">
        <w:rPr>
          <w:rFonts w:eastAsia="MS Mincho" w:cs="Arial"/>
          <w:bCs/>
        </w:rPr>
        <w:t>., 2005), a</w:t>
      </w:r>
      <w:r w:rsidRPr="0069310A">
        <w:rPr>
          <w:rFonts w:eastAsia="Times New Roman" w:cs="Arial"/>
        </w:rPr>
        <w:t xml:space="preserve"> tipologia vegetacional de maior ocorrência </w:t>
      </w:r>
      <w:r w:rsidRPr="0069310A">
        <w:rPr>
          <w:rFonts w:eastAsia="MS Mincho" w:cs="Arial"/>
          <w:bCs/>
        </w:rPr>
        <w:t>na</w:t>
      </w:r>
      <w:r w:rsidRPr="0069310A">
        <w:rPr>
          <w:rFonts w:eastAsia="Times New Roman" w:cs="Arial"/>
        </w:rPr>
        <w:t xml:space="preserve"> AII é a </w:t>
      </w:r>
      <w:r w:rsidRPr="0069310A">
        <w:rPr>
          <w:rFonts w:eastAsia="MS Mincho" w:cs="Arial"/>
        </w:rPr>
        <w:t>Floresta Ombrófila Densa Montana, em diferentes graus de preservação, predominando sua formação secundária. Também destaca-se em extensão, a Floresta arbórea/arbustiva-herbácea em região de várzea, com ocorrência nas planícies ao longo de cursos d'água.</w:t>
      </w:r>
    </w:p>
    <w:p w:rsidR="00D9475A" w:rsidRPr="0069310A" w:rsidRDefault="00D9475A" w:rsidP="00D9475A">
      <w:pPr>
        <w:rPr>
          <w:rFonts w:eastAsia="MS Mincho" w:cs="Arial"/>
        </w:rPr>
      </w:pPr>
      <w:r w:rsidRPr="0069310A">
        <w:rPr>
          <w:rFonts w:eastAsia="MS Mincho" w:cs="Arial"/>
        </w:rPr>
        <w:t xml:space="preserve">A região em AII apresenta histórico de relação com antigas fazendas de café, com grandes espaços posteriormente abandonados que derem lugar a extensas florestas secundárias, resultado do processo de regeneração natural (Zablith, 2013). </w:t>
      </w:r>
    </w:p>
    <w:p w:rsidR="00D9475A" w:rsidRPr="0069310A" w:rsidRDefault="00D9475A" w:rsidP="00D9475A">
      <w:pPr>
        <w:rPr>
          <w:rFonts w:eastAsia="MS Mincho" w:cs="Arial"/>
        </w:rPr>
      </w:pPr>
      <w:r w:rsidRPr="0069310A">
        <w:rPr>
          <w:rFonts w:eastAsia="MS Mincho" w:cs="Arial"/>
        </w:rPr>
        <w:t xml:space="preserve">Atualmente, a vegetação nativa apresenta-se com variados graus de antropização, constitundo mosaicos em diferentes estágios sucessionais. </w:t>
      </w:r>
      <w:r w:rsidRPr="0069310A">
        <w:rPr>
          <w:rFonts w:eastAsia="Times New Roman" w:cs="Arial"/>
        </w:rPr>
        <w:t>De modo geral, e</w:t>
      </w:r>
      <w:r w:rsidRPr="0069310A">
        <w:rPr>
          <w:rFonts w:eastAsia="MS Mincho" w:cs="Arial"/>
        </w:rPr>
        <w:t>ncostas e topos de morro concentram grande parte das formações florestais remanescentes em estágio sucessional mais avançado; já áreas marginais às rodovias e estradas concentram fragmentos secundários em estágio sucessional inicial a médio, campos antrópicos, pastagens, reflorestamentos e usos agrícolas.</w:t>
      </w:r>
    </w:p>
    <w:p w:rsidR="00D9475A" w:rsidRPr="0069310A" w:rsidRDefault="00D9475A" w:rsidP="00D9475A">
      <w:pPr>
        <w:rPr>
          <w:rFonts w:eastAsia="Times New Roman" w:cs="Arial"/>
        </w:rPr>
      </w:pPr>
      <w:r w:rsidRPr="0069310A">
        <w:rPr>
          <w:rFonts w:eastAsia="Times New Roman" w:cs="Arial"/>
        </w:rPr>
        <w:t xml:space="preserve">A distribuição destas diferentes formações e fisionomias é descrita a seguir, considerando-se dados abrangentes, relativos às UGRHIs 2 e 5, bem como dados mais específicos para os municípios que possuem relação direta com a Interligação </w:t>
      </w:r>
      <w:r w:rsidRPr="0069310A">
        <w:rPr>
          <w:rFonts w:eastAsia="Times New Roman" w:cs="Arial"/>
          <w:bCs/>
        </w:rPr>
        <w:t>Jaguari Atibainha.</w:t>
      </w:r>
    </w:p>
    <w:p w:rsidR="003A1DB8" w:rsidRPr="003A1DB8" w:rsidRDefault="00D9475A" w:rsidP="00D9475A">
      <w:pPr>
        <w:rPr>
          <w:rFonts w:eastAsia="Times New Roman" w:cs="Arial"/>
        </w:rPr>
      </w:pPr>
      <w:r w:rsidRPr="0069310A">
        <w:rPr>
          <w:rFonts w:eastAsia="Times New Roman" w:cs="Arial"/>
        </w:rPr>
        <w:t xml:space="preserve">Os municípios de Santa Isabel e Igaratá fazem parte da UGRHI 2 - Rio Paraíba do Sul, a qual </w:t>
      </w:r>
      <w:r w:rsidRPr="00C71465">
        <w:rPr>
          <w:rFonts w:eastAsia="Times New Roman" w:cs="Arial"/>
        </w:rPr>
        <w:t xml:space="preserve">compreende uma área de drenagem de aproximadamente </w:t>
      </w:r>
      <w:r w:rsidR="003A1DB8" w:rsidRPr="00C71465">
        <w:rPr>
          <w:rFonts w:eastAsia="Times New Roman" w:cs="Arial"/>
        </w:rPr>
        <w:t>13</w:t>
      </w:r>
      <w:r w:rsidRPr="00C71465">
        <w:rPr>
          <w:rFonts w:eastAsia="Times New Roman" w:cs="Arial"/>
        </w:rPr>
        <w:t>.</w:t>
      </w:r>
      <w:r w:rsidR="00C71465" w:rsidRPr="00C71465">
        <w:rPr>
          <w:rFonts w:eastAsia="Times New Roman" w:cs="Arial"/>
        </w:rPr>
        <w:t>9</w:t>
      </w:r>
      <w:r w:rsidRPr="00C71465">
        <w:rPr>
          <w:rFonts w:eastAsia="Times New Roman" w:cs="Arial"/>
        </w:rPr>
        <w:t xml:space="preserve">00 km², </w:t>
      </w:r>
      <w:r w:rsidR="003A1DB8" w:rsidRPr="00C71465">
        <w:rPr>
          <w:rFonts w:eastAsia="Times New Roman" w:cs="Arial"/>
        </w:rPr>
        <w:t>e 39 municípios no</w:t>
      </w:r>
      <w:r w:rsidR="003A1DB8" w:rsidRPr="003A1DB8">
        <w:rPr>
          <w:rFonts w:eastAsia="Times New Roman" w:cs="Arial"/>
        </w:rPr>
        <w:t xml:space="preserve"> estado de São Paulo.</w:t>
      </w:r>
    </w:p>
    <w:p w:rsidR="00D9475A" w:rsidRPr="0069310A" w:rsidRDefault="00D9475A" w:rsidP="00D9475A">
      <w:pPr>
        <w:rPr>
          <w:rFonts w:eastAsia="Times New Roman" w:cs="Arial"/>
        </w:rPr>
      </w:pPr>
      <w:r w:rsidRPr="0069310A">
        <w:rPr>
          <w:rFonts w:eastAsia="Times New Roman" w:cs="Arial"/>
        </w:rPr>
        <w:t xml:space="preserve">Em 2008, os usos do solo rural da bacia do Rio Paraíba do Sul, em São Paulo, estavam concentrados em: (a) áreas de pastagem, representando mais de 60% da sua superfície agrícola; (b) áreas de vegetação natural, ocupando algo como 20%, e (c) áreas com reflorestamentos, aproximadamente 10% (São Paulo: SMA, 2011). </w:t>
      </w:r>
    </w:p>
    <w:p w:rsidR="00D9475A" w:rsidRPr="0069310A" w:rsidRDefault="00D9475A" w:rsidP="00D9475A">
      <w:pPr>
        <w:rPr>
          <w:rFonts w:eastAsia="Times New Roman" w:cs="Arial"/>
        </w:rPr>
      </w:pPr>
      <w:r w:rsidRPr="0069310A">
        <w:rPr>
          <w:rFonts w:eastAsia="Times New Roman" w:cs="Arial"/>
        </w:rPr>
        <w:t>De acordo com dados do Levantamento Censitário de Unidades de Produção Agropecuária do Estado de São Paulo (LUPA), comparando-se a área ocupada pelas atividades agrícolas em 1995/1996 e em 2007/2008, observa-se um aumento na área total da ordem de 74 mil hectares (5,3% do território da UGRHI 2). Entre as atividades agrícolas, observa-se retração de 13 mil ha (0,9% do território) na área dedicada à agricultura e aumento de 27 mil ha (1,9%) e 61 mil ha (4,3%) nas áreas de silvicultura e pastagens, respectivamente (São Paulo: SMA, 2011).</w:t>
      </w:r>
    </w:p>
    <w:p w:rsidR="00D9475A" w:rsidRPr="0069310A" w:rsidRDefault="00D9475A" w:rsidP="00D9475A">
      <w:pPr>
        <w:rPr>
          <w:rFonts w:eastAsia="Times New Roman" w:cs="Arial"/>
        </w:rPr>
      </w:pPr>
      <w:r w:rsidRPr="0069310A">
        <w:rPr>
          <w:rFonts w:eastAsia="Times New Roman" w:cs="Arial"/>
        </w:rPr>
        <w:t xml:space="preserve">Informações levantadas pelo Inventário Florestal do Estado de São Paulo (Kronka </w:t>
      </w:r>
      <w:r w:rsidRPr="0069310A">
        <w:rPr>
          <w:rFonts w:eastAsia="Times New Roman" w:cs="Arial"/>
          <w:i/>
        </w:rPr>
        <w:t>et al</w:t>
      </w:r>
      <w:r w:rsidRPr="0069310A">
        <w:rPr>
          <w:rFonts w:eastAsia="Times New Roman" w:cs="Arial"/>
        </w:rPr>
        <w:t xml:space="preserve">., 2005), destacam que a vegetação nativa na UGRHI 2 encontra-se predominantemente sob o domínio do Bioma Mata Atlântica, havendo pequena participação do Bioma Cerrado. Observa-se grande diversidade na ocorrência de formações vegetacionais, com presença de 23 das 32 legendas definidas para todo o estado de São Paulo, incluindo expressivas áreas de contato ou de tensão ecológica. Porém, embora seja uma das bacias hidrográficas com maiores índices de vegetação remanescente, com 26% do território ocupados por vegetação nativa, esta se apresenta bastante fragmentada. Constata-se que 81,6% dos fragmentos registrados apresentam superfície entre 0 e 20 ha. </w:t>
      </w:r>
    </w:p>
    <w:p w:rsidR="00D9475A" w:rsidRPr="0069310A" w:rsidRDefault="00D9475A" w:rsidP="00D9475A">
      <w:pPr>
        <w:rPr>
          <w:rFonts w:eastAsia="Times New Roman" w:cs="Arial"/>
        </w:rPr>
      </w:pPr>
      <w:r w:rsidRPr="0069310A">
        <w:rPr>
          <w:rFonts w:eastAsia="Times New Roman" w:cs="Arial"/>
        </w:rPr>
        <w:t xml:space="preserve">As categorias de maior ocorrência na UGRHI 2 são a Floresta Ombrófila Densa Montana e correspondente formação com Vegetação Secundária; Floresta Ombrófila Densa Alto Montana e sua Vegetação Secundária; Floresta Estacional Semidecidual e sua Vegetação Secundária; Floresta Ombrófila Mista Alto-Montana e sua Vegetação Secundária, destacando-se nesta formação a ocorrência da espécie </w:t>
      </w:r>
      <w:r w:rsidRPr="0069310A">
        <w:rPr>
          <w:rFonts w:eastAsia="Times New Roman" w:cs="Arial"/>
          <w:i/>
        </w:rPr>
        <w:t>Araucaria angustifolia</w:t>
      </w:r>
      <w:r w:rsidRPr="0069310A">
        <w:rPr>
          <w:rFonts w:eastAsia="Times New Roman" w:cs="Arial"/>
        </w:rPr>
        <w:t xml:space="preserve"> (araucária); Floresta Ombrófila em Contato Savana / Floresta Ombrófila e sua Vegetação Secundária (Kronka </w:t>
      </w:r>
      <w:r w:rsidRPr="0069310A">
        <w:rPr>
          <w:rFonts w:eastAsia="Times New Roman" w:cs="Arial"/>
          <w:i/>
        </w:rPr>
        <w:t>et al</w:t>
      </w:r>
      <w:r w:rsidRPr="0069310A">
        <w:rPr>
          <w:rFonts w:eastAsia="Times New Roman" w:cs="Arial"/>
        </w:rPr>
        <w:t>., 2005).</w:t>
      </w:r>
    </w:p>
    <w:p w:rsidR="00D9475A" w:rsidRPr="0069310A" w:rsidRDefault="00D9475A" w:rsidP="00D9475A">
      <w:pPr>
        <w:rPr>
          <w:rFonts w:eastAsia="Times New Roman" w:cs="Arial"/>
        </w:rPr>
      </w:pPr>
      <w:r w:rsidRPr="0069310A">
        <w:rPr>
          <w:rFonts w:eastAsia="Times New Roman" w:cs="Arial"/>
        </w:rPr>
        <w:t xml:space="preserve">Em AII, o município Nazaré Paulista integra a Unidade de Gerenciamento de Recursos Hídricos da Bacia Hidrográfica dos Rios Piracicaba / Capivari / Jundiaí (UGRHI 5), a qual ocupa uma área de 1.520.500 ha, apresentando 6,9% de sua superfície cobertos por vegetação nativa. Nazaré </w:t>
      </w:r>
      <w:r w:rsidRPr="0069310A">
        <w:rPr>
          <w:rFonts w:eastAsia="Times New Roman" w:cs="Arial"/>
        </w:rPr>
        <w:lastRenderedPageBreak/>
        <w:t xml:space="preserve">Paulista é o município com maior área de vegetação remanescente (9.263 ha, 28,8% de sua superfície) (Kronka </w:t>
      </w:r>
      <w:r w:rsidRPr="0069310A">
        <w:rPr>
          <w:rFonts w:eastAsia="Times New Roman" w:cs="Arial"/>
          <w:i/>
        </w:rPr>
        <w:t>et al</w:t>
      </w:r>
      <w:r w:rsidRPr="0069310A">
        <w:rPr>
          <w:rFonts w:eastAsia="Times New Roman" w:cs="Arial"/>
        </w:rPr>
        <w:t>., 2005).</w:t>
      </w:r>
    </w:p>
    <w:p w:rsidR="00D9475A" w:rsidRPr="0069310A" w:rsidRDefault="00D9475A" w:rsidP="00D9475A">
      <w:pPr>
        <w:rPr>
          <w:rFonts w:eastAsia="Times New Roman" w:cs="Arial"/>
        </w:rPr>
      </w:pPr>
      <w:r w:rsidRPr="0069310A">
        <w:rPr>
          <w:rFonts w:eastAsia="Times New Roman" w:cs="Arial"/>
        </w:rPr>
        <w:t xml:space="preserve">A UGRHI 5 está predominantemente sob domínio do Bioma Mata Atlântica, com pequena participação do Bioma Cerrado. Suas formações, no entanto, encontram-se bastante fragmentadas, havendo registro de que 86,9% de seus fragmentos apresentam superfície entre 0 e 20 ha. As categorias vegetacionais de maior ocorrência são a Floresta Ombrófila Densa Montana e correspondente formação com Vegetação Secundária; Floresta Estacional Semidecidual e sua Vegetação Secundária; Floresta Estacional em Contato Savana / Floresta Estacional e sua Vegetação Secundária (Kronka </w:t>
      </w:r>
      <w:r w:rsidRPr="0069310A">
        <w:rPr>
          <w:rFonts w:eastAsia="Times New Roman" w:cs="Arial"/>
          <w:i/>
        </w:rPr>
        <w:t>et al</w:t>
      </w:r>
      <w:r w:rsidRPr="0069310A">
        <w:rPr>
          <w:rFonts w:eastAsia="Times New Roman" w:cs="Arial"/>
        </w:rPr>
        <w:t>., 2005).</w:t>
      </w:r>
    </w:p>
    <w:p w:rsidR="00D9475A" w:rsidRPr="0069310A" w:rsidRDefault="00D9475A" w:rsidP="00D9475A">
      <w:pPr>
        <w:rPr>
          <w:rFonts w:eastAsia="Times New Roman" w:cs="Arial"/>
        </w:rPr>
      </w:pPr>
      <w:r w:rsidRPr="0069310A">
        <w:rPr>
          <w:rFonts w:eastAsia="Times New Roman" w:cs="Arial"/>
        </w:rPr>
        <w:t xml:space="preserve">As </w:t>
      </w:r>
      <w:r w:rsidRPr="0069310A">
        <w:rPr>
          <w:rFonts w:eastAsia="Times New Roman" w:cs="Arial"/>
          <w:b/>
        </w:rPr>
        <w:t>Tabelas 6.4.1</w:t>
      </w:r>
      <w:r w:rsidR="00415CDA">
        <w:rPr>
          <w:rFonts w:eastAsia="Times New Roman" w:cs="Arial"/>
          <w:b/>
        </w:rPr>
        <w:t>-1</w:t>
      </w:r>
      <w:r w:rsidRPr="0069310A">
        <w:rPr>
          <w:rFonts w:eastAsia="Times New Roman" w:cs="Arial"/>
          <w:b/>
        </w:rPr>
        <w:t xml:space="preserve"> e 6.4.</w:t>
      </w:r>
      <w:r w:rsidR="00415CDA">
        <w:rPr>
          <w:rFonts w:eastAsia="Times New Roman" w:cs="Arial"/>
          <w:b/>
        </w:rPr>
        <w:t>1-</w:t>
      </w:r>
      <w:r w:rsidRPr="0069310A">
        <w:rPr>
          <w:rFonts w:eastAsia="Times New Roman" w:cs="Arial"/>
          <w:b/>
        </w:rPr>
        <w:t>2</w:t>
      </w:r>
      <w:r w:rsidRPr="0069310A">
        <w:rPr>
          <w:rFonts w:eastAsia="Times New Roman" w:cs="Arial"/>
        </w:rPr>
        <w:t>, a seguir, apresentam dados quantitativos para as diferentes formações vegetacionais de ocorrência nas UGRHIs 2 e 5 e nos municípios de Santa Isabel, Igaratá e Nazaré Paulista, com dados de 2009, fornecidos pelo Instituto Florestal de São Paulo, utilizando Legenda IBGE – RADAM.</w:t>
      </w:r>
    </w:p>
    <w:p w:rsidR="00D9475A" w:rsidRPr="0069310A" w:rsidRDefault="00D9475A" w:rsidP="00D9475A">
      <w:pPr>
        <w:pStyle w:val="Quadro"/>
      </w:pPr>
      <w:r w:rsidRPr="0069310A">
        <w:t>Tabela 6.4.</w:t>
      </w:r>
      <w:r w:rsidR="00415CDA">
        <w:t>1-</w:t>
      </w:r>
      <w:r w:rsidRPr="0069310A">
        <w:t>1</w:t>
      </w:r>
      <w:r w:rsidR="00415CDA">
        <w:t>.</w:t>
      </w:r>
      <w:r w:rsidRPr="0069310A">
        <w:t xml:space="preserve"> Vegetação Nativa </w:t>
      </w:r>
      <w:r w:rsidR="00A11DBD" w:rsidRPr="0069310A">
        <w:t>Remanescente</w:t>
      </w:r>
      <w:r w:rsidRPr="0069310A">
        <w:t>. Tipologia</w:t>
      </w:r>
      <w:r w:rsidR="00415CDA">
        <w:t xml:space="preserve"> e área de cobertura, por UGRHI</w:t>
      </w:r>
    </w:p>
    <w:tbl>
      <w:tblPr>
        <w:tblW w:w="9204"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4707"/>
        <w:gridCol w:w="1946"/>
        <w:gridCol w:w="2551"/>
      </w:tblGrid>
      <w:tr w:rsidR="00D9475A" w:rsidRPr="0069310A" w:rsidTr="00F0571B">
        <w:trPr>
          <w:jc w:val="center"/>
        </w:trPr>
        <w:tc>
          <w:tcPr>
            <w:tcW w:w="4707" w:type="dxa"/>
            <w:shd w:val="clear" w:color="auto" w:fill="BFBFBF" w:themeFill="background1" w:themeFillShade="BF"/>
            <w:vAlign w:val="center"/>
          </w:tcPr>
          <w:p w:rsidR="00D9475A" w:rsidRPr="0069310A" w:rsidRDefault="00D9475A" w:rsidP="00F0571B">
            <w:pPr>
              <w:spacing w:after="0"/>
              <w:jc w:val="center"/>
              <w:rPr>
                <w:rFonts w:eastAsia="Times New Roman" w:cs="Arial"/>
                <w:b/>
                <w:sz w:val="18"/>
                <w:szCs w:val="18"/>
              </w:rPr>
            </w:pPr>
            <w:r w:rsidRPr="0069310A">
              <w:rPr>
                <w:rFonts w:cs="Arial"/>
                <w:b/>
                <w:bCs/>
                <w:sz w:val="18"/>
                <w:szCs w:val="18"/>
              </w:rPr>
              <w:t>Tipologia Vegetacional</w:t>
            </w:r>
          </w:p>
        </w:tc>
        <w:tc>
          <w:tcPr>
            <w:tcW w:w="1946" w:type="dxa"/>
            <w:shd w:val="clear" w:color="auto" w:fill="BFBFBF" w:themeFill="background1" w:themeFillShade="BF"/>
            <w:vAlign w:val="center"/>
          </w:tcPr>
          <w:p w:rsidR="00D9475A" w:rsidRPr="0069310A" w:rsidRDefault="00D9475A" w:rsidP="00F0571B">
            <w:pPr>
              <w:spacing w:after="0"/>
              <w:jc w:val="center"/>
              <w:rPr>
                <w:rFonts w:eastAsia="Times New Roman" w:cs="Arial"/>
                <w:b/>
                <w:sz w:val="18"/>
                <w:szCs w:val="18"/>
              </w:rPr>
            </w:pPr>
            <w:r w:rsidRPr="0069310A">
              <w:rPr>
                <w:rFonts w:eastAsia="Times New Roman" w:cs="Arial"/>
                <w:b/>
                <w:sz w:val="18"/>
                <w:szCs w:val="18"/>
              </w:rPr>
              <w:t>Paraíba do Sul</w:t>
            </w:r>
          </w:p>
          <w:p w:rsidR="00D9475A" w:rsidRPr="0069310A" w:rsidRDefault="00D9475A" w:rsidP="00F0571B">
            <w:pPr>
              <w:spacing w:after="0"/>
              <w:jc w:val="center"/>
              <w:rPr>
                <w:rFonts w:eastAsia="Times New Roman" w:cs="Arial"/>
                <w:b/>
                <w:sz w:val="18"/>
                <w:szCs w:val="18"/>
              </w:rPr>
            </w:pPr>
            <w:r w:rsidRPr="0069310A">
              <w:rPr>
                <w:rFonts w:eastAsia="Times New Roman" w:cs="Arial"/>
                <w:b/>
                <w:sz w:val="18"/>
                <w:szCs w:val="18"/>
              </w:rPr>
              <w:t>UGRHI 2</w:t>
            </w:r>
          </w:p>
        </w:tc>
        <w:tc>
          <w:tcPr>
            <w:tcW w:w="2551" w:type="dxa"/>
            <w:shd w:val="clear" w:color="auto" w:fill="BFBFBF" w:themeFill="background1" w:themeFillShade="BF"/>
            <w:vAlign w:val="center"/>
          </w:tcPr>
          <w:p w:rsidR="00D9475A" w:rsidRPr="0069310A" w:rsidRDefault="00D9475A" w:rsidP="00F0571B">
            <w:pPr>
              <w:spacing w:after="0"/>
              <w:jc w:val="center"/>
              <w:rPr>
                <w:rFonts w:eastAsia="Times New Roman" w:cs="Arial"/>
                <w:b/>
                <w:sz w:val="18"/>
                <w:szCs w:val="18"/>
              </w:rPr>
            </w:pPr>
            <w:r w:rsidRPr="0069310A">
              <w:rPr>
                <w:rFonts w:eastAsia="Times New Roman" w:cs="Arial"/>
                <w:b/>
                <w:sz w:val="18"/>
                <w:szCs w:val="18"/>
              </w:rPr>
              <w:t>Piracicaba/Capivari/Jundiaí</w:t>
            </w:r>
          </w:p>
          <w:p w:rsidR="00D9475A" w:rsidRPr="0069310A" w:rsidRDefault="00D9475A" w:rsidP="00F0571B">
            <w:pPr>
              <w:spacing w:after="0"/>
              <w:jc w:val="center"/>
              <w:rPr>
                <w:rFonts w:eastAsia="Times New Roman" w:cs="Arial"/>
                <w:b/>
                <w:sz w:val="18"/>
                <w:szCs w:val="18"/>
              </w:rPr>
            </w:pPr>
            <w:r w:rsidRPr="0069310A">
              <w:rPr>
                <w:rFonts w:eastAsia="Times New Roman" w:cs="Arial"/>
                <w:b/>
                <w:sz w:val="18"/>
                <w:szCs w:val="18"/>
              </w:rPr>
              <w:t>UGRHI 5</w:t>
            </w:r>
          </w:p>
        </w:tc>
      </w:tr>
      <w:tr w:rsidR="00D9475A" w:rsidRPr="0069310A" w:rsidTr="00365780">
        <w:trPr>
          <w:jc w:val="center"/>
        </w:trPr>
        <w:tc>
          <w:tcPr>
            <w:tcW w:w="4707" w:type="dxa"/>
            <w:vAlign w:val="center"/>
          </w:tcPr>
          <w:p w:rsidR="00D9475A" w:rsidRPr="0069310A" w:rsidRDefault="00D9475A" w:rsidP="00365780">
            <w:pPr>
              <w:spacing w:after="0"/>
              <w:rPr>
                <w:rFonts w:cs="Arial"/>
                <w:bCs/>
                <w:sz w:val="18"/>
                <w:szCs w:val="18"/>
              </w:rPr>
            </w:pPr>
            <w:r w:rsidRPr="0069310A">
              <w:rPr>
                <w:rFonts w:cs="Arial"/>
                <w:bCs/>
                <w:sz w:val="18"/>
                <w:szCs w:val="18"/>
              </w:rPr>
              <w:t>Floresta Estacional Semidecidual (ha)</w:t>
            </w:r>
          </w:p>
        </w:tc>
        <w:tc>
          <w:tcPr>
            <w:tcW w:w="1946"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29.082</w:t>
            </w:r>
          </w:p>
        </w:tc>
        <w:tc>
          <w:tcPr>
            <w:tcW w:w="2551"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62.829</w:t>
            </w:r>
          </w:p>
        </w:tc>
      </w:tr>
      <w:tr w:rsidR="00D9475A" w:rsidRPr="0069310A" w:rsidTr="00365780">
        <w:trPr>
          <w:jc w:val="center"/>
        </w:trPr>
        <w:tc>
          <w:tcPr>
            <w:tcW w:w="4707" w:type="dxa"/>
            <w:vAlign w:val="center"/>
          </w:tcPr>
          <w:p w:rsidR="00D9475A" w:rsidRPr="0069310A" w:rsidRDefault="00D9475A" w:rsidP="00365780">
            <w:pPr>
              <w:spacing w:after="0"/>
              <w:rPr>
                <w:rFonts w:cs="Arial"/>
                <w:bCs/>
                <w:sz w:val="18"/>
                <w:szCs w:val="18"/>
              </w:rPr>
            </w:pPr>
            <w:r w:rsidRPr="0069310A">
              <w:rPr>
                <w:rFonts w:cs="Arial"/>
                <w:bCs/>
                <w:sz w:val="18"/>
                <w:szCs w:val="18"/>
              </w:rPr>
              <w:t>Floresta Ombrófila Densa (ha)</w:t>
            </w:r>
          </w:p>
        </w:tc>
        <w:tc>
          <w:tcPr>
            <w:tcW w:w="1946"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327.308</w:t>
            </w:r>
          </w:p>
        </w:tc>
        <w:tc>
          <w:tcPr>
            <w:tcW w:w="2551"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121.787</w:t>
            </w:r>
          </w:p>
        </w:tc>
      </w:tr>
      <w:tr w:rsidR="00D9475A" w:rsidRPr="0069310A" w:rsidTr="00365780">
        <w:trPr>
          <w:jc w:val="center"/>
        </w:trPr>
        <w:tc>
          <w:tcPr>
            <w:tcW w:w="4707" w:type="dxa"/>
            <w:vAlign w:val="center"/>
          </w:tcPr>
          <w:p w:rsidR="00D9475A" w:rsidRPr="0069310A" w:rsidRDefault="00D9475A" w:rsidP="00365780">
            <w:pPr>
              <w:pStyle w:val="Contedodatabela"/>
              <w:snapToGrid w:val="0"/>
              <w:jc w:val="both"/>
              <w:rPr>
                <w:rFonts w:ascii="Arial" w:hAnsi="Arial" w:cs="Arial"/>
                <w:bCs/>
                <w:sz w:val="18"/>
                <w:szCs w:val="18"/>
              </w:rPr>
            </w:pPr>
            <w:r w:rsidRPr="0069310A">
              <w:rPr>
                <w:rFonts w:ascii="Arial" w:hAnsi="Arial" w:cs="Arial"/>
                <w:bCs/>
                <w:sz w:val="18"/>
                <w:szCs w:val="18"/>
              </w:rPr>
              <w:t>Floresta Ombrófila Mista (ha)</w:t>
            </w:r>
          </w:p>
        </w:tc>
        <w:tc>
          <w:tcPr>
            <w:tcW w:w="1946"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26.861</w:t>
            </w:r>
          </w:p>
        </w:tc>
        <w:tc>
          <w:tcPr>
            <w:tcW w:w="2551"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w:t>
            </w:r>
          </w:p>
        </w:tc>
      </w:tr>
      <w:tr w:rsidR="00D9475A" w:rsidRPr="0069310A" w:rsidTr="00365780">
        <w:trPr>
          <w:jc w:val="center"/>
        </w:trPr>
        <w:tc>
          <w:tcPr>
            <w:tcW w:w="4707" w:type="dxa"/>
            <w:vAlign w:val="center"/>
          </w:tcPr>
          <w:p w:rsidR="00D9475A" w:rsidRPr="0069310A" w:rsidRDefault="00D9475A" w:rsidP="00365780">
            <w:pPr>
              <w:spacing w:after="0"/>
              <w:rPr>
                <w:rFonts w:eastAsia="Times New Roman" w:cs="Arial"/>
                <w:sz w:val="18"/>
                <w:szCs w:val="18"/>
              </w:rPr>
            </w:pPr>
            <w:r w:rsidRPr="0069310A">
              <w:rPr>
                <w:rFonts w:cs="Arial"/>
                <w:bCs/>
                <w:sz w:val="18"/>
                <w:szCs w:val="18"/>
              </w:rPr>
              <w:t>Formação Arbórea / Arbustiva em Região de Várzea (ha)</w:t>
            </w:r>
          </w:p>
        </w:tc>
        <w:tc>
          <w:tcPr>
            <w:tcW w:w="1946"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w:t>
            </w:r>
          </w:p>
        </w:tc>
        <w:tc>
          <w:tcPr>
            <w:tcW w:w="2551"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5.124</w:t>
            </w:r>
          </w:p>
        </w:tc>
      </w:tr>
      <w:tr w:rsidR="00D9475A" w:rsidRPr="0069310A" w:rsidTr="00365780">
        <w:trPr>
          <w:jc w:val="center"/>
        </w:trPr>
        <w:tc>
          <w:tcPr>
            <w:tcW w:w="4707" w:type="dxa"/>
            <w:vAlign w:val="center"/>
          </w:tcPr>
          <w:p w:rsidR="00D9475A" w:rsidRPr="0069310A" w:rsidRDefault="00D9475A" w:rsidP="00365780">
            <w:pPr>
              <w:spacing w:after="0"/>
              <w:rPr>
                <w:rFonts w:eastAsia="Times New Roman" w:cs="Arial"/>
                <w:sz w:val="18"/>
                <w:szCs w:val="18"/>
              </w:rPr>
            </w:pPr>
            <w:r w:rsidRPr="0069310A">
              <w:rPr>
                <w:rFonts w:cs="Arial"/>
                <w:bCs/>
                <w:sz w:val="18"/>
                <w:szCs w:val="18"/>
              </w:rPr>
              <w:t>Savana (ha)</w:t>
            </w:r>
          </w:p>
        </w:tc>
        <w:tc>
          <w:tcPr>
            <w:tcW w:w="1946"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1.424</w:t>
            </w:r>
          </w:p>
        </w:tc>
        <w:tc>
          <w:tcPr>
            <w:tcW w:w="2551"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1.408</w:t>
            </w:r>
          </w:p>
        </w:tc>
      </w:tr>
      <w:tr w:rsidR="00D9475A" w:rsidRPr="0069310A" w:rsidTr="00365780">
        <w:trPr>
          <w:jc w:val="center"/>
        </w:trPr>
        <w:tc>
          <w:tcPr>
            <w:tcW w:w="4707" w:type="dxa"/>
            <w:vAlign w:val="center"/>
          </w:tcPr>
          <w:p w:rsidR="00D9475A" w:rsidRPr="0069310A" w:rsidRDefault="00D9475A" w:rsidP="00365780">
            <w:pPr>
              <w:spacing w:after="0"/>
              <w:rPr>
                <w:rFonts w:cs="Arial"/>
                <w:b/>
                <w:bCs/>
                <w:sz w:val="18"/>
                <w:szCs w:val="18"/>
              </w:rPr>
            </w:pPr>
            <w:r w:rsidRPr="0069310A">
              <w:rPr>
                <w:rFonts w:cs="Arial"/>
                <w:b/>
                <w:bCs/>
                <w:sz w:val="18"/>
                <w:szCs w:val="18"/>
              </w:rPr>
              <w:t>TOTAL (ha)</w:t>
            </w:r>
          </w:p>
        </w:tc>
        <w:tc>
          <w:tcPr>
            <w:tcW w:w="1946" w:type="dxa"/>
            <w:vAlign w:val="center"/>
          </w:tcPr>
          <w:p w:rsidR="00D9475A" w:rsidRPr="0069310A" w:rsidRDefault="00D9475A" w:rsidP="00365780">
            <w:pPr>
              <w:spacing w:after="0"/>
              <w:jc w:val="right"/>
              <w:rPr>
                <w:rFonts w:eastAsia="Times New Roman" w:cs="Arial"/>
                <w:b/>
                <w:sz w:val="18"/>
                <w:szCs w:val="18"/>
              </w:rPr>
            </w:pPr>
            <w:r w:rsidRPr="0069310A">
              <w:rPr>
                <w:rFonts w:eastAsia="Times New Roman" w:cs="Arial"/>
                <w:b/>
                <w:sz w:val="18"/>
                <w:szCs w:val="18"/>
              </w:rPr>
              <w:t>384.674</w:t>
            </w:r>
          </w:p>
        </w:tc>
        <w:tc>
          <w:tcPr>
            <w:tcW w:w="2551" w:type="dxa"/>
            <w:vAlign w:val="center"/>
          </w:tcPr>
          <w:p w:rsidR="00D9475A" w:rsidRPr="0069310A" w:rsidRDefault="00D9475A" w:rsidP="00365780">
            <w:pPr>
              <w:spacing w:after="0"/>
              <w:jc w:val="right"/>
              <w:rPr>
                <w:rFonts w:eastAsia="Times New Roman" w:cs="Arial"/>
                <w:b/>
                <w:sz w:val="18"/>
                <w:szCs w:val="18"/>
              </w:rPr>
            </w:pPr>
            <w:r w:rsidRPr="0069310A">
              <w:rPr>
                <w:rFonts w:eastAsia="Times New Roman" w:cs="Arial"/>
                <w:b/>
                <w:sz w:val="18"/>
                <w:szCs w:val="18"/>
              </w:rPr>
              <w:t>191.148</w:t>
            </w:r>
          </w:p>
        </w:tc>
      </w:tr>
      <w:tr w:rsidR="00D9475A" w:rsidRPr="0069310A" w:rsidTr="00365780">
        <w:trPr>
          <w:jc w:val="center"/>
        </w:trPr>
        <w:tc>
          <w:tcPr>
            <w:tcW w:w="4707" w:type="dxa"/>
            <w:vAlign w:val="center"/>
          </w:tcPr>
          <w:p w:rsidR="00D9475A" w:rsidRPr="0069310A" w:rsidRDefault="00D9475A" w:rsidP="00365780">
            <w:pPr>
              <w:spacing w:after="0"/>
              <w:rPr>
                <w:rFonts w:cs="Arial"/>
                <w:bCs/>
                <w:sz w:val="18"/>
                <w:szCs w:val="18"/>
              </w:rPr>
            </w:pPr>
            <w:r w:rsidRPr="0069310A">
              <w:rPr>
                <w:rFonts w:cs="Arial"/>
                <w:bCs/>
                <w:sz w:val="18"/>
                <w:szCs w:val="18"/>
              </w:rPr>
              <w:t>Área de Drenagem (ha)</w:t>
            </w:r>
          </w:p>
        </w:tc>
        <w:tc>
          <w:tcPr>
            <w:tcW w:w="1946"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1.432.953</w:t>
            </w:r>
          </w:p>
        </w:tc>
        <w:tc>
          <w:tcPr>
            <w:tcW w:w="2551"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1.513.853</w:t>
            </w:r>
          </w:p>
        </w:tc>
      </w:tr>
    </w:tbl>
    <w:p w:rsidR="00D9475A" w:rsidRPr="0069310A" w:rsidRDefault="00D9475A" w:rsidP="00D9475A">
      <w:pPr>
        <w:pStyle w:val="Fonte"/>
        <w:spacing w:before="0"/>
        <w:jc w:val="both"/>
        <w:rPr>
          <w:rFonts w:eastAsia="MS Mincho" w:cs="Arial"/>
          <w:i w:val="0"/>
          <w:szCs w:val="16"/>
          <w:lang w:val="pt-BR"/>
        </w:rPr>
      </w:pPr>
      <w:r w:rsidRPr="0069310A">
        <w:rPr>
          <w:rFonts w:eastAsia="MS Mincho" w:cs="Arial"/>
          <w:b/>
          <w:i w:val="0"/>
          <w:szCs w:val="16"/>
          <w:lang w:val="pt-BR"/>
        </w:rPr>
        <w:t xml:space="preserve">Fonte: </w:t>
      </w:r>
      <w:r w:rsidRPr="0069310A">
        <w:rPr>
          <w:rFonts w:eastAsia="MS Mincho" w:cs="Arial"/>
          <w:i w:val="0"/>
          <w:szCs w:val="16"/>
          <w:lang w:val="pt-BR"/>
        </w:rPr>
        <w:t xml:space="preserve">Quantificação da </w:t>
      </w:r>
      <w:r w:rsidR="00C53A57" w:rsidRPr="0069310A">
        <w:rPr>
          <w:rFonts w:eastAsia="MS Mincho" w:cs="Arial"/>
          <w:i w:val="0"/>
          <w:szCs w:val="16"/>
          <w:lang w:val="pt-BR"/>
        </w:rPr>
        <w:t xml:space="preserve">Vegetação </w:t>
      </w:r>
      <w:r w:rsidRPr="0069310A">
        <w:rPr>
          <w:rFonts w:eastAsia="MS Mincho" w:cs="Arial"/>
          <w:i w:val="0"/>
          <w:szCs w:val="16"/>
          <w:lang w:val="pt-BR"/>
        </w:rPr>
        <w:t xml:space="preserve">Natural Remanescente </w:t>
      </w:r>
      <w:r w:rsidR="00C53A57">
        <w:rPr>
          <w:rFonts w:eastAsia="MS Mincho" w:cs="Arial"/>
          <w:i w:val="0"/>
          <w:szCs w:val="16"/>
          <w:lang w:val="pt-BR"/>
        </w:rPr>
        <w:t>p</w:t>
      </w:r>
      <w:r w:rsidRPr="0069310A">
        <w:rPr>
          <w:rFonts w:eastAsia="MS Mincho" w:cs="Arial"/>
          <w:i w:val="0"/>
          <w:szCs w:val="16"/>
          <w:lang w:val="pt-BR"/>
        </w:rPr>
        <w:t xml:space="preserve">ara Bacias Hidrográficas do Estado de São Paulo - Legenda IBGE - RADAM – 2009 (IF, </w:t>
      </w:r>
      <w:r w:rsidR="00C53A57" w:rsidRPr="0069310A">
        <w:rPr>
          <w:rFonts w:eastAsia="MS Mincho" w:cs="Arial"/>
          <w:i w:val="0"/>
          <w:szCs w:val="16"/>
          <w:lang w:val="pt-BR"/>
        </w:rPr>
        <w:t>2009, acessado em</w:t>
      </w:r>
      <w:r w:rsidR="00C53A57">
        <w:rPr>
          <w:rFonts w:eastAsia="MS Mincho" w:cs="Arial"/>
          <w:i w:val="0"/>
          <w:szCs w:val="16"/>
          <w:lang w:val="pt-BR"/>
        </w:rPr>
        <w:t xml:space="preserve"> </w:t>
      </w:r>
      <w:r w:rsidRPr="0069310A">
        <w:rPr>
          <w:rFonts w:eastAsia="MS Mincho" w:cs="Arial"/>
          <w:i w:val="0"/>
          <w:szCs w:val="16"/>
          <w:lang w:val="pt-BR"/>
        </w:rPr>
        <w:t>2014).</w:t>
      </w:r>
    </w:p>
    <w:p w:rsidR="00D9475A" w:rsidRPr="0069310A" w:rsidRDefault="00D9475A" w:rsidP="00D9475A">
      <w:pPr>
        <w:pStyle w:val="Quadro"/>
      </w:pPr>
      <w:r w:rsidRPr="0069310A">
        <w:t>Tabela 6.4.</w:t>
      </w:r>
      <w:r w:rsidR="00415CDA">
        <w:t>1-</w:t>
      </w:r>
      <w:r w:rsidRPr="0069310A">
        <w:t>2</w:t>
      </w:r>
      <w:r w:rsidR="00415CDA">
        <w:t>.</w:t>
      </w:r>
      <w:r w:rsidRPr="0069310A">
        <w:t xml:space="preserve"> Vegetação Nativa </w:t>
      </w:r>
      <w:r w:rsidR="00A11DBD" w:rsidRPr="0069310A">
        <w:t>Remanescente</w:t>
      </w:r>
      <w:r w:rsidRPr="0069310A">
        <w:t>. Tipologia e área de</w:t>
      </w:r>
      <w:r w:rsidR="00415CDA">
        <w:t xml:space="preserve"> cobertura, por município</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4810"/>
        <w:gridCol w:w="1417"/>
        <w:gridCol w:w="1418"/>
        <w:gridCol w:w="1564"/>
      </w:tblGrid>
      <w:tr w:rsidR="00D9475A" w:rsidRPr="0069310A" w:rsidTr="00F0571B">
        <w:trPr>
          <w:jc w:val="center"/>
        </w:trPr>
        <w:tc>
          <w:tcPr>
            <w:tcW w:w="4810" w:type="dxa"/>
            <w:shd w:val="clear" w:color="auto" w:fill="BFBFBF" w:themeFill="background1" w:themeFillShade="BF"/>
            <w:vAlign w:val="center"/>
          </w:tcPr>
          <w:p w:rsidR="00D9475A" w:rsidRPr="0069310A" w:rsidRDefault="00D9475A" w:rsidP="00F0571B">
            <w:pPr>
              <w:spacing w:after="0"/>
              <w:jc w:val="center"/>
              <w:rPr>
                <w:rFonts w:eastAsia="Times New Roman" w:cs="Arial"/>
                <w:b/>
                <w:sz w:val="18"/>
                <w:szCs w:val="18"/>
              </w:rPr>
            </w:pPr>
            <w:r w:rsidRPr="0069310A">
              <w:rPr>
                <w:rFonts w:cs="Arial"/>
                <w:b/>
                <w:bCs/>
                <w:sz w:val="18"/>
                <w:szCs w:val="18"/>
              </w:rPr>
              <w:t>Tipologia Vegetacional</w:t>
            </w:r>
          </w:p>
        </w:tc>
        <w:tc>
          <w:tcPr>
            <w:tcW w:w="1417" w:type="dxa"/>
            <w:shd w:val="clear" w:color="auto" w:fill="BFBFBF" w:themeFill="background1" w:themeFillShade="BF"/>
            <w:vAlign w:val="center"/>
          </w:tcPr>
          <w:p w:rsidR="00D9475A" w:rsidRPr="0069310A" w:rsidRDefault="00D9475A" w:rsidP="00F0571B">
            <w:pPr>
              <w:spacing w:after="0"/>
              <w:jc w:val="center"/>
              <w:rPr>
                <w:rFonts w:eastAsia="Times New Roman" w:cs="Arial"/>
                <w:b/>
                <w:sz w:val="18"/>
                <w:szCs w:val="18"/>
              </w:rPr>
            </w:pPr>
            <w:r w:rsidRPr="0069310A">
              <w:rPr>
                <w:rFonts w:eastAsia="Times New Roman" w:cs="Arial"/>
                <w:b/>
                <w:sz w:val="18"/>
                <w:szCs w:val="18"/>
              </w:rPr>
              <w:t>Santa Isabel</w:t>
            </w:r>
          </w:p>
        </w:tc>
        <w:tc>
          <w:tcPr>
            <w:tcW w:w="1418" w:type="dxa"/>
            <w:shd w:val="clear" w:color="auto" w:fill="BFBFBF" w:themeFill="background1" w:themeFillShade="BF"/>
            <w:vAlign w:val="center"/>
          </w:tcPr>
          <w:p w:rsidR="00D9475A" w:rsidRPr="0069310A" w:rsidRDefault="00D9475A" w:rsidP="00F0571B">
            <w:pPr>
              <w:spacing w:after="0"/>
              <w:jc w:val="center"/>
              <w:rPr>
                <w:rFonts w:eastAsia="Times New Roman" w:cs="Arial"/>
                <w:b/>
                <w:sz w:val="18"/>
                <w:szCs w:val="18"/>
              </w:rPr>
            </w:pPr>
            <w:r w:rsidRPr="0069310A">
              <w:rPr>
                <w:rFonts w:eastAsia="Times New Roman" w:cs="Arial"/>
                <w:b/>
                <w:sz w:val="18"/>
                <w:szCs w:val="18"/>
              </w:rPr>
              <w:t>Igaratá</w:t>
            </w:r>
          </w:p>
        </w:tc>
        <w:tc>
          <w:tcPr>
            <w:tcW w:w="1564" w:type="dxa"/>
            <w:shd w:val="clear" w:color="auto" w:fill="BFBFBF" w:themeFill="background1" w:themeFillShade="BF"/>
            <w:vAlign w:val="center"/>
          </w:tcPr>
          <w:p w:rsidR="00D9475A" w:rsidRPr="0069310A" w:rsidRDefault="00D9475A" w:rsidP="00F0571B">
            <w:pPr>
              <w:spacing w:after="0"/>
              <w:jc w:val="center"/>
              <w:rPr>
                <w:rFonts w:eastAsia="Times New Roman" w:cs="Arial"/>
                <w:b/>
                <w:sz w:val="18"/>
                <w:szCs w:val="18"/>
              </w:rPr>
            </w:pPr>
            <w:r w:rsidRPr="0069310A">
              <w:rPr>
                <w:rFonts w:eastAsia="Times New Roman" w:cs="Arial"/>
                <w:b/>
                <w:sz w:val="18"/>
                <w:szCs w:val="18"/>
              </w:rPr>
              <w:t>Nazaré Paulista</w:t>
            </w:r>
          </w:p>
        </w:tc>
      </w:tr>
      <w:tr w:rsidR="00D9475A" w:rsidRPr="0069310A" w:rsidTr="00365780">
        <w:trPr>
          <w:jc w:val="center"/>
        </w:trPr>
        <w:tc>
          <w:tcPr>
            <w:tcW w:w="4810" w:type="dxa"/>
            <w:vAlign w:val="center"/>
          </w:tcPr>
          <w:p w:rsidR="00D9475A" w:rsidRPr="0069310A" w:rsidRDefault="00D9475A" w:rsidP="00365780">
            <w:pPr>
              <w:spacing w:after="0"/>
              <w:rPr>
                <w:rFonts w:cs="Arial"/>
                <w:bCs/>
                <w:sz w:val="18"/>
                <w:szCs w:val="18"/>
              </w:rPr>
            </w:pPr>
            <w:r w:rsidRPr="0069310A">
              <w:rPr>
                <w:rFonts w:cs="Arial"/>
                <w:bCs/>
                <w:sz w:val="18"/>
                <w:szCs w:val="18"/>
              </w:rPr>
              <w:t>Floresta Estacional Semidecidual (ha)</w:t>
            </w:r>
          </w:p>
        </w:tc>
        <w:tc>
          <w:tcPr>
            <w:tcW w:w="1417"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w:t>
            </w:r>
          </w:p>
        </w:tc>
        <w:tc>
          <w:tcPr>
            <w:tcW w:w="1418"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35</w:t>
            </w:r>
          </w:p>
        </w:tc>
        <w:tc>
          <w:tcPr>
            <w:tcW w:w="1564" w:type="dxa"/>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w:t>
            </w:r>
          </w:p>
        </w:tc>
      </w:tr>
      <w:tr w:rsidR="00D9475A" w:rsidRPr="0069310A" w:rsidTr="00365780">
        <w:trPr>
          <w:jc w:val="center"/>
        </w:trPr>
        <w:tc>
          <w:tcPr>
            <w:tcW w:w="4810" w:type="dxa"/>
            <w:vAlign w:val="center"/>
          </w:tcPr>
          <w:p w:rsidR="00D9475A" w:rsidRPr="0069310A" w:rsidRDefault="00D9475A" w:rsidP="00365780">
            <w:pPr>
              <w:spacing w:after="0"/>
              <w:rPr>
                <w:rFonts w:cs="Arial"/>
                <w:bCs/>
                <w:sz w:val="18"/>
                <w:szCs w:val="18"/>
              </w:rPr>
            </w:pPr>
            <w:r w:rsidRPr="0069310A">
              <w:rPr>
                <w:rFonts w:cs="Arial"/>
                <w:bCs/>
                <w:sz w:val="18"/>
                <w:szCs w:val="18"/>
              </w:rPr>
              <w:t>Floresta Ombrófila Densa (ha)</w:t>
            </w:r>
          </w:p>
        </w:tc>
        <w:tc>
          <w:tcPr>
            <w:tcW w:w="1417"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13.706</w:t>
            </w:r>
          </w:p>
        </w:tc>
        <w:tc>
          <w:tcPr>
            <w:tcW w:w="1418"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8.344</w:t>
            </w:r>
          </w:p>
        </w:tc>
        <w:tc>
          <w:tcPr>
            <w:tcW w:w="1564" w:type="dxa"/>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11,978</w:t>
            </w:r>
          </w:p>
        </w:tc>
      </w:tr>
      <w:tr w:rsidR="00D9475A" w:rsidRPr="0069310A" w:rsidTr="00365780">
        <w:trPr>
          <w:jc w:val="center"/>
        </w:trPr>
        <w:tc>
          <w:tcPr>
            <w:tcW w:w="4810" w:type="dxa"/>
            <w:vAlign w:val="center"/>
          </w:tcPr>
          <w:p w:rsidR="00D9475A" w:rsidRPr="0069310A" w:rsidRDefault="00D9475A" w:rsidP="00365780">
            <w:pPr>
              <w:pStyle w:val="Contedodatabela"/>
              <w:snapToGrid w:val="0"/>
              <w:jc w:val="both"/>
              <w:rPr>
                <w:rFonts w:ascii="Arial" w:hAnsi="Arial" w:cs="Arial"/>
                <w:bCs/>
                <w:sz w:val="18"/>
                <w:szCs w:val="18"/>
              </w:rPr>
            </w:pPr>
            <w:r w:rsidRPr="0069310A">
              <w:rPr>
                <w:rFonts w:ascii="Arial" w:hAnsi="Arial" w:cs="Arial"/>
                <w:bCs/>
                <w:sz w:val="18"/>
                <w:szCs w:val="18"/>
              </w:rPr>
              <w:t>Floresta Ombrófila Mista (ha)</w:t>
            </w:r>
          </w:p>
        </w:tc>
        <w:tc>
          <w:tcPr>
            <w:tcW w:w="1417"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w:t>
            </w:r>
          </w:p>
        </w:tc>
        <w:tc>
          <w:tcPr>
            <w:tcW w:w="1418"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w:t>
            </w:r>
          </w:p>
        </w:tc>
        <w:tc>
          <w:tcPr>
            <w:tcW w:w="1564" w:type="dxa"/>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w:t>
            </w:r>
          </w:p>
        </w:tc>
      </w:tr>
      <w:tr w:rsidR="00D9475A" w:rsidRPr="0069310A" w:rsidTr="00365780">
        <w:trPr>
          <w:jc w:val="center"/>
        </w:trPr>
        <w:tc>
          <w:tcPr>
            <w:tcW w:w="4810" w:type="dxa"/>
            <w:vAlign w:val="center"/>
          </w:tcPr>
          <w:p w:rsidR="00D9475A" w:rsidRPr="0069310A" w:rsidRDefault="00D9475A" w:rsidP="00365780">
            <w:pPr>
              <w:spacing w:after="0"/>
              <w:rPr>
                <w:rFonts w:eastAsia="Times New Roman" w:cs="Arial"/>
                <w:sz w:val="18"/>
                <w:szCs w:val="18"/>
              </w:rPr>
            </w:pPr>
            <w:r w:rsidRPr="0069310A">
              <w:rPr>
                <w:rFonts w:cs="Arial"/>
                <w:bCs/>
                <w:sz w:val="18"/>
                <w:szCs w:val="18"/>
              </w:rPr>
              <w:t>Formação Arbórea / Arbustiva em Região de Várzea (ha)</w:t>
            </w:r>
          </w:p>
        </w:tc>
        <w:tc>
          <w:tcPr>
            <w:tcW w:w="1417"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w:t>
            </w:r>
          </w:p>
        </w:tc>
        <w:tc>
          <w:tcPr>
            <w:tcW w:w="1418"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w:t>
            </w:r>
          </w:p>
        </w:tc>
        <w:tc>
          <w:tcPr>
            <w:tcW w:w="1564" w:type="dxa"/>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4</w:t>
            </w:r>
          </w:p>
        </w:tc>
      </w:tr>
      <w:tr w:rsidR="00D9475A" w:rsidRPr="0069310A" w:rsidTr="00365780">
        <w:trPr>
          <w:jc w:val="center"/>
        </w:trPr>
        <w:tc>
          <w:tcPr>
            <w:tcW w:w="4810" w:type="dxa"/>
            <w:vAlign w:val="center"/>
          </w:tcPr>
          <w:p w:rsidR="00D9475A" w:rsidRPr="0069310A" w:rsidRDefault="00D9475A" w:rsidP="00365780">
            <w:pPr>
              <w:spacing w:after="0"/>
              <w:rPr>
                <w:rFonts w:eastAsia="Times New Roman" w:cs="Arial"/>
                <w:sz w:val="18"/>
                <w:szCs w:val="18"/>
              </w:rPr>
            </w:pPr>
            <w:r w:rsidRPr="0069310A">
              <w:rPr>
                <w:rFonts w:cs="Arial"/>
                <w:bCs/>
                <w:sz w:val="18"/>
                <w:szCs w:val="18"/>
              </w:rPr>
              <w:t>Savana (ha)</w:t>
            </w:r>
          </w:p>
        </w:tc>
        <w:tc>
          <w:tcPr>
            <w:tcW w:w="1417"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w:t>
            </w:r>
          </w:p>
        </w:tc>
        <w:tc>
          <w:tcPr>
            <w:tcW w:w="1418"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w:t>
            </w:r>
          </w:p>
        </w:tc>
        <w:tc>
          <w:tcPr>
            <w:tcW w:w="1564" w:type="dxa"/>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w:t>
            </w:r>
          </w:p>
        </w:tc>
      </w:tr>
      <w:tr w:rsidR="00D9475A" w:rsidRPr="0069310A" w:rsidTr="00365780">
        <w:trPr>
          <w:jc w:val="center"/>
        </w:trPr>
        <w:tc>
          <w:tcPr>
            <w:tcW w:w="4810" w:type="dxa"/>
            <w:vAlign w:val="center"/>
          </w:tcPr>
          <w:p w:rsidR="00D9475A" w:rsidRPr="0069310A" w:rsidRDefault="00D9475A" w:rsidP="00365780">
            <w:pPr>
              <w:spacing w:after="0"/>
              <w:rPr>
                <w:rFonts w:cs="Arial"/>
                <w:b/>
                <w:bCs/>
                <w:sz w:val="18"/>
                <w:szCs w:val="18"/>
              </w:rPr>
            </w:pPr>
            <w:r w:rsidRPr="0069310A">
              <w:rPr>
                <w:rFonts w:cs="Arial"/>
                <w:b/>
                <w:bCs/>
                <w:sz w:val="18"/>
                <w:szCs w:val="18"/>
              </w:rPr>
              <w:t>TOTAL (ha)</w:t>
            </w:r>
          </w:p>
        </w:tc>
        <w:tc>
          <w:tcPr>
            <w:tcW w:w="1417" w:type="dxa"/>
            <w:vAlign w:val="center"/>
          </w:tcPr>
          <w:p w:rsidR="00D9475A" w:rsidRPr="0069310A" w:rsidRDefault="00D9475A" w:rsidP="00365780">
            <w:pPr>
              <w:spacing w:after="0"/>
              <w:jc w:val="right"/>
              <w:rPr>
                <w:rFonts w:eastAsia="Times New Roman" w:cs="Arial"/>
                <w:b/>
                <w:sz w:val="18"/>
                <w:szCs w:val="18"/>
              </w:rPr>
            </w:pPr>
            <w:r w:rsidRPr="0069310A">
              <w:rPr>
                <w:rFonts w:eastAsia="Times New Roman" w:cs="Arial"/>
                <w:b/>
                <w:sz w:val="18"/>
                <w:szCs w:val="18"/>
              </w:rPr>
              <w:t>13.706</w:t>
            </w:r>
          </w:p>
        </w:tc>
        <w:tc>
          <w:tcPr>
            <w:tcW w:w="1418" w:type="dxa"/>
            <w:vAlign w:val="center"/>
          </w:tcPr>
          <w:p w:rsidR="00D9475A" w:rsidRPr="0069310A" w:rsidRDefault="00D9475A" w:rsidP="00365780">
            <w:pPr>
              <w:spacing w:after="0"/>
              <w:jc w:val="right"/>
              <w:rPr>
                <w:rFonts w:eastAsia="Times New Roman" w:cs="Arial"/>
                <w:b/>
                <w:sz w:val="18"/>
                <w:szCs w:val="18"/>
              </w:rPr>
            </w:pPr>
            <w:r w:rsidRPr="0069310A">
              <w:rPr>
                <w:rFonts w:eastAsia="Times New Roman" w:cs="Arial"/>
                <w:b/>
                <w:sz w:val="18"/>
                <w:szCs w:val="18"/>
              </w:rPr>
              <w:t>8.379</w:t>
            </w:r>
          </w:p>
        </w:tc>
        <w:tc>
          <w:tcPr>
            <w:tcW w:w="1564" w:type="dxa"/>
          </w:tcPr>
          <w:p w:rsidR="00D9475A" w:rsidRPr="0069310A" w:rsidRDefault="00D9475A" w:rsidP="00365780">
            <w:pPr>
              <w:spacing w:after="0"/>
              <w:jc w:val="right"/>
              <w:rPr>
                <w:rFonts w:eastAsia="Times New Roman" w:cs="Arial"/>
                <w:b/>
                <w:sz w:val="18"/>
                <w:szCs w:val="18"/>
              </w:rPr>
            </w:pPr>
            <w:r w:rsidRPr="0069310A">
              <w:rPr>
                <w:rFonts w:eastAsia="Times New Roman" w:cs="Arial"/>
                <w:b/>
                <w:sz w:val="18"/>
                <w:szCs w:val="18"/>
              </w:rPr>
              <w:t>11.982</w:t>
            </w:r>
          </w:p>
        </w:tc>
      </w:tr>
      <w:tr w:rsidR="00D9475A" w:rsidRPr="0069310A" w:rsidTr="00365780">
        <w:trPr>
          <w:jc w:val="center"/>
        </w:trPr>
        <w:tc>
          <w:tcPr>
            <w:tcW w:w="4810" w:type="dxa"/>
            <w:vAlign w:val="center"/>
          </w:tcPr>
          <w:p w:rsidR="00D9475A" w:rsidRPr="0069310A" w:rsidRDefault="00D9475A" w:rsidP="00365780">
            <w:pPr>
              <w:spacing w:after="0"/>
              <w:rPr>
                <w:rFonts w:cs="Arial"/>
                <w:bCs/>
                <w:sz w:val="18"/>
                <w:szCs w:val="18"/>
              </w:rPr>
            </w:pPr>
            <w:r w:rsidRPr="0069310A">
              <w:rPr>
                <w:rFonts w:cs="Arial"/>
                <w:bCs/>
                <w:sz w:val="18"/>
                <w:szCs w:val="18"/>
              </w:rPr>
              <w:t>Área do município (ha)</w:t>
            </w:r>
          </w:p>
        </w:tc>
        <w:tc>
          <w:tcPr>
            <w:tcW w:w="1417"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36.149</w:t>
            </w:r>
          </w:p>
        </w:tc>
        <w:tc>
          <w:tcPr>
            <w:tcW w:w="1418" w:type="dxa"/>
            <w:vAlign w:val="center"/>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29.332</w:t>
            </w:r>
          </w:p>
        </w:tc>
        <w:tc>
          <w:tcPr>
            <w:tcW w:w="1564" w:type="dxa"/>
          </w:tcPr>
          <w:p w:rsidR="00D9475A" w:rsidRPr="0069310A" w:rsidRDefault="00D9475A" w:rsidP="00365780">
            <w:pPr>
              <w:spacing w:after="0"/>
              <w:jc w:val="right"/>
              <w:rPr>
                <w:rFonts w:eastAsia="Times New Roman" w:cs="Arial"/>
                <w:sz w:val="18"/>
                <w:szCs w:val="18"/>
              </w:rPr>
            </w:pPr>
            <w:r w:rsidRPr="0069310A">
              <w:rPr>
                <w:rFonts w:eastAsia="Times New Roman" w:cs="Arial"/>
                <w:sz w:val="18"/>
                <w:szCs w:val="18"/>
              </w:rPr>
              <w:t>32.654</w:t>
            </w:r>
          </w:p>
        </w:tc>
      </w:tr>
    </w:tbl>
    <w:p w:rsidR="00D9475A" w:rsidRPr="0069310A" w:rsidRDefault="00D9475A" w:rsidP="00D9475A">
      <w:pPr>
        <w:pStyle w:val="Fonte"/>
        <w:spacing w:before="0"/>
        <w:jc w:val="both"/>
        <w:rPr>
          <w:rFonts w:eastAsia="MS Mincho" w:cs="Arial"/>
          <w:i w:val="0"/>
          <w:szCs w:val="16"/>
          <w:lang w:val="pt-BR"/>
        </w:rPr>
      </w:pPr>
      <w:r w:rsidRPr="0069310A">
        <w:rPr>
          <w:rFonts w:eastAsia="MS Mincho" w:cs="Arial"/>
          <w:b/>
          <w:i w:val="0"/>
          <w:szCs w:val="16"/>
          <w:lang w:val="pt-BR"/>
        </w:rPr>
        <w:t xml:space="preserve">Fonte: </w:t>
      </w:r>
      <w:r w:rsidRPr="0069310A">
        <w:rPr>
          <w:rFonts w:eastAsia="MS Mincho" w:cs="Arial"/>
          <w:i w:val="0"/>
          <w:szCs w:val="16"/>
          <w:lang w:val="pt-BR"/>
        </w:rPr>
        <w:t xml:space="preserve">Quantificação da </w:t>
      </w:r>
      <w:r w:rsidR="00C53A57" w:rsidRPr="0069310A">
        <w:rPr>
          <w:rFonts w:eastAsia="MS Mincho" w:cs="Arial"/>
          <w:i w:val="0"/>
          <w:szCs w:val="16"/>
          <w:lang w:val="pt-BR"/>
        </w:rPr>
        <w:t xml:space="preserve">Vegetação </w:t>
      </w:r>
      <w:r w:rsidRPr="0069310A">
        <w:rPr>
          <w:rFonts w:eastAsia="MS Mincho" w:cs="Arial"/>
          <w:i w:val="0"/>
          <w:szCs w:val="16"/>
          <w:lang w:val="pt-BR"/>
        </w:rPr>
        <w:t xml:space="preserve">Natural Remanescente </w:t>
      </w:r>
      <w:r w:rsidR="00C53A57">
        <w:rPr>
          <w:rFonts w:eastAsia="MS Mincho" w:cs="Arial"/>
          <w:i w:val="0"/>
          <w:szCs w:val="16"/>
          <w:lang w:val="pt-BR"/>
        </w:rPr>
        <w:t>p</w:t>
      </w:r>
      <w:r w:rsidRPr="0069310A">
        <w:rPr>
          <w:rFonts w:eastAsia="MS Mincho" w:cs="Arial"/>
          <w:i w:val="0"/>
          <w:szCs w:val="16"/>
          <w:lang w:val="pt-BR"/>
        </w:rPr>
        <w:t>ara Municípios do Estado de São Paulo - Legenda IBGE - RADAM – 2009 (IF, 2009, acessado em</w:t>
      </w:r>
      <w:r w:rsidR="00C53A57">
        <w:rPr>
          <w:rFonts w:eastAsia="MS Mincho" w:cs="Arial"/>
          <w:i w:val="0"/>
          <w:szCs w:val="16"/>
          <w:lang w:val="pt-BR"/>
        </w:rPr>
        <w:t xml:space="preserve"> </w:t>
      </w:r>
      <w:r w:rsidRPr="0069310A">
        <w:rPr>
          <w:rFonts w:eastAsia="MS Mincho" w:cs="Arial"/>
          <w:i w:val="0"/>
          <w:szCs w:val="16"/>
          <w:lang w:val="pt-BR"/>
        </w:rPr>
        <w:t>2014).</w:t>
      </w:r>
    </w:p>
    <w:p w:rsidR="00D9475A" w:rsidRPr="0069310A" w:rsidRDefault="00D9475A" w:rsidP="00D9475A">
      <w:r w:rsidRPr="0069310A">
        <w:t xml:space="preserve">A </w:t>
      </w:r>
      <w:r w:rsidR="00C53A57" w:rsidRPr="0069310A">
        <w:rPr>
          <w:b/>
        </w:rPr>
        <w:t>Tabela 6.4.</w:t>
      </w:r>
      <w:r w:rsidR="00C53A57">
        <w:rPr>
          <w:b/>
        </w:rPr>
        <w:t>1-</w:t>
      </w:r>
      <w:r w:rsidR="00C53A57" w:rsidRPr="0069310A">
        <w:rPr>
          <w:b/>
        </w:rPr>
        <w:t>3</w:t>
      </w:r>
      <w:r w:rsidR="00C53A57" w:rsidRPr="0069310A">
        <w:t xml:space="preserve">, a seguir </w:t>
      </w:r>
      <w:r w:rsidR="00C53A57">
        <w:t>indica</w:t>
      </w:r>
      <w:r w:rsidRPr="0069310A">
        <w:t xml:space="preserve"> </w:t>
      </w:r>
      <w:r w:rsidR="00C53A57">
        <w:t>a</w:t>
      </w:r>
      <w:r w:rsidRPr="0069310A">
        <w:t xml:space="preserve"> área </w:t>
      </w:r>
      <w:r w:rsidR="00C53A57">
        <w:t xml:space="preserve">com cobertura florestal nativa </w:t>
      </w:r>
      <w:r w:rsidRPr="0069310A">
        <w:t xml:space="preserve">e </w:t>
      </w:r>
      <w:r w:rsidR="00C53A57">
        <w:t xml:space="preserve">o </w:t>
      </w:r>
      <w:r w:rsidRPr="0069310A">
        <w:t xml:space="preserve">número de fragmentos remanescentes para os municípios </w:t>
      </w:r>
      <w:r w:rsidR="00C53A57">
        <w:t>atravessados pela Interligação</w:t>
      </w:r>
      <w:r w:rsidRPr="0069310A">
        <w:t>.</w:t>
      </w:r>
    </w:p>
    <w:p w:rsidR="00D9475A" w:rsidRPr="0069310A" w:rsidRDefault="00D9475A" w:rsidP="00D9475A">
      <w:pPr>
        <w:pStyle w:val="Quadro"/>
      </w:pPr>
      <w:r w:rsidRPr="0069310A">
        <w:t>Tabela 6.4.</w:t>
      </w:r>
      <w:r w:rsidR="00415CDA">
        <w:t>1-</w:t>
      </w:r>
      <w:r w:rsidRPr="0069310A">
        <w:t>3</w:t>
      </w:r>
      <w:r w:rsidR="00415CDA">
        <w:t>.</w:t>
      </w:r>
      <w:r w:rsidRPr="0069310A">
        <w:t xml:space="preserve"> Vegetação Nativa </w:t>
      </w:r>
      <w:r w:rsidR="00A11DBD" w:rsidRPr="0069310A">
        <w:t>Remanescente</w:t>
      </w:r>
      <w:r w:rsidRPr="0069310A">
        <w:t>. N</w:t>
      </w:r>
      <w:r w:rsidRPr="0069310A">
        <w:rPr>
          <w:vertAlign w:val="superscript"/>
        </w:rPr>
        <w:t>o</w:t>
      </w:r>
      <w:r w:rsidRPr="0069310A">
        <w:t xml:space="preserve"> de fragmentos</w:t>
      </w:r>
      <w:r w:rsidR="00A11DBD">
        <w:t>, por área e município, AII</w:t>
      </w:r>
    </w:p>
    <w:tbl>
      <w:tblPr>
        <w:tblW w:w="975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5" w:type="dxa"/>
          <w:right w:w="55" w:type="dxa"/>
        </w:tblCellMar>
        <w:tblLook w:val="0000" w:firstRow="0" w:lastRow="0" w:firstColumn="0" w:lastColumn="0" w:noHBand="0" w:noVBand="0"/>
      </w:tblPr>
      <w:tblGrid>
        <w:gridCol w:w="1408"/>
        <w:gridCol w:w="992"/>
        <w:gridCol w:w="1276"/>
        <w:gridCol w:w="850"/>
        <w:gridCol w:w="993"/>
        <w:gridCol w:w="850"/>
        <w:gridCol w:w="851"/>
        <w:gridCol w:w="992"/>
        <w:gridCol w:w="850"/>
        <w:gridCol w:w="695"/>
      </w:tblGrid>
      <w:tr w:rsidR="00D9475A" w:rsidRPr="0069310A" w:rsidTr="00365780">
        <w:trPr>
          <w:cantSplit/>
          <w:trHeight w:val="255"/>
          <w:tblHeader/>
          <w:jc w:val="center"/>
        </w:trPr>
        <w:tc>
          <w:tcPr>
            <w:tcW w:w="1408" w:type="dxa"/>
            <w:shd w:val="clear" w:color="auto" w:fill="BFBFBF" w:themeFill="background1" w:themeFillShade="BF"/>
            <w:vAlign w:val="center"/>
          </w:tcPr>
          <w:p w:rsidR="00D9475A" w:rsidRPr="0069310A" w:rsidRDefault="00D9475A" w:rsidP="00365780">
            <w:pPr>
              <w:pStyle w:val="Contedodatabela"/>
              <w:snapToGrid w:val="0"/>
              <w:jc w:val="center"/>
              <w:rPr>
                <w:rFonts w:ascii="Arial" w:hAnsi="Arial" w:cs="Arial"/>
                <w:b/>
                <w:bCs/>
                <w:sz w:val="16"/>
                <w:szCs w:val="16"/>
              </w:rPr>
            </w:pPr>
            <w:r w:rsidRPr="0069310A">
              <w:rPr>
                <w:rFonts w:ascii="Arial" w:hAnsi="Arial" w:cs="Arial"/>
                <w:b/>
                <w:bCs/>
                <w:sz w:val="16"/>
                <w:szCs w:val="16"/>
              </w:rPr>
              <w:t>Município</w:t>
            </w:r>
          </w:p>
        </w:tc>
        <w:tc>
          <w:tcPr>
            <w:tcW w:w="992" w:type="dxa"/>
            <w:shd w:val="clear" w:color="auto" w:fill="BFBFBF" w:themeFill="background1" w:themeFillShade="BF"/>
            <w:vAlign w:val="center"/>
          </w:tcPr>
          <w:p w:rsidR="00D9475A" w:rsidRPr="0069310A" w:rsidRDefault="00D9475A" w:rsidP="00365780">
            <w:pPr>
              <w:pStyle w:val="Contedodatabela"/>
              <w:snapToGrid w:val="0"/>
              <w:jc w:val="center"/>
              <w:rPr>
                <w:rFonts w:ascii="Arial" w:hAnsi="Arial" w:cs="Arial"/>
                <w:b/>
                <w:bCs/>
                <w:sz w:val="16"/>
                <w:szCs w:val="16"/>
              </w:rPr>
            </w:pPr>
            <w:r w:rsidRPr="0069310A">
              <w:rPr>
                <w:rFonts w:ascii="Arial" w:hAnsi="Arial" w:cs="Arial"/>
                <w:b/>
                <w:bCs/>
                <w:sz w:val="16"/>
                <w:szCs w:val="16"/>
              </w:rPr>
              <w:t>Área Total</w:t>
            </w:r>
          </w:p>
          <w:p w:rsidR="00D9475A" w:rsidRPr="0069310A" w:rsidRDefault="00D9475A" w:rsidP="00365780">
            <w:pPr>
              <w:pStyle w:val="Contedodatabela"/>
              <w:snapToGrid w:val="0"/>
              <w:jc w:val="center"/>
              <w:rPr>
                <w:rFonts w:ascii="Arial" w:hAnsi="Arial" w:cs="Arial"/>
                <w:b/>
                <w:bCs/>
                <w:sz w:val="16"/>
                <w:szCs w:val="16"/>
                <w:vertAlign w:val="superscript"/>
              </w:rPr>
            </w:pPr>
            <w:r w:rsidRPr="0069310A">
              <w:rPr>
                <w:rFonts w:ascii="Arial" w:hAnsi="Arial" w:cs="Arial"/>
                <w:b/>
                <w:bCs/>
                <w:sz w:val="16"/>
                <w:szCs w:val="16"/>
              </w:rPr>
              <w:t>km</w:t>
            </w:r>
            <w:r w:rsidRPr="0069310A">
              <w:rPr>
                <w:rFonts w:ascii="Arial" w:hAnsi="Arial" w:cs="Arial"/>
                <w:b/>
                <w:bCs/>
                <w:sz w:val="16"/>
                <w:szCs w:val="16"/>
                <w:vertAlign w:val="superscript"/>
              </w:rPr>
              <w:t>2</w:t>
            </w:r>
          </w:p>
        </w:tc>
        <w:tc>
          <w:tcPr>
            <w:tcW w:w="1276" w:type="dxa"/>
            <w:shd w:val="clear" w:color="auto" w:fill="BFBFBF" w:themeFill="background1" w:themeFillShade="BF"/>
            <w:vAlign w:val="center"/>
          </w:tcPr>
          <w:p w:rsidR="00D9475A" w:rsidRPr="0069310A" w:rsidRDefault="00D9475A" w:rsidP="00365780">
            <w:pPr>
              <w:pStyle w:val="Contedodatabela"/>
              <w:snapToGrid w:val="0"/>
              <w:jc w:val="center"/>
              <w:rPr>
                <w:rFonts w:ascii="Arial" w:hAnsi="Arial" w:cs="Arial"/>
                <w:b/>
                <w:bCs/>
                <w:sz w:val="16"/>
                <w:szCs w:val="16"/>
              </w:rPr>
            </w:pPr>
            <w:r w:rsidRPr="0069310A">
              <w:rPr>
                <w:rFonts w:ascii="Arial" w:hAnsi="Arial" w:cs="Arial"/>
                <w:b/>
                <w:bCs/>
                <w:sz w:val="16"/>
                <w:szCs w:val="16"/>
              </w:rPr>
              <w:t>Veg. Nativa</w:t>
            </w:r>
          </w:p>
          <w:p w:rsidR="00D9475A" w:rsidRPr="0069310A" w:rsidRDefault="00D9475A" w:rsidP="00365780">
            <w:pPr>
              <w:pStyle w:val="Contedodatabela"/>
              <w:snapToGrid w:val="0"/>
              <w:jc w:val="center"/>
              <w:rPr>
                <w:rFonts w:ascii="Arial" w:hAnsi="Arial" w:cs="Arial"/>
                <w:b/>
                <w:bCs/>
                <w:sz w:val="16"/>
                <w:szCs w:val="16"/>
              </w:rPr>
            </w:pPr>
            <w:r w:rsidRPr="0069310A">
              <w:rPr>
                <w:rFonts w:ascii="Arial" w:hAnsi="Arial" w:cs="Arial"/>
                <w:b/>
                <w:bCs/>
                <w:sz w:val="16"/>
                <w:szCs w:val="16"/>
              </w:rPr>
              <w:t>km</w:t>
            </w:r>
            <w:r w:rsidRPr="0069310A">
              <w:rPr>
                <w:rFonts w:ascii="Arial" w:hAnsi="Arial" w:cs="Arial"/>
                <w:b/>
                <w:bCs/>
                <w:sz w:val="16"/>
                <w:szCs w:val="16"/>
                <w:vertAlign w:val="superscript"/>
              </w:rPr>
              <w:t>2</w:t>
            </w:r>
          </w:p>
        </w:tc>
        <w:tc>
          <w:tcPr>
            <w:tcW w:w="850" w:type="dxa"/>
            <w:shd w:val="clear" w:color="auto" w:fill="BFBFBF" w:themeFill="background1" w:themeFillShade="BF"/>
            <w:vAlign w:val="center"/>
          </w:tcPr>
          <w:p w:rsidR="00D9475A" w:rsidRPr="0069310A" w:rsidRDefault="00D9475A" w:rsidP="00365780">
            <w:pPr>
              <w:pStyle w:val="Contedodatabela"/>
              <w:snapToGrid w:val="0"/>
              <w:jc w:val="center"/>
              <w:rPr>
                <w:rFonts w:ascii="Arial" w:hAnsi="Arial" w:cs="Arial"/>
                <w:b/>
                <w:bCs/>
                <w:sz w:val="16"/>
                <w:szCs w:val="16"/>
              </w:rPr>
            </w:pPr>
            <w:r w:rsidRPr="0069310A">
              <w:rPr>
                <w:rFonts w:ascii="Arial" w:hAnsi="Arial" w:cs="Arial"/>
                <w:b/>
                <w:bCs/>
                <w:sz w:val="16"/>
                <w:szCs w:val="16"/>
              </w:rPr>
              <w:t>&lt;10 ha</w:t>
            </w:r>
          </w:p>
        </w:tc>
        <w:tc>
          <w:tcPr>
            <w:tcW w:w="993" w:type="dxa"/>
            <w:shd w:val="clear" w:color="auto" w:fill="BFBFBF" w:themeFill="background1" w:themeFillShade="BF"/>
            <w:vAlign w:val="center"/>
          </w:tcPr>
          <w:p w:rsidR="00D9475A" w:rsidRPr="0069310A" w:rsidRDefault="00D9475A" w:rsidP="00365780">
            <w:pPr>
              <w:pStyle w:val="Contedodatabela"/>
              <w:snapToGrid w:val="0"/>
              <w:jc w:val="center"/>
              <w:rPr>
                <w:rFonts w:ascii="Arial" w:hAnsi="Arial" w:cs="Arial"/>
                <w:b/>
                <w:bCs/>
                <w:sz w:val="16"/>
                <w:szCs w:val="16"/>
              </w:rPr>
            </w:pPr>
            <w:r w:rsidRPr="0069310A">
              <w:rPr>
                <w:rFonts w:ascii="Arial" w:hAnsi="Arial" w:cs="Arial"/>
                <w:b/>
                <w:bCs/>
                <w:sz w:val="16"/>
                <w:szCs w:val="16"/>
              </w:rPr>
              <w:t>10-20 ha</w:t>
            </w:r>
          </w:p>
        </w:tc>
        <w:tc>
          <w:tcPr>
            <w:tcW w:w="850" w:type="dxa"/>
            <w:shd w:val="clear" w:color="auto" w:fill="BFBFBF" w:themeFill="background1" w:themeFillShade="BF"/>
            <w:vAlign w:val="center"/>
          </w:tcPr>
          <w:p w:rsidR="00D9475A" w:rsidRPr="0069310A" w:rsidRDefault="00D9475A" w:rsidP="00365780">
            <w:pPr>
              <w:pStyle w:val="Contedodatabela"/>
              <w:snapToGrid w:val="0"/>
              <w:jc w:val="center"/>
              <w:rPr>
                <w:rFonts w:ascii="Arial" w:hAnsi="Arial" w:cs="Arial"/>
                <w:b/>
                <w:bCs/>
                <w:sz w:val="16"/>
                <w:szCs w:val="16"/>
              </w:rPr>
            </w:pPr>
            <w:r w:rsidRPr="0069310A">
              <w:rPr>
                <w:rFonts w:ascii="Arial" w:hAnsi="Arial" w:cs="Arial"/>
                <w:b/>
                <w:bCs/>
                <w:sz w:val="16"/>
                <w:szCs w:val="16"/>
              </w:rPr>
              <w:t>20-50 ha</w:t>
            </w:r>
          </w:p>
        </w:tc>
        <w:tc>
          <w:tcPr>
            <w:tcW w:w="851" w:type="dxa"/>
            <w:shd w:val="clear" w:color="auto" w:fill="BFBFBF" w:themeFill="background1" w:themeFillShade="BF"/>
            <w:vAlign w:val="center"/>
          </w:tcPr>
          <w:p w:rsidR="00D9475A" w:rsidRPr="0069310A" w:rsidRDefault="00D9475A" w:rsidP="00365780">
            <w:pPr>
              <w:pStyle w:val="Contedodatabela"/>
              <w:snapToGrid w:val="0"/>
              <w:jc w:val="center"/>
              <w:rPr>
                <w:rFonts w:ascii="Arial" w:hAnsi="Arial" w:cs="Arial"/>
                <w:b/>
                <w:bCs/>
                <w:sz w:val="16"/>
                <w:szCs w:val="16"/>
              </w:rPr>
            </w:pPr>
            <w:r w:rsidRPr="0069310A">
              <w:rPr>
                <w:rFonts w:ascii="Arial" w:hAnsi="Arial" w:cs="Arial"/>
                <w:b/>
                <w:bCs/>
                <w:sz w:val="16"/>
                <w:szCs w:val="16"/>
              </w:rPr>
              <w:t>50-100 ha</w:t>
            </w:r>
          </w:p>
        </w:tc>
        <w:tc>
          <w:tcPr>
            <w:tcW w:w="992" w:type="dxa"/>
            <w:shd w:val="clear" w:color="auto" w:fill="BFBFBF" w:themeFill="background1" w:themeFillShade="BF"/>
            <w:vAlign w:val="center"/>
          </w:tcPr>
          <w:p w:rsidR="00D9475A" w:rsidRPr="0069310A" w:rsidRDefault="00D9475A" w:rsidP="00365780">
            <w:pPr>
              <w:pStyle w:val="Contedodatabela"/>
              <w:snapToGrid w:val="0"/>
              <w:jc w:val="center"/>
              <w:rPr>
                <w:rFonts w:ascii="Arial" w:hAnsi="Arial" w:cs="Arial"/>
                <w:b/>
                <w:bCs/>
                <w:sz w:val="16"/>
                <w:szCs w:val="16"/>
              </w:rPr>
            </w:pPr>
            <w:r w:rsidRPr="0069310A">
              <w:rPr>
                <w:rFonts w:ascii="Arial" w:hAnsi="Arial" w:cs="Arial"/>
                <w:b/>
                <w:bCs/>
                <w:sz w:val="16"/>
                <w:szCs w:val="16"/>
              </w:rPr>
              <w:t>100-200 ha</w:t>
            </w:r>
          </w:p>
        </w:tc>
        <w:tc>
          <w:tcPr>
            <w:tcW w:w="850" w:type="dxa"/>
            <w:shd w:val="clear" w:color="auto" w:fill="BFBFBF" w:themeFill="background1" w:themeFillShade="BF"/>
            <w:vAlign w:val="center"/>
          </w:tcPr>
          <w:p w:rsidR="00D9475A" w:rsidRPr="0069310A" w:rsidRDefault="00D9475A" w:rsidP="00365780">
            <w:pPr>
              <w:pStyle w:val="Contedodatabela"/>
              <w:snapToGrid w:val="0"/>
              <w:jc w:val="center"/>
              <w:rPr>
                <w:rFonts w:ascii="Arial" w:hAnsi="Arial" w:cs="Arial"/>
                <w:b/>
                <w:bCs/>
                <w:sz w:val="16"/>
                <w:szCs w:val="16"/>
              </w:rPr>
            </w:pPr>
            <w:r w:rsidRPr="0069310A">
              <w:rPr>
                <w:rFonts w:ascii="Arial" w:hAnsi="Arial" w:cs="Arial"/>
                <w:b/>
                <w:bCs/>
                <w:sz w:val="16"/>
                <w:szCs w:val="16"/>
              </w:rPr>
              <w:t>&gt; 200 ha</w:t>
            </w:r>
          </w:p>
        </w:tc>
        <w:tc>
          <w:tcPr>
            <w:tcW w:w="695" w:type="dxa"/>
            <w:shd w:val="clear" w:color="auto" w:fill="BFBFBF" w:themeFill="background1" w:themeFillShade="BF"/>
            <w:vAlign w:val="center"/>
          </w:tcPr>
          <w:p w:rsidR="00D9475A" w:rsidRPr="0069310A" w:rsidRDefault="00D9475A" w:rsidP="00365780">
            <w:pPr>
              <w:pStyle w:val="Contedodatabela"/>
              <w:snapToGrid w:val="0"/>
              <w:jc w:val="center"/>
              <w:rPr>
                <w:rFonts w:ascii="Arial" w:hAnsi="Arial" w:cs="Arial"/>
                <w:b/>
                <w:bCs/>
                <w:sz w:val="16"/>
                <w:szCs w:val="16"/>
              </w:rPr>
            </w:pPr>
            <w:r w:rsidRPr="0069310A">
              <w:rPr>
                <w:rFonts w:ascii="Arial" w:hAnsi="Arial" w:cs="Arial"/>
                <w:b/>
                <w:bCs/>
                <w:sz w:val="16"/>
                <w:szCs w:val="16"/>
              </w:rPr>
              <w:t>Total</w:t>
            </w:r>
          </w:p>
        </w:tc>
      </w:tr>
      <w:tr w:rsidR="00D9475A" w:rsidRPr="0069310A" w:rsidTr="00365780">
        <w:trPr>
          <w:cantSplit/>
          <w:trHeight w:val="255"/>
          <w:jc w:val="center"/>
        </w:trPr>
        <w:tc>
          <w:tcPr>
            <w:tcW w:w="1408" w:type="dxa"/>
            <w:vAlign w:val="center"/>
          </w:tcPr>
          <w:p w:rsidR="00D9475A" w:rsidRPr="0069310A" w:rsidRDefault="00D9475A" w:rsidP="00365780">
            <w:pPr>
              <w:pStyle w:val="Contedodatabela"/>
              <w:snapToGrid w:val="0"/>
              <w:jc w:val="both"/>
              <w:rPr>
                <w:rFonts w:ascii="Arial" w:hAnsi="Arial" w:cs="Arial"/>
                <w:bCs/>
                <w:sz w:val="16"/>
                <w:szCs w:val="16"/>
              </w:rPr>
            </w:pPr>
            <w:r w:rsidRPr="0069310A">
              <w:rPr>
                <w:rFonts w:ascii="Arial" w:hAnsi="Arial" w:cs="Arial"/>
                <w:bCs/>
                <w:sz w:val="16"/>
                <w:szCs w:val="16"/>
              </w:rPr>
              <w:t>Santa Isabel</w:t>
            </w:r>
          </w:p>
        </w:tc>
        <w:tc>
          <w:tcPr>
            <w:tcW w:w="992" w:type="dxa"/>
            <w:vAlign w:val="center"/>
          </w:tcPr>
          <w:p w:rsidR="00D9475A" w:rsidRPr="0069310A" w:rsidRDefault="00D9475A" w:rsidP="00365780">
            <w:pPr>
              <w:spacing w:after="0"/>
              <w:jc w:val="right"/>
              <w:rPr>
                <w:rFonts w:cs="Arial"/>
                <w:sz w:val="16"/>
                <w:szCs w:val="16"/>
              </w:rPr>
            </w:pPr>
            <w:r w:rsidRPr="0069310A">
              <w:rPr>
                <w:rFonts w:cs="Arial"/>
                <w:sz w:val="16"/>
                <w:szCs w:val="16"/>
              </w:rPr>
              <w:t>36.100</w:t>
            </w:r>
          </w:p>
        </w:tc>
        <w:tc>
          <w:tcPr>
            <w:tcW w:w="1276" w:type="dxa"/>
            <w:vAlign w:val="center"/>
          </w:tcPr>
          <w:p w:rsidR="00D9475A" w:rsidRPr="0069310A" w:rsidRDefault="00D9475A" w:rsidP="00365780">
            <w:pPr>
              <w:spacing w:after="0"/>
              <w:jc w:val="right"/>
              <w:rPr>
                <w:rFonts w:cs="Arial"/>
                <w:sz w:val="16"/>
                <w:szCs w:val="16"/>
              </w:rPr>
            </w:pPr>
            <w:r w:rsidRPr="0069310A">
              <w:rPr>
                <w:rFonts w:cs="Arial"/>
                <w:sz w:val="16"/>
                <w:szCs w:val="16"/>
              </w:rPr>
              <w:t>8.393 (23,2%)</w:t>
            </w:r>
          </w:p>
        </w:tc>
        <w:tc>
          <w:tcPr>
            <w:tcW w:w="850" w:type="dxa"/>
            <w:vAlign w:val="center"/>
          </w:tcPr>
          <w:p w:rsidR="00D9475A" w:rsidRPr="0069310A" w:rsidRDefault="00D9475A" w:rsidP="00365780">
            <w:pPr>
              <w:spacing w:after="0"/>
              <w:jc w:val="center"/>
              <w:rPr>
                <w:rFonts w:cs="Arial"/>
                <w:sz w:val="16"/>
                <w:szCs w:val="16"/>
              </w:rPr>
            </w:pPr>
            <w:r w:rsidRPr="0069310A">
              <w:rPr>
                <w:rFonts w:cs="Arial"/>
                <w:sz w:val="16"/>
                <w:szCs w:val="16"/>
              </w:rPr>
              <w:t>493</w:t>
            </w:r>
          </w:p>
        </w:tc>
        <w:tc>
          <w:tcPr>
            <w:tcW w:w="993" w:type="dxa"/>
            <w:vAlign w:val="center"/>
          </w:tcPr>
          <w:p w:rsidR="00D9475A" w:rsidRPr="0069310A" w:rsidRDefault="00D9475A" w:rsidP="00365780">
            <w:pPr>
              <w:spacing w:after="0"/>
              <w:jc w:val="center"/>
              <w:rPr>
                <w:rFonts w:cs="Arial"/>
                <w:sz w:val="16"/>
                <w:szCs w:val="16"/>
              </w:rPr>
            </w:pPr>
            <w:r w:rsidRPr="0069310A">
              <w:rPr>
                <w:rFonts w:cs="Arial"/>
                <w:sz w:val="16"/>
                <w:szCs w:val="16"/>
              </w:rPr>
              <w:t>104</w:t>
            </w:r>
          </w:p>
        </w:tc>
        <w:tc>
          <w:tcPr>
            <w:tcW w:w="850" w:type="dxa"/>
            <w:vAlign w:val="center"/>
          </w:tcPr>
          <w:p w:rsidR="00D9475A" w:rsidRPr="0069310A" w:rsidRDefault="00D9475A" w:rsidP="00365780">
            <w:pPr>
              <w:spacing w:after="0"/>
              <w:jc w:val="center"/>
              <w:rPr>
                <w:rFonts w:cs="Arial"/>
                <w:sz w:val="16"/>
                <w:szCs w:val="16"/>
              </w:rPr>
            </w:pPr>
            <w:r w:rsidRPr="0069310A">
              <w:rPr>
                <w:rFonts w:cs="Arial"/>
                <w:sz w:val="16"/>
                <w:szCs w:val="16"/>
              </w:rPr>
              <w:t>44</w:t>
            </w:r>
          </w:p>
        </w:tc>
        <w:tc>
          <w:tcPr>
            <w:tcW w:w="851" w:type="dxa"/>
            <w:vAlign w:val="center"/>
          </w:tcPr>
          <w:p w:rsidR="00D9475A" w:rsidRPr="0069310A" w:rsidRDefault="00D9475A" w:rsidP="00365780">
            <w:pPr>
              <w:spacing w:after="0"/>
              <w:jc w:val="center"/>
              <w:rPr>
                <w:rFonts w:cs="Arial"/>
                <w:sz w:val="16"/>
                <w:szCs w:val="16"/>
              </w:rPr>
            </w:pPr>
            <w:r w:rsidRPr="0069310A">
              <w:rPr>
                <w:rFonts w:cs="Arial"/>
                <w:sz w:val="16"/>
                <w:szCs w:val="16"/>
              </w:rPr>
              <w:t>14</w:t>
            </w:r>
          </w:p>
        </w:tc>
        <w:tc>
          <w:tcPr>
            <w:tcW w:w="992" w:type="dxa"/>
            <w:vAlign w:val="center"/>
          </w:tcPr>
          <w:p w:rsidR="00D9475A" w:rsidRPr="0069310A" w:rsidRDefault="00D9475A" w:rsidP="00365780">
            <w:pPr>
              <w:spacing w:after="0"/>
              <w:jc w:val="center"/>
              <w:rPr>
                <w:rFonts w:cs="Arial"/>
                <w:sz w:val="16"/>
                <w:szCs w:val="16"/>
              </w:rPr>
            </w:pPr>
            <w:r w:rsidRPr="0069310A">
              <w:rPr>
                <w:rFonts w:cs="Arial"/>
                <w:sz w:val="16"/>
                <w:szCs w:val="16"/>
              </w:rPr>
              <w:t>9</w:t>
            </w:r>
          </w:p>
        </w:tc>
        <w:tc>
          <w:tcPr>
            <w:tcW w:w="850" w:type="dxa"/>
            <w:vAlign w:val="center"/>
          </w:tcPr>
          <w:p w:rsidR="00D9475A" w:rsidRPr="0069310A" w:rsidRDefault="00D9475A" w:rsidP="00365780">
            <w:pPr>
              <w:spacing w:after="0"/>
              <w:jc w:val="center"/>
              <w:rPr>
                <w:rFonts w:cs="Arial"/>
                <w:sz w:val="16"/>
                <w:szCs w:val="16"/>
              </w:rPr>
            </w:pPr>
            <w:r w:rsidRPr="0069310A">
              <w:rPr>
                <w:rFonts w:cs="Arial"/>
                <w:sz w:val="16"/>
                <w:szCs w:val="16"/>
              </w:rPr>
              <w:t>3</w:t>
            </w:r>
          </w:p>
        </w:tc>
        <w:tc>
          <w:tcPr>
            <w:tcW w:w="695" w:type="dxa"/>
            <w:vAlign w:val="center"/>
          </w:tcPr>
          <w:p w:rsidR="00D9475A" w:rsidRPr="0069310A" w:rsidRDefault="00D9475A" w:rsidP="00365780">
            <w:pPr>
              <w:spacing w:after="0"/>
              <w:jc w:val="center"/>
              <w:rPr>
                <w:rFonts w:cs="Arial"/>
                <w:sz w:val="16"/>
                <w:szCs w:val="16"/>
              </w:rPr>
            </w:pPr>
            <w:r w:rsidRPr="0069310A">
              <w:rPr>
                <w:rFonts w:cs="Arial"/>
                <w:sz w:val="16"/>
                <w:szCs w:val="16"/>
              </w:rPr>
              <w:t>667</w:t>
            </w:r>
          </w:p>
        </w:tc>
      </w:tr>
      <w:tr w:rsidR="00D9475A" w:rsidRPr="0069310A" w:rsidTr="00365780">
        <w:trPr>
          <w:cantSplit/>
          <w:trHeight w:val="255"/>
          <w:jc w:val="center"/>
        </w:trPr>
        <w:tc>
          <w:tcPr>
            <w:tcW w:w="1408" w:type="dxa"/>
            <w:vAlign w:val="center"/>
          </w:tcPr>
          <w:p w:rsidR="00D9475A" w:rsidRPr="0069310A" w:rsidRDefault="00D9475A" w:rsidP="00365780">
            <w:pPr>
              <w:pStyle w:val="Contedodatabela"/>
              <w:snapToGrid w:val="0"/>
              <w:jc w:val="both"/>
              <w:rPr>
                <w:rFonts w:ascii="Arial" w:hAnsi="Arial" w:cs="Arial"/>
                <w:bCs/>
                <w:sz w:val="16"/>
                <w:szCs w:val="16"/>
              </w:rPr>
            </w:pPr>
            <w:r w:rsidRPr="0069310A">
              <w:rPr>
                <w:rFonts w:ascii="Arial" w:hAnsi="Arial" w:cs="Arial"/>
                <w:bCs/>
                <w:sz w:val="16"/>
                <w:szCs w:val="16"/>
              </w:rPr>
              <w:t>Igaratá</w:t>
            </w:r>
          </w:p>
        </w:tc>
        <w:tc>
          <w:tcPr>
            <w:tcW w:w="992" w:type="dxa"/>
            <w:vAlign w:val="center"/>
          </w:tcPr>
          <w:p w:rsidR="00D9475A" w:rsidRPr="0069310A" w:rsidRDefault="00D9475A" w:rsidP="00365780">
            <w:pPr>
              <w:spacing w:after="0"/>
              <w:jc w:val="right"/>
              <w:rPr>
                <w:rFonts w:cs="Arial"/>
                <w:sz w:val="16"/>
                <w:szCs w:val="16"/>
              </w:rPr>
            </w:pPr>
            <w:r w:rsidRPr="0069310A">
              <w:rPr>
                <w:rFonts w:cs="Arial"/>
                <w:sz w:val="16"/>
                <w:szCs w:val="16"/>
              </w:rPr>
              <w:t>30.100</w:t>
            </w:r>
          </w:p>
        </w:tc>
        <w:tc>
          <w:tcPr>
            <w:tcW w:w="1276" w:type="dxa"/>
            <w:vAlign w:val="center"/>
          </w:tcPr>
          <w:p w:rsidR="00D9475A" w:rsidRPr="0069310A" w:rsidRDefault="00D9475A" w:rsidP="00365780">
            <w:pPr>
              <w:spacing w:after="0"/>
              <w:jc w:val="right"/>
              <w:rPr>
                <w:rFonts w:cs="Arial"/>
                <w:sz w:val="16"/>
                <w:szCs w:val="16"/>
              </w:rPr>
            </w:pPr>
            <w:r w:rsidRPr="0069310A">
              <w:rPr>
                <w:rFonts w:cs="Arial"/>
                <w:sz w:val="16"/>
                <w:szCs w:val="16"/>
              </w:rPr>
              <w:t>6.657 (22,1%)</w:t>
            </w:r>
          </w:p>
        </w:tc>
        <w:tc>
          <w:tcPr>
            <w:tcW w:w="850" w:type="dxa"/>
            <w:vAlign w:val="center"/>
          </w:tcPr>
          <w:p w:rsidR="00D9475A" w:rsidRPr="0069310A" w:rsidRDefault="00D9475A" w:rsidP="00365780">
            <w:pPr>
              <w:spacing w:after="0"/>
              <w:jc w:val="center"/>
              <w:rPr>
                <w:rFonts w:cs="Arial"/>
                <w:sz w:val="16"/>
                <w:szCs w:val="16"/>
              </w:rPr>
            </w:pPr>
            <w:r w:rsidRPr="0069310A">
              <w:rPr>
                <w:rFonts w:cs="Arial"/>
                <w:sz w:val="16"/>
                <w:szCs w:val="16"/>
              </w:rPr>
              <w:t>174</w:t>
            </w:r>
          </w:p>
        </w:tc>
        <w:tc>
          <w:tcPr>
            <w:tcW w:w="993" w:type="dxa"/>
            <w:vAlign w:val="center"/>
          </w:tcPr>
          <w:p w:rsidR="00D9475A" w:rsidRPr="0069310A" w:rsidRDefault="00D9475A" w:rsidP="00365780">
            <w:pPr>
              <w:spacing w:after="0"/>
              <w:jc w:val="center"/>
              <w:rPr>
                <w:rFonts w:cs="Arial"/>
                <w:sz w:val="16"/>
                <w:szCs w:val="16"/>
              </w:rPr>
            </w:pPr>
            <w:r w:rsidRPr="0069310A">
              <w:rPr>
                <w:rFonts w:cs="Arial"/>
                <w:sz w:val="16"/>
                <w:szCs w:val="16"/>
              </w:rPr>
              <w:t>36</w:t>
            </w:r>
          </w:p>
        </w:tc>
        <w:tc>
          <w:tcPr>
            <w:tcW w:w="850" w:type="dxa"/>
            <w:vAlign w:val="center"/>
          </w:tcPr>
          <w:p w:rsidR="00D9475A" w:rsidRPr="0069310A" w:rsidRDefault="00D9475A" w:rsidP="00365780">
            <w:pPr>
              <w:spacing w:after="0"/>
              <w:jc w:val="center"/>
              <w:rPr>
                <w:rFonts w:cs="Arial"/>
                <w:sz w:val="16"/>
                <w:szCs w:val="16"/>
              </w:rPr>
            </w:pPr>
            <w:r w:rsidRPr="0069310A">
              <w:rPr>
                <w:rFonts w:cs="Arial"/>
                <w:sz w:val="16"/>
                <w:szCs w:val="16"/>
              </w:rPr>
              <w:t>43</w:t>
            </w:r>
          </w:p>
        </w:tc>
        <w:tc>
          <w:tcPr>
            <w:tcW w:w="851" w:type="dxa"/>
            <w:vAlign w:val="center"/>
          </w:tcPr>
          <w:p w:rsidR="00D9475A" w:rsidRPr="0069310A" w:rsidRDefault="00D9475A" w:rsidP="00365780">
            <w:pPr>
              <w:spacing w:after="0"/>
              <w:jc w:val="center"/>
              <w:rPr>
                <w:rFonts w:cs="Arial"/>
                <w:sz w:val="16"/>
                <w:szCs w:val="16"/>
              </w:rPr>
            </w:pPr>
            <w:r w:rsidRPr="0069310A">
              <w:rPr>
                <w:rFonts w:cs="Arial"/>
                <w:sz w:val="16"/>
                <w:szCs w:val="16"/>
              </w:rPr>
              <w:t>9</w:t>
            </w:r>
          </w:p>
        </w:tc>
        <w:tc>
          <w:tcPr>
            <w:tcW w:w="992" w:type="dxa"/>
            <w:vAlign w:val="center"/>
          </w:tcPr>
          <w:p w:rsidR="00D9475A" w:rsidRPr="0069310A" w:rsidRDefault="00D9475A" w:rsidP="00365780">
            <w:pPr>
              <w:spacing w:after="0"/>
              <w:jc w:val="center"/>
              <w:rPr>
                <w:rFonts w:cs="Arial"/>
                <w:sz w:val="16"/>
                <w:szCs w:val="16"/>
              </w:rPr>
            </w:pPr>
            <w:r w:rsidRPr="0069310A">
              <w:rPr>
                <w:rFonts w:cs="Arial"/>
                <w:sz w:val="16"/>
                <w:szCs w:val="16"/>
              </w:rPr>
              <w:t>7</w:t>
            </w:r>
          </w:p>
        </w:tc>
        <w:tc>
          <w:tcPr>
            <w:tcW w:w="850" w:type="dxa"/>
            <w:vAlign w:val="center"/>
          </w:tcPr>
          <w:p w:rsidR="00D9475A" w:rsidRPr="0069310A" w:rsidRDefault="00D9475A" w:rsidP="00365780">
            <w:pPr>
              <w:spacing w:after="0"/>
              <w:jc w:val="center"/>
              <w:rPr>
                <w:rFonts w:cs="Arial"/>
                <w:sz w:val="16"/>
                <w:szCs w:val="16"/>
              </w:rPr>
            </w:pPr>
            <w:r w:rsidRPr="0069310A">
              <w:rPr>
                <w:rFonts w:cs="Arial"/>
                <w:sz w:val="16"/>
                <w:szCs w:val="16"/>
              </w:rPr>
              <w:t>4</w:t>
            </w:r>
          </w:p>
        </w:tc>
        <w:tc>
          <w:tcPr>
            <w:tcW w:w="695" w:type="dxa"/>
            <w:vAlign w:val="center"/>
          </w:tcPr>
          <w:p w:rsidR="00D9475A" w:rsidRPr="0069310A" w:rsidRDefault="00D9475A" w:rsidP="00365780">
            <w:pPr>
              <w:spacing w:after="0"/>
              <w:jc w:val="center"/>
              <w:rPr>
                <w:rFonts w:cs="Arial"/>
                <w:sz w:val="16"/>
                <w:szCs w:val="16"/>
              </w:rPr>
            </w:pPr>
            <w:r w:rsidRPr="0069310A">
              <w:rPr>
                <w:rFonts w:cs="Arial"/>
                <w:sz w:val="16"/>
                <w:szCs w:val="16"/>
              </w:rPr>
              <w:t>273</w:t>
            </w:r>
          </w:p>
        </w:tc>
      </w:tr>
      <w:tr w:rsidR="00D9475A" w:rsidRPr="0069310A" w:rsidTr="00365780">
        <w:trPr>
          <w:cantSplit/>
          <w:trHeight w:val="255"/>
          <w:jc w:val="center"/>
        </w:trPr>
        <w:tc>
          <w:tcPr>
            <w:tcW w:w="1408" w:type="dxa"/>
            <w:vAlign w:val="center"/>
          </w:tcPr>
          <w:p w:rsidR="00D9475A" w:rsidRPr="0069310A" w:rsidRDefault="00D9475A" w:rsidP="00365780">
            <w:pPr>
              <w:pStyle w:val="Contedodatabela"/>
              <w:snapToGrid w:val="0"/>
              <w:jc w:val="both"/>
              <w:rPr>
                <w:rFonts w:ascii="Arial" w:hAnsi="Arial" w:cs="Arial"/>
                <w:bCs/>
                <w:sz w:val="16"/>
                <w:szCs w:val="16"/>
              </w:rPr>
            </w:pPr>
            <w:r w:rsidRPr="0069310A">
              <w:rPr>
                <w:rFonts w:ascii="Arial" w:hAnsi="Arial" w:cs="Arial"/>
                <w:bCs/>
                <w:sz w:val="16"/>
                <w:szCs w:val="16"/>
              </w:rPr>
              <w:t>Nazaré Paulista</w:t>
            </w:r>
          </w:p>
        </w:tc>
        <w:tc>
          <w:tcPr>
            <w:tcW w:w="992" w:type="dxa"/>
            <w:vAlign w:val="center"/>
          </w:tcPr>
          <w:p w:rsidR="00D9475A" w:rsidRPr="0069310A" w:rsidRDefault="00D9475A" w:rsidP="00365780">
            <w:pPr>
              <w:spacing w:after="0"/>
              <w:jc w:val="right"/>
              <w:rPr>
                <w:rFonts w:cs="Arial"/>
                <w:sz w:val="16"/>
                <w:szCs w:val="16"/>
              </w:rPr>
            </w:pPr>
            <w:r w:rsidRPr="0069310A">
              <w:rPr>
                <w:rFonts w:cs="Arial"/>
                <w:sz w:val="16"/>
                <w:szCs w:val="16"/>
              </w:rPr>
              <w:t>32.200</w:t>
            </w:r>
          </w:p>
        </w:tc>
        <w:tc>
          <w:tcPr>
            <w:tcW w:w="1276" w:type="dxa"/>
            <w:vAlign w:val="center"/>
          </w:tcPr>
          <w:p w:rsidR="00D9475A" w:rsidRPr="0069310A" w:rsidRDefault="00D9475A" w:rsidP="00365780">
            <w:pPr>
              <w:spacing w:after="0"/>
              <w:jc w:val="right"/>
              <w:rPr>
                <w:rFonts w:cs="Arial"/>
                <w:sz w:val="16"/>
                <w:szCs w:val="16"/>
              </w:rPr>
            </w:pPr>
            <w:r w:rsidRPr="0069310A">
              <w:rPr>
                <w:rFonts w:cs="Arial"/>
                <w:sz w:val="16"/>
                <w:szCs w:val="16"/>
              </w:rPr>
              <w:t>9.263 (28,8%)</w:t>
            </w:r>
          </w:p>
        </w:tc>
        <w:tc>
          <w:tcPr>
            <w:tcW w:w="850" w:type="dxa"/>
            <w:vAlign w:val="center"/>
          </w:tcPr>
          <w:p w:rsidR="00D9475A" w:rsidRPr="0069310A" w:rsidRDefault="00D9475A" w:rsidP="00365780">
            <w:pPr>
              <w:spacing w:after="0"/>
              <w:jc w:val="center"/>
              <w:rPr>
                <w:rFonts w:cs="Arial"/>
                <w:sz w:val="16"/>
                <w:szCs w:val="16"/>
              </w:rPr>
            </w:pPr>
            <w:r w:rsidRPr="0069310A">
              <w:rPr>
                <w:rFonts w:cs="Arial"/>
                <w:sz w:val="16"/>
                <w:szCs w:val="16"/>
              </w:rPr>
              <w:t>236</w:t>
            </w:r>
          </w:p>
        </w:tc>
        <w:tc>
          <w:tcPr>
            <w:tcW w:w="993" w:type="dxa"/>
            <w:vAlign w:val="center"/>
          </w:tcPr>
          <w:p w:rsidR="00D9475A" w:rsidRPr="0069310A" w:rsidRDefault="00D9475A" w:rsidP="00365780">
            <w:pPr>
              <w:spacing w:after="0"/>
              <w:jc w:val="center"/>
              <w:rPr>
                <w:rFonts w:cs="Arial"/>
                <w:sz w:val="16"/>
                <w:szCs w:val="16"/>
              </w:rPr>
            </w:pPr>
            <w:r w:rsidRPr="0069310A">
              <w:rPr>
                <w:rFonts w:cs="Arial"/>
                <w:sz w:val="16"/>
                <w:szCs w:val="16"/>
              </w:rPr>
              <w:t>77</w:t>
            </w:r>
          </w:p>
        </w:tc>
        <w:tc>
          <w:tcPr>
            <w:tcW w:w="850" w:type="dxa"/>
            <w:vAlign w:val="center"/>
          </w:tcPr>
          <w:p w:rsidR="00D9475A" w:rsidRPr="0069310A" w:rsidRDefault="00D9475A" w:rsidP="00365780">
            <w:pPr>
              <w:spacing w:after="0"/>
              <w:jc w:val="center"/>
              <w:rPr>
                <w:rFonts w:cs="Arial"/>
                <w:sz w:val="16"/>
                <w:szCs w:val="16"/>
              </w:rPr>
            </w:pPr>
            <w:r w:rsidRPr="0069310A">
              <w:rPr>
                <w:rFonts w:cs="Arial"/>
                <w:sz w:val="16"/>
                <w:szCs w:val="16"/>
              </w:rPr>
              <w:t>64</w:t>
            </w:r>
          </w:p>
        </w:tc>
        <w:tc>
          <w:tcPr>
            <w:tcW w:w="851" w:type="dxa"/>
            <w:vAlign w:val="center"/>
          </w:tcPr>
          <w:p w:rsidR="00D9475A" w:rsidRPr="0069310A" w:rsidRDefault="00D9475A" w:rsidP="00365780">
            <w:pPr>
              <w:spacing w:after="0"/>
              <w:jc w:val="center"/>
              <w:rPr>
                <w:rFonts w:cs="Arial"/>
                <w:sz w:val="16"/>
                <w:szCs w:val="16"/>
              </w:rPr>
            </w:pPr>
            <w:r w:rsidRPr="0069310A">
              <w:rPr>
                <w:rFonts w:cs="Arial"/>
                <w:sz w:val="16"/>
                <w:szCs w:val="16"/>
              </w:rPr>
              <w:t>14</w:t>
            </w:r>
          </w:p>
        </w:tc>
        <w:tc>
          <w:tcPr>
            <w:tcW w:w="992" w:type="dxa"/>
            <w:vAlign w:val="center"/>
          </w:tcPr>
          <w:p w:rsidR="00D9475A" w:rsidRPr="0069310A" w:rsidRDefault="00D9475A" w:rsidP="00365780">
            <w:pPr>
              <w:spacing w:after="0"/>
              <w:jc w:val="center"/>
              <w:rPr>
                <w:rFonts w:cs="Arial"/>
                <w:sz w:val="16"/>
                <w:szCs w:val="16"/>
              </w:rPr>
            </w:pPr>
            <w:r w:rsidRPr="0069310A">
              <w:rPr>
                <w:rFonts w:cs="Arial"/>
                <w:sz w:val="16"/>
                <w:szCs w:val="16"/>
              </w:rPr>
              <w:t>10</w:t>
            </w:r>
          </w:p>
        </w:tc>
        <w:tc>
          <w:tcPr>
            <w:tcW w:w="850" w:type="dxa"/>
            <w:vAlign w:val="center"/>
          </w:tcPr>
          <w:p w:rsidR="00D9475A" w:rsidRPr="0069310A" w:rsidRDefault="00D9475A" w:rsidP="00365780">
            <w:pPr>
              <w:spacing w:after="0"/>
              <w:jc w:val="center"/>
              <w:rPr>
                <w:rFonts w:cs="Arial"/>
                <w:sz w:val="16"/>
                <w:szCs w:val="16"/>
              </w:rPr>
            </w:pPr>
            <w:r w:rsidRPr="0069310A">
              <w:rPr>
                <w:rFonts w:cs="Arial"/>
                <w:sz w:val="16"/>
                <w:szCs w:val="16"/>
              </w:rPr>
              <w:t>7</w:t>
            </w:r>
          </w:p>
        </w:tc>
        <w:tc>
          <w:tcPr>
            <w:tcW w:w="695" w:type="dxa"/>
            <w:vAlign w:val="center"/>
          </w:tcPr>
          <w:p w:rsidR="00D9475A" w:rsidRPr="0069310A" w:rsidRDefault="00D9475A" w:rsidP="00365780">
            <w:pPr>
              <w:spacing w:after="0"/>
              <w:jc w:val="center"/>
              <w:rPr>
                <w:rFonts w:cs="Arial"/>
                <w:sz w:val="16"/>
                <w:szCs w:val="16"/>
              </w:rPr>
            </w:pPr>
            <w:r w:rsidRPr="0069310A">
              <w:rPr>
                <w:rFonts w:cs="Arial"/>
                <w:sz w:val="16"/>
                <w:szCs w:val="16"/>
              </w:rPr>
              <w:t>408</w:t>
            </w:r>
          </w:p>
        </w:tc>
      </w:tr>
    </w:tbl>
    <w:p w:rsidR="00D9475A" w:rsidRPr="0069310A" w:rsidRDefault="00D9475A" w:rsidP="00D9475A">
      <w:pPr>
        <w:pStyle w:val="Fonte"/>
        <w:spacing w:before="0"/>
        <w:jc w:val="both"/>
        <w:rPr>
          <w:rFonts w:eastAsia="MS Mincho" w:cs="Arial"/>
          <w:i w:val="0"/>
          <w:szCs w:val="16"/>
          <w:lang w:val="pt-BR"/>
        </w:rPr>
      </w:pPr>
      <w:r w:rsidRPr="0069310A">
        <w:rPr>
          <w:rFonts w:eastAsia="MS Mincho" w:cs="Arial"/>
          <w:b/>
          <w:i w:val="0"/>
          <w:szCs w:val="16"/>
          <w:lang w:val="pt-BR"/>
        </w:rPr>
        <w:t>Fonte:</w:t>
      </w:r>
      <w:r w:rsidRPr="0069310A">
        <w:rPr>
          <w:rFonts w:eastAsia="MS Mincho" w:cs="Arial"/>
          <w:i w:val="0"/>
          <w:szCs w:val="16"/>
          <w:lang w:val="pt-BR"/>
        </w:rPr>
        <w:t xml:space="preserve"> Inventário Florestal da Vegetação Natural do Estado de São Paulo (Kronka et al., 2005)</w:t>
      </w:r>
    </w:p>
    <w:p w:rsidR="00D9475A" w:rsidRPr="0069310A" w:rsidRDefault="00D9475A" w:rsidP="00D116D7">
      <w:pPr>
        <w:pStyle w:val="Ttulo4"/>
        <w:rPr>
          <w:rStyle w:val="NormalDestaque"/>
          <w:b/>
          <w:bCs/>
          <w:color w:val="auto"/>
        </w:rPr>
      </w:pPr>
      <w:bookmarkStart w:id="56" w:name="_Toc411871191"/>
      <w:r w:rsidRPr="0069310A">
        <w:rPr>
          <w:rStyle w:val="NormalDestaque"/>
          <w:b/>
          <w:bCs/>
          <w:color w:val="auto"/>
        </w:rPr>
        <w:t>Caracterização da Vegetação dos Municípios da AII</w:t>
      </w:r>
      <w:bookmarkEnd w:id="56"/>
      <w:r w:rsidRPr="0069310A">
        <w:rPr>
          <w:rStyle w:val="NormalDestaque"/>
          <w:b/>
          <w:bCs/>
          <w:color w:val="auto"/>
        </w:rPr>
        <w:t xml:space="preserve"> </w:t>
      </w:r>
    </w:p>
    <w:p w:rsidR="00D9475A" w:rsidRPr="0069310A" w:rsidRDefault="00D9475A" w:rsidP="00D9475A">
      <w:pPr>
        <w:rPr>
          <w:rFonts w:eastAsia="MS Mincho" w:cs="Arial"/>
          <w:bCs/>
        </w:rPr>
      </w:pPr>
      <w:r w:rsidRPr="0069310A">
        <w:rPr>
          <w:rFonts w:eastAsia="MS Mincho" w:cs="Arial"/>
          <w:bCs/>
        </w:rPr>
        <w:t>Considerando-se a representatividade da vegetação nativa nos municípios integrantes da AII, são detalhadas, a seguir, questões específicas a cada um deles, com especial atenção para suas relações com áreas ambientalmente protegidas.</w:t>
      </w:r>
    </w:p>
    <w:p w:rsidR="00D9475A" w:rsidRPr="0069310A" w:rsidRDefault="00D9475A" w:rsidP="00D9475A">
      <w:pPr>
        <w:pStyle w:val="Fonte"/>
        <w:spacing w:before="0"/>
        <w:jc w:val="both"/>
        <w:rPr>
          <w:rFonts w:cs="Arial"/>
          <w:bCs w:val="0"/>
          <w:i w:val="0"/>
          <w:iCs w:val="0"/>
          <w:sz w:val="22"/>
          <w:szCs w:val="22"/>
          <w:lang w:val="pt-BR"/>
        </w:rPr>
      </w:pPr>
      <w:r w:rsidRPr="0069310A">
        <w:rPr>
          <w:rFonts w:cs="Arial"/>
          <w:b/>
          <w:bCs w:val="0"/>
          <w:i w:val="0"/>
          <w:sz w:val="22"/>
          <w:szCs w:val="22"/>
          <w:lang w:val="pt-BR"/>
        </w:rPr>
        <w:t>a)</w:t>
      </w:r>
      <w:r w:rsidRPr="0069310A">
        <w:rPr>
          <w:rFonts w:cs="Arial"/>
          <w:b/>
          <w:bCs w:val="0"/>
          <w:sz w:val="22"/>
          <w:szCs w:val="22"/>
          <w:lang w:val="pt-BR"/>
        </w:rPr>
        <w:t xml:space="preserve"> </w:t>
      </w:r>
      <w:r w:rsidRPr="0069310A">
        <w:rPr>
          <w:rFonts w:cs="Arial"/>
          <w:b/>
          <w:bCs w:val="0"/>
          <w:i w:val="0"/>
          <w:iCs w:val="0"/>
          <w:smallCaps/>
          <w:sz w:val="22"/>
          <w:szCs w:val="22"/>
          <w:lang w:val="pt-BR"/>
        </w:rPr>
        <w:t xml:space="preserve">Município de Santa Isabel - </w:t>
      </w:r>
      <w:r w:rsidRPr="0069310A">
        <w:rPr>
          <w:rFonts w:eastAsia="MS Mincho" w:cs="Arial"/>
          <w:bCs w:val="0"/>
          <w:i w:val="0"/>
          <w:sz w:val="22"/>
          <w:szCs w:val="22"/>
          <w:lang w:val="pt-BR"/>
        </w:rPr>
        <w:t xml:space="preserve">Integrante da RMSP, localiza-se na zona fisiográfica do Médio Paraíba, em altitudes entre 650 e 1.250 metros. </w:t>
      </w:r>
      <w:r w:rsidRPr="0069310A">
        <w:rPr>
          <w:rFonts w:cs="Arial"/>
          <w:bCs w:val="0"/>
          <w:i w:val="0"/>
          <w:iCs w:val="0"/>
          <w:sz w:val="22"/>
          <w:szCs w:val="22"/>
          <w:lang w:val="pt-BR"/>
        </w:rPr>
        <w:t xml:space="preserve">Dados recentes indicam para o município, a Vegetação Secundária da Floresta Ombrófila Densa Montana como formação dominante, havendo também destaque, na região da represa Jaguari, para as formações secundárias da </w:t>
      </w:r>
      <w:r w:rsidRPr="0069310A">
        <w:rPr>
          <w:rFonts w:cs="Arial"/>
          <w:bCs w:val="0"/>
          <w:i w:val="0"/>
          <w:iCs w:val="0"/>
          <w:sz w:val="22"/>
          <w:szCs w:val="22"/>
          <w:lang w:val="pt-BR"/>
        </w:rPr>
        <w:lastRenderedPageBreak/>
        <w:t>Floresta Ombrófila Mista em contato Savana – Floresta Ombrófila Mista Montana (</w:t>
      </w:r>
      <w:r w:rsidRPr="0069310A">
        <w:rPr>
          <w:rFonts w:eastAsia="MS Mincho" w:cs="Arial"/>
          <w:i w:val="0"/>
          <w:iCs w:val="0"/>
          <w:sz w:val="22"/>
          <w:szCs w:val="22"/>
          <w:lang w:val="pt-BR"/>
        </w:rPr>
        <w:t>Atlas Biota, 2014), esta fisionomia, no entanto, não é citada em levantamento realizado pelo IF (2009)</w:t>
      </w:r>
      <w:r w:rsidRPr="0069310A">
        <w:rPr>
          <w:rFonts w:cs="Arial"/>
          <w:bCs w:val="0"/>
          <w:i w:val="0"/>
          <w:iCs w:val="0"/>
          <w:sz w:val="22"/>
          <w:szCs w:val="22"/>
          <w:lang w:val="pt-BR"/>
        </w:rPr>
        <w:t xml:space="preserve">. </w:t>
      </w:r>
    </w:p>
    <w:p w:rsidR="00D9475A" w:rsidRPr="0069310A" w:rsidRDefault="00D9475A" w:rsidP="00D9475A">
      <w:pPr>
        <w:rPr>
          <w:rFonts w:eastAsia="Times New Roman" w:cs="Arial"/>
          <w:bCs/>
          <w:lang w:eastAsia="ar-SA"/>
        </w:rPr>
      </w:pPr>
      <w:r w:rsidRPr="0069310A">
        <w:rPr>
          <w:rFonts w:eastAsia="MS Mincho" w:cs="Arial"/>
          <w:bCs/>
        </w:rPr>
        <w:t xml:space="preserve">A região é drenada pelos rios Jaguari, Pilões e afluentes formadores do reservatório </w:t>
      </w:r>
      <w:r w:rsidRPr="0069310A">
        <w:rPr>
          <w:rFonts w:eastAsia="Times New Roman" w:cs="Arial"/>
          <w:bCs/>
          <w:lang w:eastAsia="ar-SA"/>
        </w:rPr>
        <w:t xml:space="preserve">Jaguari. Concentra 55,8% da cobertura vegetal da Sub-Região NE da RMSP. </w:t>
      </w:r>
      <w:r w:rsidRPr="0069310A">
        <w:rPr>
          <w:rFonts w:eastAsia="MS Mincho" w:cs="Arial"/>
          <w:bCs/>
        </w:rPr>
        <w:t>Apresenta 82,5% do seu território situado em Área de Proteção aos Mananciais</w:t>
      </w:r>
      <w:r w:rsidRPr="0069310A">
        <w:rPr>
          <w:rFonts w:eastAsia="Times New Roman" w:cs="Arial"/>
          <w:bCs/>
          <w:lang w:eastAsia="ar-SA"/>
        </w:rPr>
        <w:t xml:space="preserve">, com restrições à ocupação do solo e ao desmatamento em todo seu território. Faz parte da Reserva da Biosfera da Mata Atlântica (RBMA), bem como da Reserva Biosfera do Cinturão Verde (RBCV) </w:t>
      </w:r>
      <w:r w:rsidRPr="0069310A">
        <w:rPr>
          <w:rFonts w:eastAsia="Times New Roman" w:cs="Arial"/>
        </w:rPr>
        <w:t>(Emplasa, 2006; São Paulo: SMA, 2011)</w:t>
      </w:r>
      <w:r w:rsidRPr="0069310A">
        <w:rPr>
          <w:rFonts w:eastAsia="Times New Roman" w:cs="Arial"/>
          <w:bCs/>
          <w:lang w:eastAsia="ar-SA"/>
        </w:rPr>
        <w:t xml:space="preserve">. </w:t>
      </w:r>
    </w:p>
    <w:p w:rsidR="00D9475A" w:rsidRPr="0069310A" w:rsidRDefault="00D9475A" w:rsidP="00D9475A">
      <w:pPr>
        <w:rPr>
          <w:rFonts w:eastAsia="MS Mincho" w:cs="Arial"/>
          <w:bCs/>
        </w:rPr>
      </w:pPr>
      <w:r w:rsidRPr="0069310A">
        <w:rPr>
          <w:rFonts w:eastAsia="Times New Roman" w:cs="Arial"/>
          <w:bCs/>
          <w:lang w:eastAsia="ar-SA"/>
        </w:rPr>
        <w:t xml:space="preserve">Destaca-se que a </w:t>
      </w:r>
      <w:r w:rsidRPr="0069310A">
        <w:rPr>
          <w:rFonts w:eastAsia="MS Mincho" w:cs="Arial"/>
          <w:bCs/>
        </w:rPr>
        <w:t>parte oeste do município está relacionada como em alto grau de relevância entre as áreas e ações prioritárias para o Bioma Mata Atlântica, indicadas pelo Projeto de Conservação e Utilização Sustentável da Diversidade Biológica Brasileira (PROBIO)</w:t>
      </w:r>
      <w:r w:rsidRPr="0069310A">
        <w:rPr>
          <w:rFonts w:eastAsia="Times New Roman" w:cs="Arial"/>
          <w:bCs/>
          <w:lang w:eastAsia="ar-SA"/>
        </w:rPr>
        <w:t xml:space="preserve"> </w:t>
      </w:r>
      <w:r w:rsidRPr="0069310A">
        <w:rPr>
          <w:rFonts w:eastAsia="Times New Roman" w:cs="Arial"/>
        </w:rPr>
        <w:t>(Emplasa, 2006; São Paulo: SMA, 2011).</w:t>
      </w:r>
    </w:p>
    <w:p w:rsidR="00D9475A" w:rsidRPr="0069310A" w:rsidRDefault="00D9475A" w:rsidP="00D9475A">
      <w:pPr>
        <w:rPr>
          <w:rFonts w:eastAsia="MS Mincho" w:cs="Arial"/>
          <w:bCs/>
        </w:rPr>
      </w:pPr>
      <w:r w:rsidRPr="0069310A">
        <w:rPr>
          <w:rFonts w:eastAsia="Times New Roman" w:cs="Arial"/>
          <w:bCs/>
          <w:lang w:eastAsia="ar-SA"/>
        </w:rPr>
        <w:t>Com metodologia desenvolvida pela Emplasa (2006) foram identificadas sete Unidades de Informações Territorializadas (UITs) em Santa Isabel. A UIT 5 – Jaguari, que inclui a represa Jaguari e sua faixa envoltória, e a UIT 7</w:t>
      </w:r>
      <w:r w:rsidRPr="0069310A">
        <w:rPr>
          <w:rFonts w:eastAsia="MS Mincho" w:cs="Arial"/>
          <w:bCs/>
        </w:rPr>
        <w:t xml:space="preserve"> – Pedra Branca são as unidades territoriais menos impactadas pela presença antrópica, abrigando áreas de mata e mananciais estratégicos para o abastecimento de água da RMSP.</w:t>
      </w:r>
    </w:p>
    <w:p w:rsidR="00D9475A" w:rsidRPr="0069310A" w:rsidRDefault="00D9475A" w:rsidP="00D9475A">
      <w:pPr>
        <w:pStyle w:val="Fonte"/>
        <w:spacing w:before="0"/>
        <w:jc w:val="both"/>
        <w:rPr>
          <w:rFonts w:cs="Arial"/>
          <w:bCs w:val="0"/>
          <w:i w:val="0"/>
          <w:iCs w:val="0"/>
          <w:sz w:val="22"/>
          <w:szCs w:val="22"/>
          <w:lang w:val="pt-BR"/>
        </w:rPr>
      </w:pPr>
      <w:r w:rsidRPr="0069310A">
        <w:rPr>
          <w:rFonts w:cs="Arial"/>
          <w:b/>
          <w:bCs w:val="0"/>
          <w:i w:val="0"/>
          <w:sz w:val="22"/>
          <w:szCs w:val="22"/>
          <w:lang w:val="pt-BR"/>
        </w:rPr>
        <w:t>b)</w:t>
      </w:r>
      <w:r w:rsidRPr="0069310A">
        <w:rPr>
          <w:rFonts w:cs="Arial"/>
          <w:b/>
          <w:bCs w:val="0"/>
          <w:sz w:val="22"/>
          <w:szCs w:val="22"/>
          <w:lang w:val="pt-BR"/>
        </w:rPr>
        <w:t xml:space="preserve"> </w:t>
      </w:r>
      <w:r w:rsidRPr="0069310A">
        <w:rPr>
          <w:rFonts w:cs="Arial"/>
          <w:b/>
          <w:bCs w:val="0"/>
          <w:i w:val="0"/>
          <w:iCs w:val="0"/>
          <w:smallCaps/>
          <w:sz w:val="22"/>
          <w:szCs w:val="22"/>
          <w:lang w:val="pt-BR"/>
        </w:rPr>
        <w:t xml:space="preserve">Município de Igaratá </w:t>
      </w:r>
      <w:r w:rsidRPr="0069310A">
        <w:rPr>
          <w:rFonts w:cs="Arial"/>
          <w:b/>
          <w:bCs w:val="0"/>
          <w:sz w:val="22"/>
          <w:szCs w:val="22"/>
          <w:lang w:val="pt-BR"/>
        </w:rPr>
        <w:t>–</w:t>
      </w:r>
      <w:r w:rsidRPr="0069310A">
        <w:rPr>
          <w:rFonts w:eastAsia="MS Mincho" w:cs="Arial"/>
          <w:bCs w:val="0"/>
          <w:i w:val="0"/>
          <w:sz w:val="22"/>
          <w:szCs w:val="22"/>
          <w:lang w:val="pt-BR"/>
        </w:rPr>
        <w:t xml:space="preserve"> Localiza-se</w:t>
      </w:r>
      <w:r w:rsidRPr="0069310A">
        <w:rPr>
          <w:rFonts w:cs="Arial"/>
          <w:lang w:val="pt-BR"/>
        </w:rPr>
        <w:t xml:space="preserve"> </w:t>
      </w:r>
      <w:r w:rsidRPr="0069310A">
        <w:rPr>
          <w:rFonts w:eastAsia="MS Mincho" w:cs="Arial"/>
          <w:bCs w:val="0"/>
          <w:i w:val="0"/>
          <w:sz w:val="22"/>
          <w:szCs w:val="22"/>
          <w:lang w:val="pt-BR"/>
        </w:rPr>
        <w:t xml:space="preserve">na microrregião de São José dos Campos, estando a uma altitude de 745 metros. </w:t>
      </w:r>
      <w:r w:rsidRPr="0069310A">
        <w:rPr>
          <w:rFonts w:cs="Arial"/>
          <w:bCs w:val="0"/>
          <w:i w:val="0"/>
          <w:iCs w:val="0"/>
          <w:sz w:val="22"/>
          <w:szCs w:val="22"/>
          <w:lang w:val="pt-BR"/>
        </w:rPr>
        <w:t>Dados recentes indicam para o município, as formações secundárias da Floresta Ombrófila Mista em contato Savana – Floresta Ombrófila Mista Montana como predominantes na região da represa Jaguari (sem citação – IF, 2009); com destaque também para a Vegetação Secundária da Floresta Ombrófila Densa Montana (</w:t>
      </w:r>
      <w:r w:rsidRPr="0069310A">
        <w:rPr>
          <w:rFonts w:eastAsia="MS Mincho" w:cs="Arial"/>
          <w:i w:val="0"/>
          <w:iCs w:val="0"/>
          <w:sz w:val="22"/>
          <w:szCs w:val="22"/>
          <w:lang w:val="pt-BR"/>
        </w:rPr>
        <w:t>Atlas Biota, 2014)</w:t>
      </w:r>
      <w:r w:rsidRPr="0069310A">
        <w:rPr>
          <w:rFonts w:cs="Arial"/>
          <w:bCs w:val="0"/>
          <w:i w:val="0"/>
          <w:iCs w:val="0"/>
          <w:sz w:val="22"/>
          <w:szCs w:val="22"/>
          <w:lang w:val="pt-BR"/>
        </w:rPr>
        <w:t xml:space="preserve">. </w:t>
      </w:r>
    </w:p>
    <w:p w:rsidR="00D9475A" w:rsidRPr="0069310A" w:rsidRDefault="00116E93" w:rsidP="00D9475A">
      <w:pPr>
        <w:rPr>
          <w:rFonts w:eastAsia="MS Mincho" w:cs="Arial"/>
          <w:bCs/>
        </w:rPr>
      </w:pPr>
      <w:r>
        <w:rPr>
          <w:rFonts w:eastAsia="Times New Roman" w:cs="Arial"/>
          <w:lang w:eastAsia="ar-SA"/>
        </w:rPr>
        <w:t xml:space="preserve">O território do município </w:t>
      </w:r>
      <w:r w:rsidR="00834492">
        <w:rPr>
          <w:rFonts w:eastAsia="Times New Roman" w:cs="Arial"/>
          <w:lang w:eastAsia="ar-SA"/>
        </w:rPr>
        <w:t xml:space="preserve">de Igaratá </w:t>
      </w:r>
      <w:r>
        <w:rPr>
          <w:rFonts w:eastAsia="Times New Roman" w:cs="Arial"/>
          <w:lang w:eastAsia="ar-SA"/>
        </w:rPr>
        <w:t xml:space="preserve">está inteiramente contido na bacia do reservatório Jaguari, </w:t>
      </w:r>
      <w:r w:rsidRPr="00834492">
        <w:rPr>
          <w:rFonts w:eastAsia="Times New Roman" w:cs="Arial"/>
          <w:lang w:eastAsia="ar-SA"/>
        </w:rPr>
        <w:t xml:space="preserve">e parcialmente na APA Federal Mananciais </w:t>
      </w:r>
      <w:r w:rsidR="00834492" w:rsidRPr="00834492">
        <w:rPr>
          <w:rFonts w:eastAsia="Times New Roman" w:cs="Arial"/>
          <w:lang w:eastAsia="ar-SA"/>
        </w:rPr>
        <w:t xml:space="preserve">do </w:t>
      </w:r>
      <w:r w:rsidR="00D9475A" w:rsidRPr="00834492">
        <w:rPr>
          <w:rFonts w:eastAsia="Times New Roman" w:cs="Arial"/>
          <w:lang w:eastAsia="ar-SA"/>
        </w:rPr>
        <w:t xml:space="preserve">Paraíba do Sul; apresentando </w:t>
      </w:r>
      <w:r w:rsidR="00D9475A" w:rsidRPr="00834492">
        <w:rPr>
          <w:rFonts w:eastAsia="Times New Roman" w:cs="Arial"/>
          <w:bCs/>
          <w:lang w:eastAsia="ar-SA"/>
        </w:rPr>
        <w:t>restrições à</w:t>
      </w:r>
      <w:r w:rsidR="00D9475A" w:rsidRPr="0069310A">
        <w:rPr>
          <w:rFonts w:eastAsia="Times New Roman" w:cs="Arial"/>
          <w:bCs/>
          <w:lang w:eastAsia="ar-SA"/>
        </w:rPr>
        <w:t xml:space="preserve"> ocupação do solo e ao desmatamento. Igaratá faz parte da Reserva da Biosfera da Mata Atlântica (RBMA), bem como Reserva Biosfera do Cinturão Verde (RBCV). A </w:t>
      </w:r>
      <w:r w:rsidR="00D9475A" w:rsidRPr="0069310A">
        <w:rPr>
          <w:rFonts w:eastAsia="MS Mincho" w:cs="Arial"/>
          <w:bCs/>
        </w:rPr>
        <w:t xml:space="preserve">parte oeste do município está relacionada como de alto grau de relevância entre as áreas e ações prioritárias para o Bioma Mata Atlântica, indicadas pelo PROBIO </w:t>
      </w:r>
      <w:r w:rsidR="00D9475A" w:rsidRPr="0069310A">
        <w:rPr>
          <w:rFonts w:eastAsia="Times New Roman" w:cs="Arial"/>
        </w:rPr>
        <w:t>(São Paulo: SMA, 2011).</w:t>
      </w:r>
    </w:p>
    <w:p w:rsidR="00D9475A" w:rsidRPr="0069310A" w:rsidRDefault="00D9475A" w:rsidP="00D9475A">
      <w:pPr>
        <w:rPr>
          <w:rFonts w:cs="Arial"/>
          <w:bCs/>
          <w:iCs/>
        </w:rPr>
      </w:pPr>
      <w:r w:rsidRPr="0069310A">
        <w:rPr>
          <w:rFonts w:cs="Arial"/>
          <w:bCs/>
          <w:iCs/>
        </w:rPr>
        <w:t xml:space="preserve">O município também faz parte do </w:t>
      </w:r>
      <w:r w:rsidRPr="0069310A">
        <w:rPr>
          <w:rFonts w:cs="Arial"/>
        </w:rPr>
        <w:t>Mosaico de Unidades de Conservação</w:t>
      </w:r>
      <w:r w:rsidRPr="0069310A">
        <w:rPr>
          <w:rFonts w:cs="Arial"/>
          <w:bCs/>
          <w:iCs/>
        </w:rPr>
        <w:t xml:space="preserve"> </w:t>
      </w:r>
      <w:r w:rsidRPr="0069310A">
        <w:rPr>
          <w:rFonts w:cs="Arial"/>
        </w:rPr>
        <w:t>da Serra da Mantiqueira</w:t>
      </w:r>
      <w:r w:rsidRPr="0069310A">
        <w:rPr>
          <w:rFonts w:cs="Arial"/>
          <w:bCs/>
          <w:iCs/>
        </w:rPr>
        <w:t>, r</w:t>
      </w:r>
      <w:r w:rsidRPr="0069310A">
        <w:rPr>
          <w:rFonts w:cs="Arial"/>
        </w:rPr>
        <w:t>econhecido pela Portaria MMA n</w:t>
      </w:r>
      <w:r w:rsidRPr="0069310A">
        <w:rPr>
          <w:rFonts w:cs="Arial"/>
          <w:vertAlign w:val="superscript"/>
        </w:rPr>
        <w:t>o</w:t>
      </w:r>
      <w:r w:rsidRPr="0069310A">
        <w:rPr>
          <w:rFonts w:cs="Arial"/>
        </w:rPr>
        <w:t xml:space="preserve"> 351, de 11/12/2006, que abrange área com cerca de</w:t>
      </w:r>
      <w:r w:rsidRPr="0069310A">
        <w:rPr>
          <w:rFonts w:cs="Arial"/>
          <w:bCs/>
          <w:i/>
          <w:iCs/>
        </w:rPr>
        <w:t xml:space="preserve"> </w:t>
      </w:r>
      <w:r w:rsidRPr="0069310A">
        <w:rPr>
          <w:rFonts w:cs="Arial"/>
        </w:rPr>
        <w:t>4.456,15 km</w:t>
      </w:r>
      <w:r w:rsidRPr="0069310A">
        <w:rPr>
          <w:rFonts w:cs="Arial"/>
          <w:vertAlign w:val="superscript"/>
        </w:rPr>
        <w:t>2</w:t>
      </w:r>
      <w:r w:rsidRPr="0069310A">
        <w:rPr>
          <w:rFonts w:cs="Arial"/>
        </w:rPr>
        <w:t>, 37 municípios e 19 Unidades de</w:t>
      </w:r>
      <w:r w:rsidRPr="0069310A">
        <w:rPr>
          <w:rFonts w:cs="Arial"/>
          <w:bCs/>
          <w:i/>
          <w:iCs/>
        </w:rPr>
        <w:t xml:space="preserve"> </w:t>
      </w:r>
      <w:r w:rsidRPr="0069310A">
        <w:rPr>
          <w:rFonts w:cs="Arial"/>
        </w:rPr>
        <w:t>Conservação e suas zonas de amortecimento, nos</w:t>
      </w:r>
      <w:r w:rsidRPr="0069310A">
        <w:rPr>
          <w:rFonts w:cs="Arial"/>
          <w:bCs/>
          <w:i/>
          <w:iCs/>
        </w:rPr>
        <w:t xml:space="preserve"> </w:t>
      </w:r>
      <w:r w:rsidRPr="0069310A">
        <w:rPr>
          <w:rFonts w:cs="Arial"/>
        </w:rPr>
        <w:t>Estados de MG, RJ e SP, este último representado</w:t>
      </w:r>
      <w:r w:rsidRPr="0069310A">
        <w:rPr>
          <w:rFonts w:cs="Arial"/>
          <w:bCs/>
          <w:i/>
          <w:iCs/>
        </w:rPr>
        <w:t xml:space="preserve"> </w:t>
      </w:r>
      <w:r w:rsidRPr="0069310A">
        <w:rPr>
          <w:rFonts w:cs="Arial"/>
        </w:rPr>
        <w:t xml:space="preserve">majoritariamente pela UGRHI 02 </w:t>
      </w:r>
      <w:r w:rsidRPr="0069310A">
        <w:rPr>
          <w:rFonts w:eastAsia="Times New Roman" w:cs="Arial"/>
        </w:rPr>
        <w:t>(São Paulo: SMA, 2011).</w:t>
      </w:r>
    </w:p>
    <w:p w:rsidR="00D9475A" w:rsidRPr="0069310A" w:rsidRDefault="00D9475A" w:rsidP="00D9475A">
      <w:pPr>
        <w:pStyle w:val="Fonte"/>
        <w:spacing w:before="0"/>
        <w:jc w:val="both"/>
        <w:rPr>
          <w:rFonts w:cs="Arial"/>
          <w:bCs w:val="0"/>
          <w:i w:val="0"/>
          <w:iCs w:val="0"/>
          <w:sz w:val="22"/>
          <w:szCs w:val="22"/>
          <w:lang w:val="pt-BR"/>
        </w:rPr>
      </w:pPr>
      <w:r w:rsidRPr="0069310A">
        <w:rPr>
          <w:rFonts w:cs="Arial"/>
          <w:b/>
          <w:bCs w:val="0"/>
          <w:i w:val="0"/>
          <w:sz w:val="22"/>
          <w:szCs w:val="22"/>
          <w:lang w:val="pt-BR"/>
        </w:rPr>
        <w:t>c)</w:t>
      </w:r>
      <w:r w:rsidRPr="0069310A">
        <w:rPr>
          <w:rFonts w:cs="Arial"/>
          <w:b/>
          <w:bCs w:val="0"/>
          <w:sz w:val="22"/>
          <w:szCs w:val="22"/>
          <w:lang w:val="pt-BR"/>
        </w:rPr>
        <w:t xml:space="preserve"> </w:t>
      </w:r>
      <w:r w:rsidRPr="0069310A">
        <w:rPr>
          <w:rFonts w:cs="Arial"/>
          <w:b/>
          <w:bCs w:val="0"/>
          <w:i w:val="0"/>
          <w:iCs w:val="0"/>
          <w:smallCaps/>
          <w:sz w:val="22"/>
          <w:szCs w:val="22"/>
          <w:lang w:val="pt-BR"/>
        </w:rPr>
        <w:t xml:space="preserve">Nazaré Paulista </w:t>
      </w:r>
      <w:r w:rsidRPr="0069310A">
        <w:rPr>
          <w:rFonts w:cs="Arial"/>
          <w:sz w:val="22"/>
          <w:szCs w:val="22"/>
          <w:lang w:val="pt-BR"/>
        </w:rPr>
        <w:t xml:space="preserve">- </w:t>
      </w:r>
      <w:r w:rsidRPr="0069310A">
        <w:rPr>
          <w:rFonts w:eastAsia="MS Mincho" w:cs="Arial"/>
          <w:bCs w:val="0"/>
          <w:i w:val="0"/>
          <w:sz w:val="22"/>
          <w:szCs w:val="22"/>
          <w:lang w:val="pt-BR"/>
        </w:rPr>
        <w:t>Localiza-se</w:t>
      </w:r>
      <w:r w:rsidRPr="0069310A">
        <w:rPr>
          <w:rFonts w:cs="Arial"/>
          <w:i w:val="0"/>
          <w:lang w:val="pt-BR"/>
        </w:rPr>
        <w:t xml:space="preserve"> </w:t>
      </w:r>
      <w:r w:rsidRPr="0069310A">
        <w:rPr>
          <w:rFonts w:eastAsia="MS Mincho" w:cs="Arial"/>
          <w:bCs w:val="0"/>
          <w:i w:val="0"/>
          <w:sz w:val="22"/>
          <w:szCs w:val="22"/>
          <w:lang w:val="pt-BR"/>
        </w:rPr>
        <w:t xml:space="preserve">na microrregião de </w:t>
      </w:r>
      <w:r w:rsidRPr="0069310A">
        <w:rPr>
          <w:rFonts w:cs="Arial"/>
          <w:i w:val="0"/>
          <w:sz w:val="22"/>
          <w:szCs w:val="22"/>
          <w:lang w:val="pt-BR"/>
        </w:rPr>
        <w:t xml:space="preserve">Bragança Paulista, estando a uma altitude de 845 metros. </w:t>
      </w:r>
      <w:r w:rsidRPr="0069310A">
        <w:rPr>
          <w:rFonts w:cs="Arial"/>
          <w:bCs w:val="0"/>
          <w:i w:val="0"/>
          <w:iCs w:val="0"/>
          <w:sz w:val="22"/>
          <w:szCs w:val="22"/>
          <w:lang w:val="pt-BR"/>
        </w:rPr>
        <w:t>Dados recentes indicam para o município, a Vegetação Secundária da Floresta Ombrófila Densa Montana como formação dominante, havendo também ocorrência das formações secundárias da Floresta Ombrófila Mista em contato Savana – Floresta Ombrófila Mista Montana (</w:t>
      </w:r>
      <w:r w:rsidRPr="0069310A">
        <w:rPr>
          <w:rFonts w:eastAsia="MS Mincho" w:cs="Arial"/>
          <w:i w:val="0"/>
          <w:iCs w:val="0"/>
          <w:sz w:val="22"/>
          <w:szCs w:val="22"/>
          <w:lang w:val="pt-BR"/>
        </w:rPr>
        <w:t>Atlas Biota, 2014); esta fisionomia, no entanto, não é citada em levantamento realizado pelo IF (2009)</w:t>
      </w:r>
      <w:r w:rsidRPr="0069310A">
        <w:rPr>
          <w:rFonts w:cs="Arial"/>
          <w:bCs w:val="0"/>
          <w:i w:val="0"/>
          <w:iCs w:val="0"/>
          <w:sz w:val="22"/>
          <w:szCs w:val="22"/>
          <w:lang w:val="pt-BR"/>
        </w:rPr>
        <w:t xml:space="preserve">. </w:t>
      </w:r>
    </w:p>
    <w:p w:rsidR="00D9475A" w:rsidRPr="0069310A" w:rsidRDefault="00D9475A" w:rsidP="00D116D7">
      <w:pPr>
        <w:pStyle w:val="Ttulo4"/>
        <w:rPr>
          <w:rStyle w:val="NormalDestaque"/>
          <w:rFonts w:eastAsia="MS Mincho"/>
          <w:b/>
          <w:bCs/>
          <w:color w:val="auto"/>
        </w:rPr>
      </w:pPr>
      <w:bookmarkStart w:id="57" w:name="_Toc411871192"/>
      <w:r w:rsidRPr="0069310A">
        <w:rPr>
          <w:rStyle w:val="NormalDestaque"/>
          <w:b/>
          <w:bCs/>
          <w:color w:val="auto"/>
        </w:rPr>
        <w:t>Representatividade Ambiental da Vegetação Nativa na AII</w:t>
      </w:r>
      <w:bookmarkEnd w:id="57"/>
      <w:r w:rsidRPr="0069310A">
        <w:rPr>
          <w:rStyle w:val="NormalDestaque"/>
          <w:b/>
          <w:bCs/>
          <w:color w:val="auto"/>
        </w:rPr>
        <w:t xml:space="preserve"> </w:t>
      </w:r>
    </w:p>
    <w:p w:rsidR="00D9475A" w:rsidRPr="0069310A" w:rsidRDefault="00D9475A" w:rsidP="00D9475A">
      <w:pPr>
        <w:rPr>
          <w:rFonts w:eastAsia="MS Mincho" w:cs="Arial"/>
          <w:bCs/>
        </w:rPr>
      </w:pPr>
      <w:r w:rsidRPr="0069310A">
        <w:rPr>
          <w:rFonts w:eastAsia="MS Mincho" w:cs="Arial"/>
          <w:bCs/>
        </w:rPr>
        <w:t xml:space="preserve">Conforme anteriormente destacado, as Unidades de Conservação presentes na área de estudo são abrangidas pela Reserva da Biosfera do Cinturão Verde de São Paulo, pela Reserva da Biosfera da Mata Atlântica e encontram-se relacionadas entre as Áreas Prioritárias para Conservação, Uso Sustentável e Repartição dos Benefícios da Biodiversidade Brasileira (MMA/SBF – 2007). </w:t>
      </w:r>
    </w:p>
    <w:p w:rsidR="00D9475A" w:rsidRPr="0069310A" w:rsidRDefault="00D9475A" w:rsidP="00D9475A">
      <w:pPr>
        <w:rPr>
          <w:rFonts w:eastAsia="MS Mincho" w:cs="Arial"/>
          <w:bCs/>
        </w:rPr>
      </w:pPr>
      <w:r w:rsidRPr="0069310A">
        <w:rPr>
          <w:rFonts w:eastAsia="MS Mincho" w:cs="Arial"/>
          <w:bCs/>
        </w:rPr>
        <w:t xml:space="preserve">A partir de uma revisão de seus limites e zoneamento, parcialmente desenvolvido em escala municipal e incorporando componentes urbanos às zonas tradicionais da Reserva da Biosfera, a RBCV passou a incluir alguns municípios da região oeste da UGRHI 02, devido à incorporação de uma visão dos serviços ecossistêmicos oferecidos pelo cinturão verde às áreas urbanas. </w:t>
      </w:r>
    </w:p>
    <w:p w:rsidR="00D9475A" w:rsidRPr="0069310A" w:rsidRDefault="00D9475A" w:rsidP="00D9475A">
      <w:pPr>
        <w:rPr>
          <w:rFonts w:eastAsia="MS Mincho" w:cs="Arial"/>
          <w:bCs/>
        </w:rPr>
      </w:pPr>
      <w:r w:rsidRPr="0069310A">
        <w:rPr>
          <w:rFonts w:eastAsia="MS Mincho" w:cs="Arial"/>
          <w:bCs/>
        </w:rPr>
        <w:lastRenderedPageBreak/>
        <w:t xml:space="preserve">Assim, neste novo desenho, podem-se observar áreas de mananciais (reservatórios Paraibuna, Paraitinga, Santa Branca e Jaguari), Áreas de Proteção Ambiental (APA Mananciais do Paraíba do Sul) adjacentes ao antigo limite; e, integral ou parcialmente, os municípios de Santa Isabel, Guararema, Igaratá, São José dos Campos, Santa Branca, Paraibuna, Natividade da Serra, Redenção da Serra, Jambeiro e Jacareí </w:t>
      </w:r>
      <w:r w:rsidRPr="0069310A">
        <w:rPr>
          <w:rFonts w:eastAsia="Times New Roman" w:cs="Arial"/>
        </w:rPr>
        <w:t>(São Paulo: SMA, 2011).</w:t>
      </w:r>
    </w:p>
    <w:p w:rsidR="00D9475A" w:rsidRPr="0069310A" w:rsidRDefault="00D9475A" w:rsidP="00D9475A">
      <w:pPr>
        <w:rPr>
          <w:rFonts w:cs="Arial"/>
        </w:rPr>
      </w:pPr>
      <w:r w:rsidRPr="0069310A">
        <w:rPr>
          <w:rFonts w:eastAsia="MS Mincho" w:cs="Arial"/>
          <w:bCs/>
        </w:rPr>
        <w:t>Segundo seu Plano de Gestão, na linha de ação correspondente à “Unidades de Conservação”, a RBCV atua: na promoção de diálogo entre UCs e áreas de entorno; na elaboração de planos de manejo. Em estudos para criação de novas U</w:t>
      </w:r>
      <w:r w:rsidR="00F0571B">
        <w:rPr>
          <w:rFonts w:eastAsia="MS Mincho" w:cs="Arial"/>
          <w:bCs/>
        </w:rPr>
        <w:t>C</w:t>
      </w:r>
      <w:r w:rsidRPr="0069310A">
        <w:rPr>
          <w:rFonts w:eastAsia="MS Mincho" w:cs="Arial"/>
          <w:bCs/>
        </w:rPr>
        <w:t xml:space="preserve">s, a RBCV participou, junto à equipe técnica da SMA, FF e IF, de todo o processo de criação das quatro novas UCs do “Contínuo da Cantareira”, entre elas os Parques Estaduais de Itaberaba e Itapetinga, abrangendo porções dos municípios de Nazaré Paulista (9,38%) e Santa Isabel (16,40%) </w:t>
      </w:r>
      <w:r w:rsidRPr="0069310A">
        <w:rPr>
          <w:rFonts w:eastAsia="Times New Roman" w:cs="Arial"/>
        </w:rPr>
        <w:t>(São Paulo: SMA, 2011).</w:t>
      </w:r>
    </w:p>
    <w:p w:rsidR="00D9475A" w:rsidRPr="00C82997" w:rsidRDefault="00D9475A" w:rsidP="002C11C5">
      <w:pPr>
        <w:pStyle w:val="Fonte"/>
        <w:jc w:val="both"/>
        <w:rPr>
          <w:rFonts w:eastAsia="MS Mincho" w:cs="Arial"/>
          <w:i w:val="0"/>
          <w:iCs w:val="0"/>
          <w:sz w:val="22"/>
          <w:szCs w:val="22"/>
          <w:lang w:val="pt-BR" w:eastAsia="en-US"/>
        </w:rPr>
      </w:pPr>
      <w:r w:rsidRPr="00C71465">
        <w:rPr>
          <w:i w:val="0"/>
          <w:sz w:val="22"/>
          <w:szCs w:val="22"/>
          <w:lang w:val="pt-BR"/>
        </w:rPr>
        <w:t xml:space="preserve">A </w:t>
      </w:r>
      <w:r w:rsidRPr="00C71465">
        <w:rPr>
          <w:b/>
          <w:i w:val="0"/>
          <w:sz w:val="22"/>
          <w:szCs w:val="22"/>
          <w:lang w:val="pt-BR"/>
        </w:rPr>
        <w:t xml:space="preserve">Figura </w:t>
      </w:r>
      <w:r w:rsidR="00834492" w:rsidRPr="00C71465">
        <w:rPr>
          <w:b/>
          <w:i w:val="0"/>
          <w:sz w:val="22"/>
          <w:szCs w:val="22"/>
          <w:lang w:val="pt-BR"/>
        </w:rPr>
        <w:t>6.4.</w:t>
      </w:r>
      <w:r w:rsidR="00415CDA">
        <w:rPr>
          <w:b/>
          <w:i w:val="0"/>
          <w:sz w:val="22"/>
          <w:szCs w:val="22"/>
          <w:lang w:val="pt-BR"/>
        </w:rPr>
        <w:t>1-</w:t>
      </w:r>
      <w:r w:rsidR="00834492" w:rsidRPr="00C71465">
        <w:rPr>
          <w:b/>
          <w:i w:val="0"/>
          <w:sz w:val="22"/>
          <w:szCs w:val="22"/>
          <w:lang w:val="pt-BR"/>
        </w:rPr>
        <w:t>1</w:t>
      </w:r>
      <w:r w:rsidRPr="00C71465">
        <w:rPr>
          <w:i w:val="0"/>
          <w:sz w:val="22"/>
          <w:szCs w:val="22"/>
          <w:lang w:val="pt-BR"/>
        </w:rPr>
        <w:t xml:space="preserve"> apresenta o mapeamento da vegetação</w:t>
      </w:r>
      <w:r w:rsidR="00354BFE">
        <w:rPr>
          <w:i w:val="0"/>
          <w:sz w:val="22"/>
          <w:szCs w:val="22"/>
          <w:lang w:val="pt-BR"/>
        </w:rPr>
        <w:t xml:space="preserve"> remanescente na Área de Estudo, </w:t>
      </w:r>
      <w:r w:rsidR="00F0571B" w:rsidRPr="00C82997">
        <w:rPr>
          <w:rFonts w:eastAsia="MS Mincho" w:cs="Arial"/>
          <w:i w:val="0"/>
          <w:iCs w:val="0"/>
          <w:sz w:val="22"/>
          <w:szCs w:val="22"/>
          <w:lang w:val="pt-BR" w:eastAsia="en-US"/>
        </w:rPr>
        <w:t>segund</w:t>
      </w:r>
      <w:r w:rsidR="00C82997" w:rsidRPr="00C82997">
        <w:rPr>
          <w:rFonts w:eastAsia="MS Mincho" w:cs="Arial"/>
          <w:i w:val="0"/>
          <w:iCs w:val="0"/>
          <w:sz w:val="22"/>
          <w:szCs w:val="22"/>
          <w:lang w:val="pt-BR" w:eastAsia="en-US"/>
        </w:rPr>
        <w:t>o levantamento da SMA/CPLA 2010 ("</w:t>
      </w:r>
      <w:r w:rsidR="002C11C5" w:rsidRPr="00C82997">
        <w:rPr>
          <w:rFonts w:eastAsia="MS Mincho" w:cs="Arial"/>
          <w:i w:val="0"/>
          <w:iCs w:val="0"/>
          <w:sz w:val="22"/>
          <w:szCs w:val="22"/>
          <w:lang w:val="pt-BR" w:eastAsia="en-US"/>
        </w:rPr>
        <w:t xml:space="preserve">Mapeamento </w:t>
      </w:r>
      <w:r w:rsidR="002C11C5">
        <w:rPr>
          <w:rFonts w:eastAsia="MS Mincho" w:cs="Arial"/>
          <w:i w:val="0"/>
          <w:iCs w:val="0"/>
          <w:sz w:val="22"/>
          <w:szCs w:val="22"/>
          <w:lang w:val="pt-BR" w:eastAsia="en-US"/>
        </w:rPr>
        <w:t>de Cobertura d</w:t>
      </w:r>
      <w:r w:rsidR="002C11C5" w:rsidRPr="00C82997">
        <w:rPr>
          <w:rFonts w:eastAsia="MS Mincho" w:cs="Arial"/>
          <w:i w:val="0"/>
          <w:iCs w:val="0"/>
          <w:sz w:val="22"/>
          <w:szCs w:val="22"/>
          <w:lang w:val="pt-BR" w:eastAsia="en-US"/>
        </w:rPr>
        <w:t xml:space="preserve">a Terra </w:t>
      </w:r>
      <w:r w:rsidR="002C11C5">
        <w:rPr>
          <w:rFonts w:eastAsia="MS Mincho" w:cs="Arial"/>
          <w:i w:val="0"/>
          <w:iCs w:val="0"/>
          <w:sz w:val="22"/>
          <w:szCs w:val="22"/>
          <w:lang w:val="pt-BR" w:eastAsia="en-US"/>
        </w:rPr>
        <w:t>d</w:t>
      </w:r>
      <w:r w:rsidR="002C11C5" w:rsidRPr="00C82997">
        <w:rPr>
          <w:rFonts w:eastAsia="MS Mincho" w:cs="Arial"/>
          <w:i w:val="0"/>
          <w:iCs w:val="0"/>
          <w:sz w:val="22"/>
          <w:szCs w:val="22"/>
          <w:lang w:val="pt-BR" w:eastAsia="en-US"/>
        </w:rPr>
        <w:t xml:space="preserve">o Estado </w:t>
      </w:r>
      <w:r w:rsidR="002C11C5">
        <w:rPr>
          <w:rFonts w:eastAsia="MS Mincho" w:cs="Arial"/>
          <w:i w:val="0"/>
          <w:iCs w:val="0"/>
          <w:sz w:val="22"/>
          <w:szCs w:val="22"/>
          <w:lang w:val="pt-BR" w:eastAsia="en-US"/>
        </w:rPr>
        <w:t>d</w:t>
      </w:r>
      <w:r w:rsidR="002C11C5" w:rsidRPr="00C82997">
        <w:rPr>
          <w:rFonts w:eastAsia="MS Mincho" w:cs="Arial"/>
          <w:i w:val="0"/>
          <w:iCs w:val="0"/>
          <w:sz w:val="22"/>
          <w:szCs w:val="22"/>
          <w:lang w:val="pt-BR" w:eastAsia="en-US"/>
        </w:rPr>
        <w:t>e São Paulo</w:t>
      </w:r>
      <w:r w:rsidR="002C11C5">
        <w:rPr>
          <w:rFonts w:eastAsia="MS Mincho" w:cs="Arial"/>
          <w:i w:val="0"/>
          <w:iCs w:val="0"/>
          <w:sz w:val="22"/>
          <w:szCs w:val="22"/>
          <w:lang w:val="pt-BR" w:eastAsia="en-US"/>
        </w:rPr>
        <w:t xml:space="preserve"> - 2010, escala 1:100.000”, SMA/CPLA, </w:t>
      </w:r>
      <w:r w:rsidR="00C82997" w:rsidRPr="00C82997">
        <w:rPr>
          <w:rFonts w:eastAsia="MS Mincho" w:cs="Arial"/>
          <w:i w:val="0"/>
          <w:iCs w:val="0"/>
          <w:sz w:val="22"/>
          <w:szCs w:val="22"/>
          <w:lang w:val="pt-BR" w:eastAsia="en-US"/>
        </w:rPr>
        <w:t>2013</w:t>
      </w:r>
      <w:r w:rsidR="00F0571B" w:rsidRPr="00C82997">
        <w:rPr>
          <w:rFonts w:eastAsia="MS Mincho" w:cs="Arial"/>
          <w:i w:val="0"/>
          <w:iCs w:val="0"/>
          <w:sz w:val="22"/>
          <w:szCs w:val="22"/>
          <w:lang w:val="pt-BR" w:eastAsia="en-US"/>
        </w:rPr>
        <w:t xml:space="preserve">), </w:t>
      </w:r>
      <w:r w:rsidR="00ED4C0B">
        <w:rPr>
          <w:rFonts w:eastAsia="MS Mincho" w:cs="Arial"/>
          <w:i w:val="0"/>
          <w:iCs w:val="0"/>
          <w:sz w:val="22"/>
          <w:szCs w:val="22"/>
          <w:lang w:val="pt-BR" w:eastAsia="en-US"/>
        </w:rPr>
        <w:t>onde se observa o contínuo Cantareira – Mantiqueira e o eixo da</w:t>
      </w:r>
      <w:r w:rsidRPr="00C82997">
        <w:rPr>
          <w:rFonts w:eastAsia="MS Mincho" w:cs="Arial"/>
          <w:i w:val="0"/>
          <w:iCs w:val="0"/>
          <w:sz w:val="22"/>
          <w:szCs w:val="22"/>
          <w:lang w:val="pt-BR" w:eastAsia="en-US"/>
        </w:rPr>
        <w:t xml:space="preserve"> Interligação Jaguari Atibainha.</w:t>
      </w:r>
      <w:r w:rsidR="00ED4C0B">
        <w:rPr>
          <w:rFonts w:eastAsia="MS Mincho" w:cs="Arial"/>
          <w:i w:val="0"/>
          <w:iCs w:val="0"/>
          <w:sz w:val="22"/>
          <w:szCs w:val="22"/>
          <w:lang w:val="pt-BR" w:eastAsia="en-US"/>
        </w:rPr>
        <w:t xml:space="preserve"> O mesmo mapeamento está apresentado de forma ampliada na </w:t>
      </w:r>
      <w:r w:rsidR="00ED4C0B" w:rsidRPr="0089349D">
        <w:rPr>
          <w:rFonts w:eastAsia="MS Mincho" w:cs="Arial"/>
          <w:b/>
          <w:i w:val="0"/>
          <w:iCs w:val="0"/>
          <w:sz w:val="22"/>
          <w:szCs w:val="22"/>
          <w:lang w:val="pt-BR" w:eastAsia="en-US"/>
        </w:rPr>
        <w:t>Figura 6.5.5</w:t>
      </w:r>
      <w:r w:rsidR="00ED4C0B">
        <w:rPr>
          <w:rFonts w:eastAsia="MS Mincho" w:cs="Arial"/>
          <w:i w:val="0"/>
          <w:iCs w:val="0"/>
          <w:sz w:val="22"/>
          <w:szCs w:val="22"/>
          <w:lang w:val="pt-BR" w:eastAsia="en-US"/>
        </w:rPr>
        <w:t xml:space="preserve">, no </w:t>
      </w:r>
      <w:r w:rsidR="00A555F8" w:rsidRPr="00A555F8">
        <w:rPr>
          <w:rFonts w:eastAsia="MS Mincho" w:cs="Arial"/>
          <w:b/>
          <w:i w:val="0"/>
          <w:iCs w:val="0"/>
          <w:sz w:val="22"/>
          <w:szCs w:val="22"/>
          <w:lang w:val="pt-BR" w:eastAsia="en-US"/>
        </w:rPr>
        <w:t>Volume I</w:t>
      </w:r>
      <w:r w:rsidR="00A555F8">
        <w:rPr>
          <w:rFonts w:eastAsia="MS Mincho" w:cs="Arial"/>
          <w:i w:val="0"/>
          <w:iCs w:val="0"/>
          <w:sz w:val="22"/>
          <w:szCs w:val="22"/>
          <w:lang w:val="pt-BR" w:eastAsia="en-US"/>
        </w:rPr>
        <w:t xml:space="preserve"> </w:t>
      </w:r>
      <w:r w:rsidR="00A555F8">
        <w:rPr>
          <w:rFonts w:eastAsia="MS Mincho" w:cs="Arial"/>
          <w:b/>
          <w:i w:val="0"/>
          <w:iCs w:val="0"/>
          <w:sz w:val="22"/>
          <w:szCs w:val="22"/>
          <w:lang w:val="pt-BR" w:eastAsia="en-US"/>
        </w:rPr>
        <w:t>Tomo 4</w:t>
      </w:r>
      <w:r w:rsidR="00ED4C0B">
        <w:rPr>
          <w:rFonts w:eastAsia="MS Mincho" w:cs="Arial"/>
          <w:i w:val="0"/>
          <w:iCs w:val="0"/>
          <w:sz w:val="22"/>
          <w:szCs w:val="22"/>
          <w:lang w:val="pt-BR" w:eastAsia="en-US"/>
        </w:rPr>
        <w:t>, onde se pode observar com mais detalhe a localização dos grandes fragmentos remanescentes na região da AII.</w:t>
      </w:r>
    </w:p>
    <w:p w:rsidR="00D9475A" w:rsidRPr="0069310A" w:rsidRDefault="00D9475A" w:rsidP="00D116D7">
      <w:pPr>
        <w:pStyle w:val="Ttulo4"/>
      </w:pPr>
      <w:bookmarkStart w:id="58" w:name="_Toc411871193"/>
      <w:r w:rsidRPr="0069310A">
        <w:t>Caracterização das Tipologias Vegetacionais na AII</w:t>
      </w:r>
      <w:bookmarkEnd w:id="58"/>
    </w:p>
    <w:p w:rsidR="00D9475A" w:rsidRPr="0069310A" w:rsidRDefault="00D9475A" w:rsidP="00D9475A">
      <w:pPr>
        <w:pStyle w:val="Fonte"/>
        <w:jc w:val="both"/>
        <w:rPr>
          <w:rFonts w:cs="Arial"/>
          <w:bCs w:val="0"/>
          <w:i w:val="0"/>
          <w:iCs w:val="0"/>
          <w:sz w:val="22"/>
          <w:szCs w:val="22"/>
          <w:lang w:val="pt-BR"/>
        </w:rPr>
      </w:pPr>
      <w:r w:rsidRPr="0069310A">
        <w:rPr>
          <w:rFonts w:cs="Arial"/>
          <w:bCs w:val="0"/>
          <w:i w:val="0"/>
          <w:iCs w:val="0"/>
          <w:sz w:val="22"/>
          <w:szCs w:val="22"/>
          <w:lang w:val="pt-BR"/>
        </w:rPr>
        <w:t>Os limites de distribuição do Bioma Mata Atlântica alcançam desde as formações ombrófilas restritas ao complexo montanhoso da Serra do Mar até as formações estacionais semidecíduas ou decíduas do interior do país. Suas diferentes formações apresentam forte relação florística com fatores como umidade do solo e variação de precipitação ao longo do ano (Oliveira-Filho &amp; Fontes, 2001 e Rizzini,1997).</w:t>
      </w:r>
    </w:p>
    <w:p w:rsidR="00D9475A" w:rsidRPr="0069310A" w:rsidRDefault="00D9475A" w:rsidP="00D9475A">
      <w:pPr>
        <w:pStyle w:val="Fonte"/>
        <w:jc w:val="both"/>
        <w:rPr>
          <w:rFonts w:cs="Arial"/>
          <w:bCs w:val="0"/>
          <w:i w:val="0"/>
          <w:iCs w:val="0"/>
          <w:sz w:val="22"/>
          <w:szCs w:val="22"/>
          <w:lang w:val="pt-BR"/>
        </w:rPr>
      </w:pPr>
      <w:r w:rsidRPr="0069310A">
        <w:rPr>
          <w:rFonts w:cs="Arial"/>
          <w:bCs w:val="0"/>
          <w:i w:val="0"/>
          <w:iCs w:val="0"/>
          <w:sz w:val="22"/>
          <w:szCs w:val="22"/>
          <w:lang w:val="pt-BR"/>
        </w:rPr>
        <w:t>Nas áreas de abrangência do presente estudo, conforme anteriormente relatado, existe o predomínio das formações classificadas como Floresta Ombrófila Densa. Trata-se de uma formação com vegetação característica de regiões tropicais com temperaturas elevadas (média 25</w:t>
      </w:r>
      <w:r w:rsidRPr="0069310A">
        <w:rPr>
          <w:rFonts w:cs="Arial"/>
          <w:bCs w:val="0"/>
          <w:i w:val="0"/>
          <w:iCs w:val="0"/>
          <w:sz w:val="22"/>
          <w:szCs w:val="22"/>
          <w:vertAlign w:val="superscript"/>
          <w:lang w:val="pt-BR"/>
        </w:rPr>
        <w:t>o</w:t>
      </w:r>
      <w:r w:rsidRPr="0069310A">
        <w:rPr>
          <w:rFonts w:cs="Arial"/>
          <w:bCs w:val="0"/>
          <w:i w:val="0"/>
          <w:iCs w:val="0"/>
          <w:sz w:val="22"/>
          <w:szCs w:val="22"/>
          <w:lang w:val="pt-BR"/>
        </w:rPr>
        <w:t>C) e com alta precipitação pluviométrica bem distribuída durante o ano (de 0 a 60 dias secos), sem período biologicamente seco.</w:t>
      </w:r>
    </w:p>
    <w:p w:rsidR="00D9475A" w:rsidRPr="0069310A" w:rsidRDefault="00D9475A" w:rsidP="00D9475A">
      <w:pPr>
        <w:rPr>
          <w:rFonts w:cs="Arial"/>
          <w:bCs/>
          <w:iCs/>
        </w:rPr>
      </w:pPr>
      <w:r w:rsidRPr="0069310A">
        <w:rPr>
          <w:rFonts w:cs="Arial"/>
          <w:bCs/>
          <w:iCs/>
        </w:rPr>
        <w:t xml:space="preserve">Nas UGRHIs 2 e 5 é especialmente observada a Floresta Ombrófila Densa Montana, que ocorre em altitudes entre 500 e 1500 m, e a Floresta Ombrófila Densa Alto-Montana, em altitudes superiores a 1500 m </w:t>
      </w:r>
      <w:r w:rsidRPr="0069310A">
        <w:rPr>
          <w:rFonts w:eastAsia="Times New Roman" w:cs="Arial"/>
        </w:rPr>
        <w:t xml:space="preserve">(Kronka </w:t>
      </w:r>
      <w:r w:rsidRPr="0069310A">
        <w:rPr>
          <w:rFonts w:eastAsia="Times New Roman" w:cs="Arial"/>
          <w:i/>
        </w:rPr>
        <w:t>et al</w:t>
      </w:r>
      <w:r w:rsidRPr="0069310A">
        <w:rPr>
          <w:rFonts w:eastAsia="Times New Roman" w:cs="Arial"/>
        </w:rPr>
        <w:t xml:space="preserve">., 2005). Porém, no entorno da represa Jaguari também se destaca a Floresta Ombrófila em Contato Savana - Floresta Ombrófila Mista Montana (Atlas Biota, 2014); além destas, também é frequente a formação Vegetação de Várzea. </w:t>
      </w:r>
    </w:p>
    <w:p w:rsidR="00D9475A" w:rsidRPr="0069310A" w:rsidRDefault="00D9475A" w:rsidP="00D9475A">
      <w:pPr>
        <w:pStyle w:val="Fonte"/>
        <w:spacing w:before="0"/>
        <w:jc w:val="both"/>
        <w:rPr>
          <w:rFonts w:cs="Arial"/>
          <w:bCs w:val="0"/>
          <w:i w:val="0"/>
          <w:iCs w:val="0"/>
          <w:sz w:val="22"/>
          <w:szCs w:val="22"/>
          <w:lang w:val="pt-BR"/>
        </w:rPr>
      </w:pPr>
      <w:r w:rsidRPr="0069310A">
        <w:rPr>
          <w:rFonts w:cs="Arial"/>
          <w:bCs w:val="0"/>
          <w:i w:val="0"/>
          <w:iCs w:val="0"/>
          <w:sz w:val="22"/>
          <w:szCs w:val="22"/>
          <w:lang w:val="pt-BR"/>
        </w:rPr>
        <w:t>Descrevem-se, a seguir, características abrangentes das principais formações de ocorrência nos municípios da AII.</w:t>
      </w:r>
    </w:p>
    <w:p w:rsidR="00C023A0" w:rsidRPr="00415CDA" w:rsidRDefault="00415CDA" w:rsidP="00415CDA">
      <w:pPr>
        <w:rPr>
          <w:rFonts w:eastAsia="Times New Roman" w:cs="Arial"/>
          <w:lang w:eastAsia="ar-SA"/>
        </w:rPr>
      </w:pPr>
      <w:r w:rsidRPr="00415CDA">
        <w:rPr>
          <w:rFonts w:ascii="Arial Negrito" w:eastAsia="Times New Roman" w:hAnsi="Arial Negrito" w:cs="Arial"/>
          <w:b/>
          <w:bCs/>
          <w:iCs/>
        </w:rPr>
        <w:t>a</w:t>
      </w:r>
      <w:r>
        <w:rPr>
          <w:rFonts w:eastAsia="Times New Roman" w:cs="Arial"/>
          <w:b/>
          <w:bCs/>
          <w:iCs/>
          <w:smallCaps/>
        </w:rPr>
        <w:t xml:space="preserve">) </w:t>
      </w:r>
      <w:r w:rsidR="00D9475A" w:rsidRPr="00415CDA">
        <w:rPr>
          <w:rFonts w:eastAsia="Times New Roman" w:cs="Arial"/>
          <w:b/>
          <w:bCs/>
          <w:iCs/>
          <w:smallCaps/>
        </w:rPr>
        <w:t>Floresta Ombrófila Densa Montana</w:t>
      </w:r>
      <w:r w:rsidR="00D9475A" w:rsidRPr="00415CDA">
        <w:rPr>
          <w:rFonts w:eastAsia="Times New Roman" w:cs="Arial"/>
          <w:b/>
          <w:bCs/>
          <w:lang w:eastAsia="ar-SA"/>
        </w:rPr>
        <w:t xml:space="preserve"> </w:t>
      </w:r>
      <w:r w:rsidR="00D9475A" w:rsidRPr="00415CDA">
        <w:rPr>
          <w:rFonts w:eastAsia="Times New Roman" w:cs="Arial"/>
          <w:lang w:eastAsia="ar-SA"/>
        </w:rPr>
        <w:t xml:space="preserve">(Veloso </w:t>
      </w:r>
      <w:r w:rsidR="00D9475A" w:rsidRPr="00415CDA">
        <w:rPr>
          <w:rFonts w:eastAsia="Times New Roman" w:cs="Arial"/>
          <w:i/>
          <w:iCs/>
          <w:lang w:eastAsia="ar-SA"/>
        </w:rPr>
        <w:t>et al.</w:t>
      </w:r>
      <w:r w:rsidR="00D9475A" w:rsidRPr="00415CDA">
        <w:rPr>
          <w:rFonts w:eastAsia="Times New Roman" w:cs="Arial"/>
          <w:lang w:eastAsia="ar-SA"/>
        </w:rPr>
        <w:t>, 1991)</w:t>
      </w:r>
      <w:r w:rsidR="00D9475A" w:rsidRPr="00415CDA">
        <w:rPr>
          <w:rFonts w:eastAsia="Times New Roman" w:cs="Arial"/>
          <w:b/>
          <w:bCs/>
          <w:lang w:eastAsia="ar-SA"/>
        </w:rPr>
        <w:t xml:space="preserve"> –</w:t>
      </w:r>
      <w:r w:rsidR="00D9475A" w:rsidRPr="00415CDA">
        <w:rPr>
          <w:rFonts w:eastAsia="Times New Roman" w:cs="Arial"/>
          <w:lang w:eastAsia="ar-SA"/>
        </w:rPr>
        <w:t xml:space="preserve"> Trata-se de floresta perenifólia que se inicia na crista da Serra do Mar e estende-se para o interior do Planalto Atlântico. Situa-se entre as Florestas Estacionais Semideciduais, típicas do interior do Estado, e as Florestas Ombrófilas que recobrem a Serrania Costeira. O gradiente entre uma ou outra formação depende das variações na precipitação, regime pluviométrico e substrato.</w:t>
      </w:r>
      <w:r w:rsidR="00C023A0" w:rsidRPr="00415CDA">
        <w:rPr>
          <w:rFonts w:eastAsia="Times New Roman" w:cs="Arial"/>
          <w:lang w:eastAsia="ar-SA"/>
        </w:rPr>
        <w:br w:type="page"/>
      </w:r>
    </w:p>
    <w:p w:rsidR="00C023A0" w:rsidRPr="00C023A0" w:rsidRDefault="00C023A0" w:rsidP="00C023A0">
      <w:pPr>
        <w:ind w:left="360"/>
        <w:rPr>
          <w:rFonts w:eastAsia="Times New Roman" w:cs="Arial"/>
          <w:lang w:eastAsia="ar-SA"/>
        </w:rPr>
      </w:pPr>
      <w:r w:rsidRPr="00415CDA">
        <w:rPr>
          <w:b/>
          <w:highlight w:val="yellow"/>
        </w:rPr>
        <w:lastRenderedPageBreak/>
        <w:t>Figura 6.4.</w:t>
      </w:r>
      <w:r w:rsidR="00415CDA" w:rsidRPr="00415CDA">
        <w:rPr>
          <w:b/>
          <w:highlight w:val="yellow"/>
        </w:rPr>
        <w:t>1-</w:t>
      </w:r>
      <w:r w:rsidRPr="00415CDA">
        <w:rPr>
          <w:b/>
          <w:highlight w:val="yellow"/>
        </w:rPr>
        <w:t>1</w:t>
      </w:r>
      <w:r w:rsidR="0026570F">
        <w:rPr>
          <w:b/>
          <w:highlight w:val="yellow"/>
        </w:rPr>
        <w:t>.</w:t>
      </w:r>
      <w:r w:rsidRPr="00415CDA">
        <w:rPr>
          <w:b/>
          <w:highlight w:val="yellow"/>
        </w:rPr>
        <w:t xml:space="preserve"> Vegetação remanescente na Área de Estudo</w:t>
      </w:r>
    </w:p>
    <w:p w:rsidR="00C023A0" w:rsidRDefault="00C023A0">
      <w:pPr>
        <w:spacing w:after="200" w:line="276" w:lineRule="auto"/>
        <w:jc w:val="left"/>
        <w:rPr>
          <w:rFonts w:eastAsia="Times New Roman" w:cs="Arial"/>
          <w:lang w:eastAsia="ar-SA"/>
        </w:rPr>
      </w:pPr>
      <w:r>
        <w:rPr>
          <w:rFonts w:cs="Arial"/>
          <w:bCs/>
          <w:i/>
          <w:iCs/>
        </w:rPr>
        <w:br w:type="page"/>
      </w:r>
    </w:p>
    <w:p w:rsidR="00D9475A" w:rsidRDefault="00D9475A" w:rsidP="00D9475A">
      <w:pPr>
        <w:pStyle w:val="Fonte"/>
        <w:spacing w:before="0"/>
        <w:jc w:val="both"/>
        <w:rPr>
          <w:rFonts w:cs="Arial"/>
          <w:bCs w:val="0"/>
          <w:i w:val="0"/>
          <w:iCs w:val="0"/>
          <w:sz w:val="22"/>
          <w:szCs w:val="22"/>
          <w:lang w:val="pt-BR"/>
        </w:rPr>
      </w:pPr>
      <w:r w:rsidRPr="0069310A">
        <w:rPr>
          <w:rFonts w:cs="Arial"/>
          <w:bCs w:val="0"/>
          <w:i w:val="0"/>
          <w:iCs w:val="0"/>
          <w:sz w:val="22"/>
          <w:szCs w:val="22"/>
          <w:lang w:val="pt-BR"/>
        </w:rPr>
        <w:lastRenderedPageBreak/>
        <w:t>Caracteriza-se pela elevada densidade e heterogeneidade florística e por apresentar três ou mais estratos arbóreos, com elevada riqueza de epífitas e lianas. A vegetação que ocorre na base das encostas apresenta-se bem desenvolvida, constituída por árvores de copas densas de espécies seletivas higrófilas, acompanhadas de espécies indiferentes, enquanto a do meio das encostas é mais heterogênea. No alto das encostas, a vegetação é mais uniforme e menos desenvolvida, devido às condições edáficas menos favoráveis, com solos mais rasos e de rápida drenagem.</w:t>
      </w:r>
    </w:p>
    <w:p w:rsidR="00C71465" w:rsidRDefault="00D9475A" w:rsidP="00C71465">
      <w:pPr>
        <w:pStyle w:val="Fonte"/>
        <w:spacing w:before="0"/>
        <w:jc w:val="both"/>
        <w:rPr>
          <w:rFonts w:cs="Arial"/>
          <w:bCs w:val="0"/>
          <w:i w:val="0"/>
          <w:iCs w:val="0"/>
          <w:sz w:val="22"/>
          <w:szCs w:val="22"/>
          <w:lang w:val="pt-BR"/>
        </w:rPr>
      </w:pPr>
      <w:r w:rsidRPr="0069310A">
        <w:rPr>
          <w:rFonts w:cs="Arial"/>
          <w:bCs w:val="0"/>
          <w:i w:val="0"/>
          <w:iCs w:val="0"/>
          <w:sz w:val="22"/>
          <w:szCs w:val="22"/>
          <w:lang w:val="pt-BR"/>
        </w:rPr>
        <w:t xml:space="preserve">O porte desta floresta, de acordo com Roderjan &amp; Kuniyoshi (1988), pode variar em função das diferenças edáficas localizadas, sendo normalmente mais desenvolvidas aquelas situadas em vales profundos e nos planaltos, atingindo, em média, de 20 a 25 metros de altura. As famílias Lauraceae, Leguminosae, Myrtaceae e Melastomataceae contribuem significativamente para a composição e a fisionomia da Floresta Ombrófila Densa Montana. Estão entre as espécies características desta formação: </w:t>
      </w:r>
      <w:r w:rsidRPr="0069310A">
        <w:rPr>
          <w:rFonts w:cs="Arial"/>
          <w:bCs w:val="0"/>
          <w:sz w:val="22"/>
          <w:szCs w:val="22"/>
          <w:lang w:val="pt-BR"/>
        </w:rPr>
        <w:t xml:space="preserve">Tibouchina </w:t>
      </w:r>
      <w:r w:rsidRPr="0069310A">
        <w:rPr>
          <w:rFonts w:cs="Arial"/>
          <w:bCs w:val="0"/>
          <w:i w:val="0"/>
          <w:sz w:val="22"/>
          <w:szCs w:val="22"/>
          <w:lang w:val="pt-BR"/>
        </w:rPr>
        <w:t>spp.</w:t>
      </w:r>
      <w:r w:rsidRPr="0069310A">
        <w:rPr>
          <w:rFonts w:cs="Arial"/>
          <w:bCs w:val="0"/>
          <w:sz w:val="22"/>
          <w:szCs w:val="22"/>
          <w:lang w:val="pt-BR"/>
        </w:rPr>
        <w:t xml:space="preserve"> </w:t>
      </w:r>
      <w:r w:rsidRPr="0069310A">
        <w:rPr>
          <w:rFonts w:cs="Arial"/>
          <w:bCs w:val="0"/>
          <w:i w:val="0"/>
          <w:iCs w:val="0"/>
          <w:sz w:val="22"/>
          <w:szCs w:val="22"/>
          <w:lang w:val="pt-BR"/>
        </w:rPr>
        <w:t xml:space="preserve">(quaresmeira); </w:t>
      </w:r>
      <w:r w:rsidRPr="0069310A">
        <w:rPr>
          <w:rFonts w:cs="Arial"/>
          <w:bCs w:val="0"/>
          <w:sz w:val="22"/>
          <w:szCs w:val="22"/>
          <w:lang w:val="pt-BR"/>
        </w:rPr>
        <w:t xml:space="preserve">Miconia </w:t>
      </w:r>
      <w:r w:rsidRPr="0069310A">
        <w:rPr>
          <w:rFonts w:cs="Arial"/>
          <w:bCs w:val="0"/>
          <w:i w:val="0"/>
          <w:sz w:val="22"/>
          <w:szCs w:val="22"/>
          <w:lang w:val="pt-BR"/>
        </w:rPr>
        <w:t>spp.</w:t>
      </w:r>
      <w:r w:rsidRPr="0069310A">
        <w:rPr>
          <w:rFonts w:cs="Arial"/>
          <w:bCs w:val="0"/>
          <w:sz w:val="22"/>
          <w:szCs w:val="22"/>
          <w:lang w:val="pt-BR"/>
        </w:rPr>
        <w:t xml:space="preserve"> </w:t>
      </w:r>
      <w:r w:rsidRPr="0069310A">
        <w:rPr>
          <w:rFonts w:cs="Arial"/>
          <w:bCs w:val="0"/>
          <w:i w:val="0"/>
          <w:iCs w:val="0"/>
          <w:sz w:val="22"/>
          <w:szCs w:val="22"/>
          <w:lang w:val="pt-BR"/>
        </w:rPr>
        <w:t>(jacatirão);</w:t>
      </w:r>
      <w:r w:rsidRPr="0069310A">
        <w:rPr>
          <w:rFonts w:cs="Arial"/>
          <w:bCs w:val="0"/>
          <w:sz w:val="22"/>
          <w:szCs w:val="22"/>
          <w:lang w:val="pt-BR"/>
        </w:rPr>
        <w:t xml:space="preserve"> Hieronyma alchorneoides </w:t>
      </w:r>
      <w:r w:rsidRPr="0069310A">
        <w:rPr>
          <w:rFonts w:cs="Arial"/>
          <w:bCs w:val="0"/>
          <w:i w:val="0"/>
          <w:iCs w:val="0"/>
          <w:sz w:val="22"/>
          <w:szCs w:val="22"/>
          <w:lang w:val="pt-BR"/>
        </w:rPr>
        <w:t xml:space="preserve">(licurana); </w:t>
      </w:r>
      <w:r w:rsidRPr="0069310A">
        <w:rPr>
          <w:rFonts w:cs="Arial"/>
          <w:bCs w:val="0"/>
          <w:sz w:val="22"/>
          <w:szCs w:val="22"/>
          <w:lang w:val="pt-BR"/>
        </w:rPr>
        <w:t xml:space="preserve">Alchornea </w:t>
      </w:r>
      <w:r w:rsidRPr="0069310A">
        <w:rPr>
          <w:rFonts w:cs="Arial"/>
          <w:bCs w:val="0"/>
          <w:i w:val="0"/>
          <w:iCs w:val="0"/>
          <w:sz w:val="22"/>
          <w:szCs w:val="22"/>
          <w:lang w:val="pt-BR"/>
        </w:rPr>
        <w:t xml:space="preserve">spp (tapiá); </w:t>
      </w:r>
      <w:r w:rsidRPr="0069310A">
        <w:rPr>
          <w:rFonts w:cs="Arial"/>
          <w:bCs w:val="0"/>
          <w:sz w:val="22"/>
          <w:szCs w:val="22"/>
          <w:lang w:val="pt-BR"/>
        </w:rPr>
        <w:t xml:space="preserve">Nectranda </w:t>
      </w:r>
      <w:r w:rsidRPr="0069310A">
        <w:rPr>
          <w:rFonts w:cs="Arial"/>
          <w:bCs w:val="0"/>
          <w:i w:val="0"/>
          <w:sz w:val="22"/>
          <w:szCs w:val="22"/>
          <w:lang w:val="pt-BR"/>
        </w:rPr>
        <w:t>spp.</w:t>
      </w:r>
      <w:r w:rsidRPr="0069310A">
        <w:rPr>
          <w:rFonts w:cs="Arial"/>
          <w:bCs w:val="0"/>
          <w:i w:val="0"/>
          <w:iCs w:val="0"/>
          <w:sz w:val="22"/>
          <w:szCs w:val="22"/>
          <w:lang w:val="pt-BR"/>
        </w:rPr>
        <w:t xml:space="preserve"> (canela); </w:t>
      </w:r>
      <w:r w:rsidRPr="0069310A">
        <w:rPr>
          <w:rFonts w:cs="Arial"/>
          <w:bCs w:val="0"/>
          <w:sz w:val="22"/>
          <w:szCs w:val="22"/>
          <w:lang w:val="pt-BR"/>
        </w:rPr>
        <w:t>Euterpe edulis</w:t>
      </w:r>
      <w:r w:rsidRPr="0069310A">
        <w:rPr>
          <w:rFonts w:cs="Arial"/>
          <w:bCs w:val="0"/>
          <w:i w:val="0"/>
          <w:iCs w:val="0"/>
          <w:sz w:val="22"/>
          <w:szCs w:val="22"/>
          <w:lang w:val="pt-BR"/>
        </w:rPr>
        <w:t xml:space="preserve"> (palmiteiro-jussara).</w:t>
      </w:r>
    </w:p>
    <w:p w:rsidR="00D9475A" w:rsidRPr="0069310A" w:rsidRDefault="00D9475A" w:rsidP="00C71465">
      <w:pPr>
        <w:pStyle w:val="Fonte"/>
        <w:spacing w:before="0"/>
        <w:jc w:val="both"/>
        <w:rPr>
          <w:rFonts w:cs="Arial"/>
          <w:bCs w:val="0"/>
          <w:i w:val="0"/>
          <w:iCs w:val="0"/>
          <w:sz w:val="22"/>
          <w:szCs w:val="22"/>
          <w:lang w:val="pt-BR"/>
        </w:rPr>
      </w:pPr>
      <w:r w:rsidRPr="0069310A">
        <w:rPr>
          <w:rFonts w:cs="Arial"/>
          <w:bCs w:val="0"/>
          <w:i w:val="0"/>
          <w:iCs w:val="0"/>
          <w:sz w:val="22"/>
          <w:szCs w:val="22"/>
          <w:lang w:val="pt-BR"/>
        </w:rPr>
        <w:t xml:space="preserve">O estrato herbáceo arbustivo é denso e principalmente constituído por espécies dos gêneros </w:t>
      </w:r>
      <w:r w:rsidRPr="0069310A">
        <w:rPr>
          <w:rFonts w:cs="Arial"/>
          <w:bCs w:val="0"/>
          <w:iCs w:val="0"/>
          <w:sz w:val="22"/>
          <w:szCs w:val="22"/>
          <w:lang w:val="pt-BR"/>
        </w:rPr>
        <w:t>Piper, Leandra</w:t>
      </w:r>
      <w:r w:rsidRPr="0069310A">
        <w:rPr>
          <w:rFonts w:cs="Arial"/>
          <w:bCs w:val="0"/>
          <w:i w:val="0"/>
          <w:iCs w:val="0"/>
          <w:sz w:val="22"/>
          <w:szCs w:val="22"/>
          <w:lang w:val="pt-BR"/>
        </w:rPr>
        <w:t xml:space="preserve"> (Marino, 1990). Entre as epífitas, destacam-se os vegetais inferiores (criptógamas), Araceae (</w:t>
      </w:r>
      <w:r w:rsidRPr="0069310A">
        <w:rPr>
          <w:rFonts w:cs="Arial"/>
          <w:bCs w:val="0"/>
          <w:iCs w:val="0"/>
          <w:sz w:val="22"/>
          <w:szCs w:val="22"/>
          <w:lang w:val="pt-BR"/>
        </w:rPr>
        <w:t>Phyllodendrum, Monstera</w:t>
      </w:r>
      <w:r w:rsidRPr="0069310A">
        <w:rPr>
          <w:rFonts w:cs="Arial"/>
          <w:bCs w:val="0"/>
          <w:i w:val="0"/>
          <w:iCs w:val="0"/>
          <w:sz w:val="22"/>
          <w:szCs w:val="22"/>
          <w:lang w:val="pt-BR"/>
        </w:rPr>
        <w:t>), as Bromeliaceae (</w:t>
      </w:r>
      <w:r w:rsidRPr="0069310A">
        <w:rPr>
          <w:rFonts w:cs="Arial"/>
          <w:bCs w:val="0"/>
          <w:iCs w:val="0"/>
          <w:sz w:val="22"/>
          <w:szCs w:val="22"/>
          <w:lang w:val="pt-BR"/>
        </w:rPr>
        <w:t>Vriesea, Aechmaea, Nidularium, Tillandsia</w:t>
      </w:r>
      <w:r w:rsidRPr="0069310A">
        <w:rPr>
          <w:rFonts w:cs="Arial"/>
          <w:bCs w:val="0"/>
          <w:i w:val="0"/>
          <w:iCs w:val="0"/>
          <w:sz w:val="22"/>
          <w:szCs w:val="22"/>
          <w:lang w:val="pt-BR"/>
        </w:rPr>
        <w:t>), as Gesneriaceae (</w:t>
      </w:r>
      <w:r w:rsidRPr="0069310A">
        <w:rPr>
          <w:rFonts w:cs="Arial"/>
          <w:bCs w:val="0"/>
          <w:iCs w:val="0"/>
          <w:sz w:val="22"/>
          <w:szCs w:val="22"/>
          <w:lang w:val="pt-BR"/>
        </w:rPr>
        <w:t>Codonanthe, Nematanthus</w:t>
      </w:r>
      <w:r w:rsidRPr="0069310A">
        <w:rPr>
          <w:rFonts w:cs="Arial"/>
          <w:bCs w:val="0"/>
          <w:i w:val="0"/>
          <w:iCs w:val="0"/>
          <w:sz w:val="22"/>
          <w:szCs w:val="22"/>
          <w:lang w:val="pt-BR"/>
        </w:rPr>
        <w:t>) e Orchidaceae (</w:t>
      </w:r>
      <w:r w:rsidRPr="0069310A">
        <w:rPr>
          <w:rFonts w:cs="Arial"/>
          <w:bCs w:val="0"/>
          <w:iCs w:val="0"/>
          <w:sz w:val="22"/>
          <w:szCs w:val="22"/>
          <w:lang w:val="pt-BR"/>
        </w:rPr>
        <w:t>Cattleya, Oncidium, Brassavola</w:t>
      </w:r>
      <w:r w:rsidRPr="0069310A">
        <w:rPr>
          <w:rFonts w:cs="Arial"/>
          <w:bCs w:val="0"/>
          <w:i w:val="0"/>
          <w:iCs w:val="0"/>
          <w:sz w:val="22"/>
          <w:szCs w:val="22"/>
          <w:lang w:val="pt-BR"/>
        </w:rPr>
        <w:t>) (Fundação SOS Mata Atlântica, 1991).</w:t>
      </w:r>
    </w:p>
    <w:p w:rsidR="00D9475A" w:rsidRPr="0069310A" w:rsidRDefault="00D9475A" w:rsidP="00D9475A">
      <w:pPr>
        <w:rPr>
          <w:rFonts w:eastAsia="Times New Roman" w:cs="Arial"/>
          <w:lang w:eastAsia="ar-SA"/>
        </w:rPr>
      </w:pPr>
      <w:r w:rsidRPr="0069310A">
        <w:rPr>
          <w:rFonts w:eastAsia="Times New Roman" w:cs="Arial"/>
          <w:b/>
          <w:bCs/>
          <w:lang w:eastAsia="ar-SA"/>
        </w:rPr>
        <w:t xml:space="preserve">b) </w:t>
      </w:r>
      <w:r w:rsidRPr="0069310A">
        <w:rPr>
          <w:rFonts w:eastAsia="Times New Roman" w:cs="Arial"/>
          <w:b/>
          <w:bCs/>
          <w:iCs/>
          <w:smallCaps/>
        </w:rPr>
        <w:t>Vegetação Secundária da Floresta Ombrófila Densa Montana</w:t>
      </w:r>
      <w:r w:rsidRPr="0069310A">
        <w:rPr>
          <w:rFonts w:eastAsia="Times New Roman" w:cs="Arial"/>
          <w:b/>
          <w:bCs/>
          <w:lang w:eastAsia="ar-SA"/>
        </w:rPr>
        <w:t xml:space="preserve"> –</w:t>
      </w:r>
      <w:r w:rsidRPr="0069310A">
        <w:rPr>
          <w:rFonts w:eastAsia="Times New Roman" w:cs="Arial"/>
          <w:lang w:eastAsia="ar-SA"/>
        </w:rPr>
        <w:t xml:space="preserve"> Apresenta características semelhantes às descritas para a Floresta Ombrófila Densa Montana, porém a composição de espécies e estrutura será dependente do grau de interferência antrópica e de distúrbios sofridos.</w:t>
      </w:r>
    </w:p>
    <w:p w:rsidR="00D9475A" w:rsidRPr="0069310A" w:rsidRDefault="00D9475A" w:rsidP="00D9475A">
      <w:pPr>
        <w:rPr>
          <w:rFonts w:eastAsia="Times New Roman" w:cs="Arial"/>
          <w:lang w:eastAsia="ar-SA"/>
        </w:rPr>
      </w:pPr>
      <w:r w:rsidRPr="0069310A">
        <w:rPr>
          <w:rFonts w:eastAsia="Times New Roman" w:cs="Arial"/>
          <w:b/>
          <w:bCs/>
          <w:lang w:eastAsia="ar-SA"/>
        </w:rPr>
        <w:t xml:space="preserve">c) </w:t>
      </w:r>
      <w:r w:rsidRPr="0069310A">
        <w:rPr>
          <w:rFonts w:eastAsia="Times New Roman" w:cs="Arial"/>
          <w:b/>
          <w:bCs/>
          <w:iCs/>
          <w:smallCaps/>
        </w:rPr>
        <w:t>Floresta Ombrófila Mista</w:t>
      </w:r>
      <w:r w:rsidRPr="0069310A">
        <w:rPr>
          <w:rFonts w:eastAsia="Times New Roman" w:cs="Arial"/>
          <w:b/>
          <w:bCs/>
          <w:lang w:eastAsia="ar-SA"/>
        </w:rPr>
        <w:t xml:space="preserve"> </w:t>
      </w:r>
      <w:r w:rsidRPr="0069310A">
        <w:rPr>
          <w:rFonts w:eastAsia="Times New Roman" w:cs="Arial"/>
          <w:lang w:eastAsia="ar-SA"/>
        </w:rPr>
        <w:t xml:space="preserve">(Veloso </w:t>
      </w:r>
      <w:r w:rsidRPr="0069310A">
        <w:rPr>
          <w:rFonts w:eastAsia="Times New Roman" w:cs="Arial"/>
          <w:i/>
          <w:iCs/>
          <w:lang w:eastAsia="ar-SA"/>
        </w:rPr>
        <w:t>et al.</w:t>
      </w:r>
      <w:r w:rsidRPr="0069310A">
        <w:rPr>
          <w:rFonts w:eastAsia="Times New Roman" w:cs="Arial"/>
          <w:lang w:eastAsia="ar-SA"/>
        </w:rPr>
        <w:t>, 1991)</w:t>
      </w:r>
      <w:r w:rsidRPr="0069310A">
        <w:rPr>
          <w:rFonts w:eastAsia="Times New Roman" w:cs="Arial"/>
          <w:b/>
          <w:bCs/>
          <w:lang w:eastAsia="ar-SA"/>
        </w:rPr>
        <w:t xml:space="preserve"> –</w:t>
      </w:r>
      <w:r w:rsidRPr="0069310A">
        <w:rPr>
          <w:rFonts w:eastAsia="Times New Roman" w:cs="Arial"/>
          <w:lang w:eastAsia="ar-SA"/>
        </w:rPr>
        <w:t xml:space="preserve"> A Floresta Ombrófila Mista é uma região fitoecológica típica do Sul do Brasil, presente em área contínua nos estados do Rio Grande do Sul, Santa Catarina e Paraná (Veloso, 1992). No entanto, algumas manchas disjuntas são encontradas em áreas de maior altitude na região Sudeste, é o caso do planalto de Campos do Jordão, que se configura como uma paisagem de exceção, inserida em região caracterizada por formações tropicais (Ab'Sáber, 1977). </w:t>
      </w:r>
    </w:p>
    <w:p w:rsidR="00D9475A" w:rsidRPr="0069310A" w:rsidRDefault="00D9475A" w:rsidP="00D9475A">
      <w:pPr>
        <w:rPr>
          <w:rFonts w:eastAsia="Times New Roman" w:cs="Arial"/>
          <w:lang w:eastAsia="ar-SA"/>
        </w:rPr>
      </w:pPr>
      <w:r w:rsidRPr="0069310A">
        <w:rPr>
          <w:rFonts w:eastAsia="Times New Roman" w:cs="Arial"/>
          <w:lang w:eastAsia="ar-SA"/>
        </w:rPr>
        <w:t xml:space="preserve">A partir do Século XX, a exploração madeireira, a substituição da vegetação pela agropecuária e a ampliação das zonas urbanas provocaram a redução da área originalmente ocupada por Floresta Ombrófila Mista. Esse cenário resultou na inclusão do ecossistema na categoria de criticamente ameaçado e sua espécie típica, </w:t>
      </w:r>
      <w:r w:rsidRPr="0069310A">
        <w:rPr>
          <w:rFonts w:eastAsia="Times New Roman" w:cs="Arial"/>
          <w:i/>
          <w:lang w:eastAsia="ar-SA"/>
        </w:rPr>
        <w:t>Araucaria angustifolia</w:t>
      </w:r>
      <w:r w:rsidRPr="0069310A">
        <w:rPr>
          <w:rFonts w:eastAsia="Times New Roman" w:cs="Arial"/>
          <w:lang w:eastAsia="ar-SA"/>
        </w:rPr>
        <w:t xml:space="preserve"> (araucária), considerada em perigo de extinção (Medeiros </w:t>
      </w:r>
      <w:r w:rsidRPr="0069310A">
        <w:rPr>
          <w:rFonts w:eastAsia="Times New Roman" w:cs="Arial"/>
          <w:i/>
          <w:lang w:eastAsia="ar-SA"/>
        </w:rPr>
        <w:t>et al.,</w:t>
      </w:r>
      <w:r w:rsidRPr="0069310A">
        <w:rPr>
          <w:rFonts w:eastAsia="Times New Roman" w:cs="Arial"/>
          <w:lang w:eastAsia="ar-SA"/>
        </w:rPr>
        <w:t xml:space="preserve"> 2005).</w:t>
      </w:r>
    </w:p>
    <w:p w:rsidR="00D9475A" w:rsidRPr="0069310A" w:rsidRDefault="00D9475A" w:rsidP="00D9475A">
      <w:pPr>
        <w:rPr>
          <w:rFonts w:eastAsia="Times New Roman" w:cs="Arial"/>
          <w:lang w:eastAsia="ar-SA"/>
        </w:rPr>
      </w:pPr>
      <w:r w:rsidRPr="0069310A">
        <w:rPr>
          <w:rFonts w:eastAsia="Times New Roman" w:cs="Arial"/>
          <w:lang w:eastAsia="ar-SA"/>
        </w:rPr>
        <w:t xml:space="preserve">O processo de sucessão da Floresta Ombrófila Mista está relacionado com a dinâmica populacional da </w:t>
      </w:r>
      <w:r w:rsidRPr="0069310A">
        <w:rPr>
          <w:rFonts w:eastAsia="Times New Roman" w:cs="Arial"/>
          <w:i/>
          <w:lang w:eastAsia="ar-SA"/>
        </w:rPr>
        <w:t>Araucaria angustifolia</w:t>
      </w:r>
      <w:r w:rsidRPr="0069310A">
        <w:rPr>
          <w:rFonts w:eastAsia="Times New Roman" w:cs="Arial"/>
          <w:lang w:eastAsia="ar-SA"/>
        </w:rPr>
        <w:t xml:space="preserve">. Essa espécie é emergente e determinante da fisionomia da vegetação. O conhecimento sobre a estrutura, composição e dinâmica da Floresta Ombrófila Mista ainda é incipiente, sobretudo para os remanescentes paulistas. Nas áreas disjuntas da região sudeste do Brasil foram realizados estudos florísticos na Serra da Mantiqueira em Minas Gerais (Meireles </w:t>
      </w:r>
      <w:r w:rsidRPr="0069310A">
        <w:rPr>
          <w:rFonts w:eastAsia="Times New Roman" w:cs="Arial"/>
          <w:i/>
          <w:lang w:eastAsia="ar-SA"/>
        </w:rPr>
        <w:t>et al.</w:t>
      </w:r>
      <w:r w:rsidRPr="0069310A">
        <w:rPr>
          <w:rFonts w:eastAsia="Times New Roman" w:cs="Arial"/>
          <w:lang w:eastAsia="ar-SA"/>
        </w:rPr>
        <w:t xml:space="preserve"> 2008) e levantamentos florísticos (Robim </w:t>
      </w:r>
      <w:r w:rsidRPr="0069310A">
        <w:rPr>
          <w:rFonts w:eastAsia="Times New Roman" w:cs="Arial"/>
          <w:i/>
          <w:lang w:eastAsia="ar-SA"/>
        </w:rPr>
        <w:t>et al.</w:t>
      </w:r>
      <w:r w:rsidRPr="0069310A">
        <w:rPr>
          <w:rFonts w:eastAsia="Times New Roman" w:cs="Arial"/>
          <w:lang w:eastAsia="ar-SA"/>
        </w:rPr>
        <w:t xml:space="preserve">, 1990) e fitossociológicos (Los, 2004; Souza </w:t>
      </w:r>
      <w:r w:rsidRPr="0069310A">
        <w:rPr>
          <w:rFonts w:eastAsia="Times New Roman" w:cs="Arial"/>
          <w:i/>
          <w:lang w:eastAsia="ar-SA"/>
        </w:rPr>
        <w:t>et al</w:t>
      </w:r>
      <w:r w:rsidRPr="0069310A">
        <w:rPr>
          <w:rFonts w:eastAsia="Times New Roman" w:cs="Arial"/>
          <w:lang w:eastAsia="ar-SA"/>
        </w:rPr>
        <w:t>., 2012) em São Paulo.</w:t>
      </w:r>
    </w:p>
    <w:p w:rsidR="00D9475A" w:rsidRPr="0069310A" w:rsidRDefault="00D9475A" w:rsidP="00D9475A">
      <w:pPr>
        <w:rPr>
          <w:rFonts w:eastAsia="Times New Roman" w:cs="Arial"/>
          <w:lang w:eastAsia="ar-SA"/>
        </w:rPr>
      </w:pPr>
      <w:r w:rsidRPr="0069310A">
        <w:rPr>
          <w:rFonts w:eastAsia="Times New Roman" w:cs="Arial"/>
          <w:lang w:eastAsia="ar-SA"/>
        </w:rPr>
        <w:t xml:space="preserve">Sua composição florística é fortemente influenciada pelas baixas temperaturas e pela ocorrência regular de geadas no inverno (Roderjan </w:t>
      </w:r>
      <w:r w:rsidRPr="0069310A">
        <w:rPr>
          <w:rFonts w:eastAsia="Times New Roman" w:cs="Arial"/>
          <w:i/>
          <w:lang w:eastAsia="ar-SA"/>
        </w:rPr>
        <w:t>et al.</w:t>
      </w:r>
      <w:r w:rsidRPr="0069310A">
        <w:rPr>
          <w:rFonts w:eastAsia="Times New Roman" w:cs="Arial"/>
          <w:lang w:eastAsia="ar-SA"/>
        </w:rPr>
        <w:t xml:space="preserve">, 2002). Em São Paulo, o clima temperado e a sazonalidade de temperaturas, com incidência de geadas em trechos de elevadas altitudes da Serra da Mantiqueira, permitem a ocorrência de espécies características da Floresta Ombrófila Mista, como é o caso de </w:t>
      </w:r>
      <w:r w:rsidRPr="0069310A">
        <w:rPr>
          <w:rFonts w:eastAsia="Times New Roman" w:cs="Arial"/>
          <w:i/>
          <w:lang w:eastAsia="ar-SA"/>
        </w:rPr>
        <w:t>Araucaria angustifolia, Podocarpus lambertii, Drimys brasiliensis, Ilex theezans e Styrax leprosus</w:t>
      </w:r>
      <w:r w:rsidRPr="0069310A">
        <w:rPr>
          <w:rFonts w:eastAsia="Times New Roman" w:cs="Arial"/>
          <w:lang w:eastAsia="ar-SA"/>
        </w:rPr>
        <w:t xml:space="preserve"> (Jarenkow, 1985; Nascimento </w:t>
      </w:r>
      <w:r w:rsidRPr="0069310A">
        <w:rPr>
          <w:rFonts w:eastAsia="Times New Roman" w:cs="Arial"/>
          <w:i/>
          <w:lang w:eastAsia="ar-SA"/>
        </w:rPr>
        <w:t>et al.</w:t>
      </w:r>
      <w:r w:rsidRPr="0069310A">
        <w:rPr>
          <w:rFonts w:eastAsia="Times New Roman" w:cs="Arial"/>
          <w:lang w:eastAsia="ar-SA"/>
        </w:rPr>
        <w:t xml:space="preserve">, 2001). </w:t>
      </w:r>
    </w:p>
    <w:p w:rsidR="00D9475A" w:rsidRPr="0069310A" w:rsidRDefault="00D9475A" w:rsidP="00D9475A">
      <w:pPr>
        <w:rPr>
          <w:rFonts w:eastAsia="Times New Roman" w:cs="Arial"/>
          <w:lang w:eastAsia="ar-SA"/>
        </w:rPr>
      </w:pPr>
      <w:r w:rsidRPr="0069310A">
        <w:rPr>
          <w:rFonts w:eastAsia="Times New Roman" w:cs="Arial"/>
          <w:lang w:eastAsia="ar-SA"/>
        </w:rPr>
        <w:t xml:space="preserve">Myrtaceae e Lauraceae têm aumento em importância na comunidade de acordo com a maturidade da floresta (Tabarelli &amp; Mantovani, 1999). Já Fabaceae, Meliaceae e Sapindaceae, apresentam tendência de decréscimo de riqueza com o aumento da altitude (Gentry, 1988; Jarenkow &amp; Baptista, 1987). Outra população que merece destaque devido à sua importância </w:t>
      </w:r>
      <w:r w:rsidRPr="0069310A">
        <w:rPr>
          <w:rFonts w:eastAsia="Times New Roman" w:cs="Arial"/>
          <w:lang w:eastAsia="ar-SA"/>
        </w:rPr>
        <w:lastRenderedPageBreak/>
        <w:t xml:space="preserve">para a conservação é a composta por indivíduos de </w:t>
      </w:r>
      <w:r w:rsidRPr="0069310A">
        <w:rPr>
          <w:rFonts w:eastAsia="Times New Roman" w:cs="Arial"/>
          <w:i/>
          <w:lang w:eastAsia="ar-SA"/>
        </w:rPr>
        <w:t>Dicksonia sellowiana</w:t>
      </w:r>
      <w:r w:rsidRPr="0069310A">
        <w:rPr>
          <w:rFonts w:eastAsia="Times New Roman" w:cs="Arial"/>
          <w:lang w:eastAsia="ar-SA"/>
        </w:rPr>
        <w:t xml:space="preserve">, samambaia arborescente conhecida popularmente por "xaxim" e típica de sub-bosque da Floresta Ombrófila Mista. A espécie encontra-se ameaçada devido à exploração econômica no passado para fins de ornamentação e paisagismo. </w:t>
      </w:r>
    </w:p>
    <w:p w:rsidR="00D9475A" w:rsidRPr="0069310A" w:rsidRDefault="00D9475A" w:rsidP="00D9475A">
      <w:pPr>
        <w:rPr>
          <w:rFonts w:eastAsia="Times New Roman" w:cs="Arial"/>
          <w:lang w:eastAsia="ar-SA"/>
        </w:rPr>
      </w:pPr>
      <w:r w:rsidRPr="0069310A">
        <w:rPr>
          <w:rFonts w:eastAsia="Times New Roman" w:cs="Arial"/>
          <w:b/>
          <w:bCs/>
          <w:lang w:eastAsia="ar-SA"/>
        </w:rPr>
        <w:t xml:space="preserve">d) </w:t>
      </w:r>
      <w:r w:rsidRPr="0069310A">
        <w:rPr>
          <w:rFonts w:eastAsia="Times New Roman" w:cs="Arial"/>
          <w:b/>
          <w:bCs/>
          <w:iCs/>
          <w:smallCaps/>
        </w:rPr>
        <w:t>Vegetação Secundária da Floresta Ombrófila Mista</w:t>
      </w:r>
      <w:r w:rsidRPr="0069310A">
        <w:rPr>
          <w:rFonts w:eastAsia="Times New Roman" w:cs="Arial"/>
          <w:b/>
          <w:bCs/>
          <w:lang w:eastAsia="ar-SA"/>
        </w:rPr>
        <w:t xml:space="preserve"> –</w:t>
      </w:r>
      <w:r w:rsidRPr="0069310A">
        <w:rPr>
          <w:rFonts w:eastAsia="Times New Roman" w:cs="Arial"/>
          <w:lang w:eastAsia="ar-SA"/>
        </w:rPr>
        <w:t xml:space="preserve"> Apresenta características semelhantes às descritas para a Floresta Ombrófila Mista, porém a composição de espécies e estrutura será dependente do grau de interferência antrópica e de distúrbios sofridos.</w:t>
      </w:r>
    </w:p>
    <w:p w:rsidR="00D9475A" w:rsidRPr="0069310A" w:rsidRDefault="00D9475A" w:rsidP="00D9475A">
      <w:pPr>
        <w:rPr>
          <w:rFonts w:eastAsia="Times New Roman" w:cs="Arial"/>
          <w:lang w:eastAsia="ar-SA"/>
        </w:rPr>
      </w:pPr>
      <w:r w:rsidRPr="0069310A">
        <w:rPr>
          <w:rFonts w:eastAsia="Times New Roman" w:cs="Arial"/>
          <w:lang w:eastAsia="ar-SA"/>
        </w:rPr>
        <w:t>Na AII, áreas anteriormente ocupadas pela Floresta Ombrófila Densa (</w:t>
      </w:r>
      <w:r w:rsidRPr="0069310A">
        <w:rPr>
          <w:rFonts w:eastAsia="Times New Roman" w:cs="Arial"/>
        </w:rPr>
        <w:t xml:space="preserve">Atlas Biota, 2014), após histórico de perturbações, passaram a apresentar elementos da Floresta Ombrófila Mista, a exemplo de indivíduos esparsos de </w:t>
      </w:r>
      <w:r w:rsidRPr="0069310A">
        <w:rPr>
          <w:rFonts w:eastAsia="Times New Roman" w:cs="Arial"/>
          <w:i/>
        </w:rPr>
        <w:t>Araucaria angustifolia</w:t>
      </w:r>
      <w:r w:rsidRPr="0069310A">
        <w:rPr>
          <w:rFonts w:eastAsia="Times New Roman" w:cs="Arial"/>
        </w:rPr>
        <w:t>, provavelmente por sua relação com a Serra da Mantiqueira onde se destaca a Floresta Ombrófila Mista.</w:t>
      </w:r>
      <w:r w:rsidRPr="0069310A">
        <w:rPr>
          <w:rFonts w:eastAsia="Times New Roman" w:cs="Arial"/>
          <w:lang w:eastAsia="ar-SA"/>
        </w:rPr>
        <w:t xml:space="preserve"> </w:t>
      </w:r>
    </w:p>
    <w:p w:rsidR="00D9475A" w:rsidRPr="0069310A" w:rsidRDefault="00D9475A" w:rsidP="00D9475A">
      <w:pPr>
        <w:rPr>
          <w:rFonts w:cs="Arial"/>
        </w:rPr>
      </w:pPr>
      <w:r w:rsidRPr="0069310A">
        <w:rPr>
          <w:rFonts w:eastAsia="Times New Roman" w:cs="Arial"/>
          <w:lang w:eastAsia="ar-SA"/>
        </w:rPr>
        <w:t>Cabe destacar que as formações da Floresta Ombrófila Mista de ocorrência em AII fazem parte de uma zona de ecótono e apresentam, portanto, características próprias com influência de outras formações vegetais, como a Savana e a Floresta Ombrófila Densa Montana.</w:t>
      </w:r>
      <w:r w:rsidRPr="0069310A">
        <w:rPr>
          <w:rFonts w:cs="Arial"/>
        </w:rPr>
        <w:t xml:space="preserve"> </w:t>
      </w:r>
    </w:p>
    <w:p w:rsidR="00D9475A" w:rsidRPr="0069310A" w:rsidRDefault="00D9475A" w:rsidP="00D9475A">
      <w:pPr>
        <w:rPr>
          <w:rFonts w:eastAsia="Times New Roman" w:cs="Arial"/>
          <w:lang w:eastAsia="ar-SA"/>
        </w:rPr>
      </w:pPr>
      <w:r w:rsidRPr="0069310A">
        <w:rPr>
          <w:rFonts w:eastAsia="Times New Roman" w:cs="Arial"/>
          <w:b/>
          <w:bCs/>
          <w:lang w:eastAsia="ar-SA"/>
        </w:rPr>
        <w:t xml:space="preserve">e) </w:t>
      </w:r>
      <w:r w:rsidRPr="0069310A">
        <w:rPr>
          <w:rFonts w:eastAsia="Times New Roman" w:cs="Arial"/>
          <w:b/>
          <w:bCs/>
          <w:iCs/>
          <w:smallCaps/>
        </w:rPr>
        <w:t>Floresta arbórea/arbustiva-herbácea em Região de Várzea</w:t>
      </w:r>
      <w:r w:rsidRPr="0069310A">
        <w:rPr>
          <w:rFonts w:eastAsia="Times New Roman" w:cs="Arial"/>
          <w:b/>
          <w:bCs/>
          <w:lang w:eastAsia="ar-SA"/>
        </w:rPr>
        <w:t xml:space="preserve"> –</w:t>
      </w:r>
      <w:r w:rsidRPr="0069310A">
        <w:rPr>
          <w:rFonts w:eastAsia="Times New Roman" w:cs="Arial"/>
          <w:lang w:eastAsia="ar-SA"/>
        </w:rPr>
        <w:t xml:space="preserve"> Compreende formações vegetais estabelecidas sobre solos hidromórficos ou aluviais, sujeitas à presença de água superficial em caráter permanente. Ocorrem em várzeas, planícies de inundação, nascentes ou margens de rios ou lagos (Ivanauskas, 1997). Podem ainda ocorrer em baixadas ou depressões onde a saturação hídrica do solo é o resultado do afloramento da água do lençol freático (Toniato </w:t>
      </w:r>
      <w:r w:rsidRPr="0069310A">
        <w:rPr>
          <w:rFonts w:eastAsia="Times New Roman" w:cs="Arial"/>
          <w:i/>
          <w:iCs/>
          <w:lang w:eastAsia="ar-SA"/>
        </w:rPr>
        <w:t>et al.</w:t>
      </w:r>
      <w:r w:rsidRPr="0069310A">
        <w:rPr>
          <w:rFonts w:eastAsia="Times New Roman" w:cs="Arial"/>
          <w:lang w:eastAsia="ar-SA"/>
        </w:rPr>
        <w:t xml:space="preserve"> 1998). </w:t>
      </w:r>
    </w:p>
    <w:p w:rsidR="00D9475A" w:rsidRPr="0069310A" w:rsidRDefault="00D9475A" w:rsidP="00D9475A">
      <w:pPr>
        <w:pStyle w:val="Fonte"/>
        <w:spacing w:before="0"/>
        <w:jc w:val="both"/>
        <w:rPr>
          <w:rFonts w:cs="Arial"/>
          <w:bCs w:val="0"/>
          <w:i w:val="0"/>
          <w:iCs w:val="0"/>
          <w:sz w:val="22"/>
          <w:szCs w:val="22"/>
          <w:lang w:val="pt-BR"/>
        </w:rPr>
      </w:pPr>
      <w:r w:rsidRPr="0069310A">
        <w:rPr>
          <w:rFonts w:cs="Arial"/>
          <w:bCs w:val="0"/>
          <w:i w:val="0"/>
          <w:iCs w:val="0"/>
          <w:sz w:val="22"/>
          <w:szCs w:val="22"/>
          <w:lang w:val="pt-BR"/>
        </w:rPr>
        <w:t>Nas áreas onde a água no solo está distribuída de maneira difusa, permanecendo por um período de tempo mais prolongado, desenvolvem-se as formações campestres, os campos úmidos,</w:t>
      </w:r>
      <w:r w:rsidRPr="0069310A">
        <w:rPr>
          <w:rFonts w:eastAsia="MS Mincho" w:cs="Arial"/>
          <w:bCs w:val="0"/>
          <w:i w:val="0"/>
          <w:sz w:val="22"/>
          <w:szCs w:val="22"/>
          <w:lang w:val="pt-BR"/>
        </w:rPr>
        <w:t xml:space="preserve"> frequentemente chamados de brejo, que muitas vezes apresentam o predomínio de taboas (</w:t>
      </w:r>
      <w:r w:rsidRPr="0069310A">
        <w:rPr>
          <w:rFonts w:eastAsia="MS Mincho" w:cs="Arial"/>
          <w:bCs w:val="0"/>
          <w:sz w:val="22"/>
          <w:szCs w:val="22"/>
          <w:lang w:val="pt-BR"/>
        </w:rPr>
        <w:t>Thypha</w:t>
      </w:r>
      <w:r w:rsidRPr="0069310A">
        <w:rPr>
          <w:rFonts w:eastAsia="MS Mincho" w:cs="Arial"/>
          <w:bCs w:val="0"/>
          <w:i w:val="0"/>
          <w:sz w:val="22"/>
          <w:szCs w:val="22"/>
          <w:lang w:val="pt-BR"/>
        </w:rPr>
        <w:t xml:space="preserve"> sp.), gramíneas e cyperaceas</w:t>
      </w:r>
      <w:r w:rsidRPr="0069310A">
        <w:rPr>
          <w:rFonts w:cs="Arial"/>
          <w:bCs w:val="0"/>
          <w:i w:val="0"/>
          <w:iCs w:val="0"/>
          <w:sz w:val="22"/>
          <w:szCs w:val="22"/>
          <w:lang w:val="pt-BR"/>
        </w:rPr>
        <w:t>. Nas áreas onde a água no solo corre em canais superficiais com certa orientação, tendo, portanto, menores tempos de permanência, desenvolvem-se as formações florestais - Florestas Paludícolas (Rodrigues, 1999).</w:t>
      </w:r>
    </w:p>
    <w:p w:rsidR="00D9475A" w:rsidRPr="0069310A" w:rsidRDefault="00D9475A" w:rsidP="00D9475A">
      <w:pPr>
        <w:pStyle w:val="Fonte"/>
        <w:spacing w:before="0"/>
        <w:jc w:val="both"/>
        <w:rPr>
          <w:rFonts w:cs="Arial"/>
          <w:bCs w:val="0"/>
          <w:i w:val="0"/>
          <w:iCs w:val="0"/>
          <w:sz w:val="22"/>
          <w:szCs w:val="22"/>
          <w:lang w:val="pt-BR"/>
        </w:rPr>
      </w:pPr>
      <w:r w:rsidRPr="0069310A">
        <w:rPr>
          <w:rFonts w:cs="Arial"/>
          <w:bCs w:val="0"/>
          <w:i w:val="0"/>
          <w:iCs w:val="0"/>
          <w:sz w:val="22"/>
          <w:szCs w:val="22"/>
          <w:lang w:val="pt-BR"/>
        </w:rPr>
        <w:t>Em função de sua restrição ambiental e fragmentação natural, apresenta características florísticas, estruturais e fisionômicas muito particulares, o que a diferencia das demais florestas. Caracterizam-se como florestas de baixa diversidade, perenifólias, com dois estratos arbóreos, sendo que o superior atinge até 12 m de altura. Externamente aparentam um aspecto homogêneo, normalmente sem indivíduos emergentes.</w:t>
      </w:r>
    </w:p>
    <w:p w:rsidR="00D9475A" w:rsidRDefault="00D9475A" w:rsidP="00D9475A">
      <w:pPr>
        <w:pStyle w:val="Fonte"/>
        <w:spacing w:before="0"/>
        <w:jc w:val="both"/>
        <w:rPr>
          <w:rFonts w:cs="Arial"/>
          <w:bCs w:val="0"/>
          <w:i w:val="0"/>
          <w:iCs w:val="0"/>
          <w:sz w:val="22"/>
          <w:szCs w:val="22"/>
          <w:lang w:val="pt-BR"/>
        </w:rPr>
      </w:pPr>
      <w:r w:rsidRPr="0069310A">
        <w:rPr>
          <w:rFonts w:cs="Arial"/>
          <w:bCs w:val="0"/>
          <w:i w:val="0"/>
          <w:iCs w:val="0"/>
          <w:sz w:val="22"/>
          <w:szCs w:val="22"/>
          <w:lang w:val="pt-BR"/>
        </w:rPr>
        <w:t>Segundo Rodrigues (1999) encontram-se nas áreas florestais espécies como: cedro-do-brejo (</w:t>
      </w:r>
      <w:r w:rsidRPr="0069310A">
        <w:rPr>
          <w:rFonts w:cs="Arial"/>
          <w:bCs w:val="0"/>
          <w:sz w:val="22"/>
          <w:szCs w:val="22"/>
          <w:lang w:val="pt-BR"/>
        </w:rPr>
        <w:t>Cedrela odorata</w:t>
      </w:r>
      <w:r w:rsidRPr="0069310A">
        <w:rPr>
          <w:rFonts w:cs="Arial"/>
          <w:bCs w:val="0"/>
          <w:i w:val="0"/>
          <w:iCs w:val="0"/>
          <w:sz w:val="22"/>
          <w:szCs w:val="22"/>
          <w:lang w:val="pt-BR"/>
        </w:rPr>
        <w:t>), embaúba (</w:t>
      </w:r>
      <w:r w:rsidRPr="0069310A">
        <w:rPr>
          <w:rFonts w:cs="Arial"/>
          <w:bCs w:val="0"/>
          <w:sz w:val="22"/>
          <w:szCs w:val="22"/>
          <w:lang w:val="pt-BR"/>
        </w:rPr>
        <w:t>Cecropia pachystachya</w:t>
      </w:r>
      <w:r w:rsidRPr="0069310A">
        <w:rPr>
          <w:rFonts w:cs="Arial"/>
          <w:bCs w:val="0"/>
          <w:i w:val="0"/>
          <w:iCs w:val="0"/>
          <w:sz w:val="22"/>
          <w:szCs w:val="22"/>
          <w:lang w:val="pt-BR"/>
        </w:rPr>
        <w:t>), peito-de-pombo (</w:t>
      </w:r>
      <w:r w:rsidRPr="0069310A">
        <w:rPr>
          <w:rFonts w:cs="Arial"/>
          <w:bCs w:val="0"/>
          <w:sz w:val="22"/>
          <w:szCs w:val="22"/>
          <w:lang w:val="pt-BR"/>
        </w:rPr>
        <w:t>Tapirira guianensis</w:t>
      </w:r>
      <w:r w:rsidRPr="0069310A">
        <w:rPr>
          <w:rFonts w:cs="Arial"/>
          <w:bCs w:val="0"/>
          <w:i w:val="0"/>
          <w:iCs w:val="0"/>
          <w:sz w:val="22"/>
          <w:szCs w:val="22"/>
          <w:lang w:val="pt-BR"/>
        </w:rPr>
        <w:t>), figueira (</w:t>
      </w:r>
      <w:r w:rsidRPr="0069310A">
        <w:rPr>
          <w:rFonts w:cs="Arial"/>
          <w:bCs w:val="0"/>
          <w:sz w:val="22"/>
          <w:szCs w:val="22"/>
          <w:lang w:val="pt-BR"/>
        </w:rPr>
        <w:t xml:space="preserve">Ficus </w:t>
      </w:r>
      <w:r w:rsidRPr="0069310A">
        <w:rPr>
          <w:rFonts w:cs="Arial"/>
          <w:bCs w:val="0"/>
          <w:i w:val="0"/>
          <w:sz w:val="22"/>
          <w:szCs w:val="22"/>
          <w:lang w:val="pt-BR"/>
        </w:rPr>
        <w:t>spp</w:t>
      </w:r>
      <w:r w:rsidR="00F0571B">
        <w:rPr>
          <w:rFonts w:cs="Arial"/>
          <w:bCs w:val="0"/>
          <w:i w:val="0"/>
          <w:iCs w:val="0"/>
          <w:sz w:val="22"/>
          <w:szCs w:val="22"/>
          <w:lang w:val="pt-BR"/>
        </w:rPr>
        <w:t>). O sub</w:t>
      </w:r>
      <w:r w:rsidRPr="0069310A">
        <w:rPr>
          <w:rFonts w:cs="Arial"/>
          <w:bCs w:val="0"/>
          <w:i w:val="0"/>
          <w:iCs w:val="0"/>
          <w:sz w:val="22"/>
          <w:szCs w:val="22"/>
          <w:lang w:val="pt-BR"/>
        </w:rPr>
        <w:t>dossel apresenta-se com uma altura de 4-10 m, apresentando espécies como capororoca (</w:t>
      </w:r>
      <w:r w:rsidRPr="0069310A">
        <w:rPr>
          <w:rFonts w:cs="Arial"/>
          <w:bCs w:val="0"/>
          <w:sz w:val="22"/>
          <w:szCs w:val="22"/>
          <w:lang w:val="pt-BR"/>
        </w:rPr>
        <w:t xml:space="preserve">Myrsine </w:t>
      </w:r>
      <w:r w:rsidRPr="0069310A">
        <w:rPr>
          <w:rFonts w:cs="Arial"/>
          <w:bCs w:val="0"/>
          <w:i w:val="0"/>
          <w:sz w:val="22"/>
          <w:szCs w:val="22"/>
          <w:lang w:val="pt-BR"/>
        </w:rPr>
        <w:t>spp.</w:t>
      </w:r>
      <w:r w:rsidRPr="0069310A">
        <w:rPr>
          <w:rFonts w:cs="Arial"/>
          <w:bCs w:val="0"/>
          <w:i w:val="0"/>
          <w:iCs w:val="0"/>
          <w:sz w:val="22"/>
          <w:szCs w:val="22"/>
          <w:lang w:val="pt-BR"/>
        </w:rPr>
        <w:t>), marinheiro (</w:t>
      </w:r>
      <w:r w:rsidRPr="0069310A">
        <w:rPr>
          <w:rFonts w:cs="Arial"/>
          <w:bCs w:val="0"/>
          <w:sz w:val="22"/>
          <w:szCs w:val="22"/>
          <w:lang w:val="pt-BR"/>
        </w:rPr>
        <w:t>Guarea guidonia</w:t>
      </w:r>
      <w:r w:rsidRPr="0069310A">
        <w:rPr>
          <w:rFonts w:cs="Arial"/>
          <w:bCs w:val="0"/>
          <w:i w:val="0"/>
          <w:iCs w:val="0"/>
          <w:sz w:val="22"/>
          <w:szCs w:val="22"/>
          <w:lang w:val="pt-BR"/>
        </w:rPr>
        <w:t>) e aroeira (</w:t>
      </w:r>
      <w:r w:rsidRPr="0069310A">
        <w:rPr>
          <w:rFonts w:cs="Arial"/>
          <w:bCs w:val="0"/>
          <w:sz w:val="22"/>
          <w:szCs w:val="22"/>
          <w:lang w:val="pt-BR"/>
        </w:rPr>
        <w:t>Schinus terebinthifolius</w:t>
      </w:r>
      <w:r w:rsidRPr="0069310A">
        <w:rPr>
          <w:rFonts w:cs="Arial"/>
          <w:bCs w:val="0"/>
          <w:i w:val="0"/>
          <w:iCs w:val="0"/>
          <w:sz w:val="22"/>
          <w:szCs w:val="22"/>
          <w:lang w:val="pt-BR"/>
        </w:rPr>
        <w:t>). O sub-bosque é formado por arbustos como os da família Piperaceae (</w:t>
      </w:r>
      <w:r w:rsidRPr="0069310A">
        <w:rPr>
          <w:rFonts w:cs="Arial"/>
          <w:bCs w:val="0"/>
          <w:sz w:val="22"/>
          <w:szCs w:val="22"/>
          <w:lang w:val="pt-BR"/>
        </w:rPr>
        <w:t>Piper aduncum</w:t>
      </w:r>
      <w:r w:rsidRPr="0069310A">
        <w:rPr>
          <w:rFonts w:cs="Arial"/>
          <w:bCs w:val="0"/>
          <w:i w:val="0"/>
          <w:iCs w:val="0"/>
          <w:sz w:val="22"/>
          <w:szCs w:val="22"/>
          <w:lang w:val="pt-BR"/>
        </w:rPr>
        <w:t xml:space="preserve"> e </w:t>
      </w:r>
      <w:r w:rsidRPr="0069310A">
        <w:rPr>
          <w:rFonts w:cs="Arial"/>
          <w:bCs w:val="0"/>
          <w:sz w:val="22"/>
          <w:szCs w:val="22"/>
          <w:lang w:val="pt-BR"/>
        </w:rPr>
        <w:t>P. arboreum</w:t>
      </w:r>
      <w:r w:rsidRPr="0069310A">
        <w:rPr>
          <w:rFonts w:cs="Arial"/>
          <w:bCs w:val="0"/>
          <w:i w:val="0"/>
          <w:iCs w:val="0"/>
          <w:sz w:val="22"/>
          <w:szCs w:val="22"/>
          <w:lang w:val="pt-BR"/>
        </w:rPr>
        <w:t>) e Melastomataceae (</w:t>
      </w:r>
      <w:r w:rsidRPr="0069310A">
        <w:rPr>
          <w:rFonts w:cs="Arial"/>
          <w:bCs w:val="0"/>
          <w:sz w:val="22"/>
          <w:szCs w:val="22"/>
          <w:lang w:val="pt-BR"/>
        </w:rPr>
        <w:t xml:space="preserve">Miconia </w:t>
      </w:r>
      <w:r w:rsidRPr="0069310A">
        <w:rPr>
          <w:rFonts w:cs="Arial"/>
          <w:bCs w:val="0"/>
          <w:i w:val="0"/>
          <w:sz w:val="22"/>
          <w:szCs w:val="22"/>
          <w:lang w:val="pt-BR"/>
        </w:rPr>
        <w:t>spp.</w:t>
      </w:r>
      <w:r w:rsidRPr="0069310A">
        <w:rPr>
          <w:rFonts w:cs="Arial"/>
          <w:bCs w:val="0"/>
          <w:i w:val="0"/>
          <w:iCs w:val="0"/>
          <w:sz w:val="22"/>
          <w:szCs w:val="22"/>
          <w:lang w:val="pt-BR"/>
        </w:rPr>
        <w:t xml:space="preserve">). </w:t>
      </w:r>
    </w:p>
    <w:p w:rsidR="00D9475A" w:rsidRPr="0069310A" w:rsidRDefault="00D9475A" w:rsidP="00D116D7">
      <w:pPr>
        <w:pStyle w:val="Ttulo4"/>
      </w:pPr>
      <w:bookmarkStart w:id="59" w:name="_Toc411871194"/>
      <w:r w:rsidRPr="0069310A">
        <w:t>Estudos Florísticos Anteriores Desenvolvidos para a AII</w:t>
      </w:r>
      <w:bookmarkEnd w:id="59"/>
    </w:p>
    <w:p w:rsidR="00D9475A" w:rsidRPr="0069310A" w:rsidRDefault="00D9475A" w:rsidP="00D9475A">
      <w:pPr>
        <w:pStyle w:val="Fonte"/>
        <w:jc w:val="both"/>
        <w:rPr>
          <w:rFonts w:eastAsia="SimSun" w:cs="Arial"/>
          <w:bCs w:val="0"/>
          <w:i w:val="0"/>
          <w:iCs w:val="0"/>
          <w:sz w:val="22"/>
          <w:szCs w:val="22"/>
          <w:lang w:val="pt-BR"/>
        </w:rPr>
      </w:pPr>
      <w:r w:rsidRPr="0069310A">
        <w:rPr>
          <w:rFonts w:cs="Arial"/>
          <w:bCs w:val="0"/>
          <w:i w:val="0"/>
          <w:iCs w:val="0"/>
          <w:sz w:val="22"/>
          <w:szCs w:val="22"/>
          <w:lang w:val="pt-BR"/>
        </w:rPr>
        <w:t>Considerando-se a representatividade ambiental do Parque Itaberaba, evidenciada a partir de levantamentos citados em literatura, relata-se, a seguir, uma compilação de informações obtidas em estudos realizados nessa área para criação do sistema de áreas protegidas do contínuo da Cantareira: Serras do Itaberaba e Itapetinga (Fundação Florestal, 2010</w:t>
      </w:r>
      <w:r w:rsidRPr="0069310A">
        <w:rPr>
          <w:rFonts w:eastAsia="SimSun" w:cs="Arial"/>
          <w:bCs w:val="0"/>
          <w:i w:val="0"/>
          <w:iCs w:val="0"/>
          <w:sz w:val="22"/>
          <w:szCs w:val="22"/>
          <w:lang w:val="pt-BR"/>
        </w:rPr>
        <w:t xml:space="preserve">), com resultados que servem de base para caracterização da vegetação designada como Floresta Ombrófila Densa, presente na AII </w:t>
      </w:r>
      <w:r w:rsidRPr="0069310A">
        <w:rPr>
          <w:rStyle w:val="NormalDestaque"/>
          <w:rFonts w:cs="Arial"/>
          <w:b w:val="0"/>
          <w:i w:val="0"/>
          <w:color w:val="auto"/>
          <w:sz w:val="22"/>
          <w:szCs w:val="22"/>
          <w:lang w:val="pt-BR"/>
        </w:rPr>
        <w:t>da Interligação Jaguari Atibainha</w:t>
      </w:r>
      <w:r w:rsidRPr="0069310A">
        <w:rPr>
          <w:rFonts w:eastAsia="SimSun" w:cs="Arial"/>
          <w:bCs w:val="0"/>
          <w:i w:val="0"/>
          <w:iCs w:val="0"/>
          <w:sz w:val="22"/>
          <w:szCs w:val="22"/>
          <w:lang w:val="pt-BR"/>
        </w:rPr>
        <w:t>.</w:t>
      </w:r>
    </w:p>
    <w:p w:rsidR="00D9475A" w:rsidRPr="0069310A" w:rsidRDefault="00D9475A" w:rsidP="00D9475A">
      <w:pPr>
        <w:rPr>
          <w:rFonts w:eastAsia="MS Mincho" w:cs="Arial"/>
          <w:bCs/>
        </w:rPr>
      </w:pPr>
      <w:r w:rsidRPr="0069310A">
        <w:rPr>
          <w:rFonts w:eastAsia="MS Mincho" w:cs="Arial"/>
          <w:bCs/>
        </w:rPr>
        <w:t xml:space="preserve">O levantamento foi desenvolvido nas Serras de Itaberaba e de Itapetinga, em região montanhosa, entre altitudes que variam de 660 m a 1420 m, próximo da latitude de 23° S, sendo a floresta classificada como Floresta Ombrófila Densa (FOD). Os fragmentos visitados são remanescentes de uma floresta contínua que sofreu alterações entre 20 a 80 anos atrás, resultando em formações secundárias de floresta ombrófila densa, de idades distintas e em gradientes sucessionais de estádio médio. </w:t>
      </w:r>
    </w:p>
    <w:p w:rsidR="00D9475A" w:rsidRPr="0069310A" w:rsidRDefault="00D9475A" w:rsidP="00D9475A">
      <w:pPr>
        <w:rPr>
          <w:rFonts w:eastAsia="MS Mincho" w:cs="Arial"/>
          <w:bCs/>
        </w:rPr>
      </w:pPr>
      <w:r w:rsidRPr="0069310A">
        <w:rPr>
          <w:rFonts w:eastAsia="MS Mincho" w:cs="Arial"/>
          <w:bCs/>
        </w:rPr>
        <w:lastRenderedPageBreak/>
        <w:t>Nestes levantamentos, foram amostradas 223 espécies arbóreas, pertencentes a 136 gêneros e 57 famílias sendo 33 morfo-espécies classificadas até gênero e 6 espécies exóticas. Deste total, apenas 12 famílias apresentaram 5 ou mais espécies: Fabaceae (29 espécies), Myrtaceae (23), Lauraceae e Melastomataceae (14), Rubiaceae (12), Euphorbiaceae (11), Meliaceae, Sapindaceae e Asteraceae (7), e Moraceae, Solanaceae e Urticaceae, cada uma com 5 espécies, totalizando 63% das espécies nativas registradas.</w:t>
      </w:r>
    </w:p>
    <w:p w:rsidR="00D9475A" w:rsidRPr="0069310A" w:rsidRDefault="00D9475A" w:rsidP="00D9475A">
      <w:pPr>
        <w:rPr>
          <w:rFonts w:eastAsia="MS Mincho" w:cs="Arial"/>
          <w:bCs/>
        </w:rPr>
      </w:pPr>
      <w:r w:rsidRPr="0069310A">
        <w:rPr>
          <w:rFonts w:eastAsia="MS Mincho" w:cs="Arial"/>
          <w:bCs/>
        </w:rPr>
        <w:t xml:space="preserve">Ocorreram em abundância espécies pioneiras e secundárias iniciais como </w:t>
      </w:r>
      <w:r w:rsidRPr="0069310A">
        <w:rPr>
          <w:rFonts w:eastAsia="MS Mincho" w:cs="Arial"/>
          <w:bCs/>
          <w:i/>
        </w:rPr>
        <w:t>Croton macrobothrys, Croton floribundus, Alchornea triplinervia, Alchornea sidifolia, Inga sessilis, Cupania oblongifolia, Cordia sellowiana, Casearia sylvestris, Machaerium nyctitans, Machaerium villosum, Campomanesia guazumifolia, Miconia cinnamomifolia, Prunus myrtifolia, Piptadenia gonoacantha, Nectandra oppositifolia, Ocotea puberula, Luehea grandiflora, Pera glabrata</w:t>
      </w:r>
      <w:r w:rsidRPr="0069310A">
        <w:rPr>
          <w:rFonts w:eastAsia="MS Mincho" w:cs="Arial"/>
          <w:bCs/>
        </w:rPr>
        <w:t xml:space="preserve">, e </w:t>
      </w:r>
      <w:r w:rsidRPr="0069310A">
        <w:rPr>
          <w:rFonts w:eastAsia="MS Mincho" w:cs="Arial"/>
          <w:bCs/>
          <w:i/>
        </w:rPr>
        <w:t>Vochysia magnifica</w:t>
      </w:r>
      <w:r w:rsidRPr="0069310A">
        <w:rPr>
          <w:rFonts w:eastAsia="MS Mincho" w:cs="Arial"/>
          <w:bCs/>
        </w:rPr>
        <w:t>.</w:t>
      </w:r>
    </w:p>
    <w:p w:rsidR="00D9475A" w:rsidRPr="0069310A" w:rsidRDefault="00D9475A" w:rsidP="00D9475A">
      <w:pPr>
        <w:rPr>
          <w:rFonts w:eastAsia="MS Mincho" w:cs="Arial"/>
          <w:bCs/>
        </w:rPr>
      </w:pPr>
      <w:r w:rsidRPr="0069310A">
        <w:rPr>
          <w:rFonts w:eastAsia="MS Mincho" w:cs="Arial"/>
          <w:bCs/>
        </w:rPr>
        <w:t xml:space="preserve">Embora a maioria das espécies arbóreas seja comum em trechos secundários, também foi amostrado o maior número de espécies tardias, que podem ser utilizadas como indicadoras de qualidade dos ecossistemas (Mamede &amp; Durigan, 2006) e que estão presentes em pelo menos três dos cinco sítios. Entre elas, pode-se citar a Lauraceae </w:t>
      </w:r>
      <w:r w:rsidRPr="0069310A">
        <w:rPr>
          <w:rFonts w:eastAsia="MS Mincho" w:cs="Arial"/>
          <w:bCs/>
          <w:i/>
        </w:rPr>
        <w:t>Endlicheria paniculata</w:t>
      </w:r>
      <w:r w:rsidRPr="0069310A">
        <w:rPr>
          <w:rFonts w:eastAsia="MS Mincho" w:cs="Arial"/>
          <w:bCs/>
        </w:rPr>
        <w:t xml:space="preserve">, a Moraceae </w:t>
      </w:r>
      <w:r w:rsidRPr="0069310A">
        <w:rPr>
          <w:rFonts w:eastAsia="MS Mincho" w:cs="Arial"/>
          <w:bCs/>
          <w:i/>
        </w:rPr>
        <w:t>Ficus insipida</w:t>
      </w:r>
      <w:r w:rsidRPr="0069310A">
        <w:rPr>
          <w:rFonts w:eastAsia="MS Mincho" w:cs="Arial"/>
          <w:bCs/>
        </w:rPr>
        <w:t xml:space="preserve"> e as Rubiacea </w:t>
      </w:r>
      <w:r w:rsidRPr="0069310A">
        <w:rPr>
          <w:rFonts w:eastAsia="MS Mincho" w:cs="Arial"/>
          <w:bCs/>
          <w:i/>
        </w:rPr>
        <w:t>Posoqueria acutifolia</w:t>
      </w:r>
      <w:r w:rsidRPr="0069310A">
        <w:rPr>
          <w:rFonts w:eastAsia="MS Mincho" w:cs="Arial"/>
          <w:bCs/>
        </w:rPr>
        <w:t>,</w:t>
      </w:r>
      <w:r w:rsidRPr="0069310A">
        <w:rPr>
          <w:rFonts w:eastAsia="MS Mincho" w:cs="Arial"/>
          <w:bCs/>
          <w:i/>
        </w:rPr>
        <w:t xml:space="preserve"> Psychotria suterella</w:t>
      </w:r>
      <w:r w:rsidRPr="0069310A">
        <w:rPr>
          <w:rFonts w:eastAsia="MS Mincho" w:cs="Arial"/>
          <w:bCs/>
        </w:rPr>
        <w:t xml:space="preserve"> e </w:t>
      </w:r>
      <w:r w:rsidRPr="0069310A">
        <w:rPr>
          <w:rFonts w:eastAsia="MS Mincho" w:cs="Arial"/>
          <w:bCs/>
          <w:i/>
        </w:rPr>
        <w:t>Psychotria vellosiana</w:t>
      </w:r>
      <w:r w:rsidRPr="0069310A">
        <w:rPr>
          <w:rFonts w:eastAsia="MS Mincho" w:cs="Arial"/>
          <w:bCs/>
        </w:rPr>
        <w:t>.</w:t>
      </w:r>
    </w:p>
    <w:p w:rsidR="00D9475A" w:rsidRPr="0069310A" w:rsidRDefault="00D9475A" w:rsidP="00D9475A">
      <w:pPr>
        <w:rPr>
          <w:rFonts w:eastAsia="MS Mincho" w:cs="Arial"/>
          <w:bCs/>
        </w:rPr>
      </w:pPr>
      <w:r w:rsidRPr="0069310A">
        <w:rPr>
          <w:rFonts w:eastAsia="MS Mincho" w:cs="Arial"/>
          <w:bCs/>
        </w:rPr>
        <w:t xml:space="preserve">Especificamente no Ponto amostral 3, na Serra de Itapetinga, foram amostradas outras espécies características de estádios sucessionais mais avançados, representadas por </w:t>
      </w:r>
      <w:r w:rsidRPr="0069310A">
        <w:rPr>
          <w:rFonts w:eastAsia="MS Mincho" w:cs="Arial"/>
          <w:bCs/>
          <w:i/>
        </w:rPr>
        <w:t>Cariniana estrellensis, Heisteria silvianni, Aspidosperma olivaceum</w:t>
      </w:r>
      <w:r w:rsidRPr="0069310A">
        <w:rPr>
          <w:rFonts w:eastAsia="MS Mincho" w:cs="Arial"/>
          <w:bCs/>
        </w:rPr>
        <w:t xml:space="preserve"> e </w:t>
      </w:r>
      <w:r w:rsidRPr="0069310A">
        <w:rPr>
          <w:rFonts w:eastAsia="MS Mincho" w:cs="Arial"/>
          <w:bCs/>
          <w:i/>
        </w:rPr>
        <w:t xml:space="preserve">Cryptocarya aschersoniana, </w:t>
      </w:r>
      <w:r w:rsidRPr="0069310A">
        <w:rPr>
          <w:rFonts w:eastAsia="MS Mincho" w:cs="Arial"/>
          <w:bCs/>
        </w:rPr>
        <w:t>confirmando a importância ambiental dessa região.</w:t>
      </w:r>
    </w:p>
    <w:p w:rsidR="00D9475A" w:rsidRPr="0069310A" w:rsidRDefault="00D9475A" w:rsidP="00D9475A">
      <w:pPr>
        <w:rPr>
          <w:rFonts w:eastAsia="MS Mincho" w:cs="Arial"/>
          <w:bCs/>
        </w:rPr>
      </w:pPr>
      <w:r w:rsidRPr="0069310A">
        <w:rPr>
          <w:rFonts w:eastAsia="MS Mincho" w:cs="Arial"/>
          <w:bCs/>
        </w:rPr>
        <w:t xml:space="preserve">Para a região da represa Jaguari existe o levantamento realizado para implantação da RPPN Rio dos Pilões, criada em 1999, com área total de 407 hectares, localizada no município de Santa Isabel. Entre as espécies arbóreas com maior número de indivíduos amostrados, estiveram: </w:t>
      </w:r>
      <w:r w:rsidRPr="0069310A">
        <w:rPr>
          <w:rFonts w:eastAsia="MS Mincho" w:cs="Arial"/>
          <w:bCs/>
          <w:i/>
        </w:rPr>
        <w:t>Myrcia splendens</w:t>
      </w:r>
      <w:r w:rsidRPr="0069310A">
        <w:rPr>
          <w:rFonts w:eastAsia="MS Mincho" w:cs="Arial"/>
          <w:bCs/>
        </w:rPr>
        <w:t xml:space="preserve"> (guamirim), </w:t>
      </w:r>
      <w:r w:rsidRPr="0069310A">
        <w:rPr>
          <w:rFonts w:eastAsia="MS Mincho" w:cs="Arial"/>
          <w:bCs/>
          <w:i/>
        </w:rPr>
        <w:t>Protium heptaphyllum</w:t>
      </w:r>
      <w:r w:rsidRPr="0069310A">
        <w:rPr>
          <w:rFonts w:eastAsia="MS Mincho" w:cs="Arial"/>
          <w:bCs/>
        </w:rPr>
        <w:t xml:space="preserve"> (almecega), </w:t>
      </w:r>
      <w:r w:rsidRPr="0069310A">
        <w:rPr>
          <w:rFonts w:eastAsia="MS Mincho" w:cs="Arial"/>
          <w:bCs/>
          <w:i/>
        </w:rPr>
        <w:t>Clethra scabra</w:t>
      </w:r>
      <w:r w:rsidRPr="0069310A">
        <w:rPr>
          <w:rFonts w:eastAsia="MS Mincho" w:cs="Arial"/>
          <w:bCs/>
        </w:rPr>
        <w:t xml:space="preserve"> (vassourão), </w:t>
      </w:r>
      <w:r w:rsidRPr="0069310A">
        <w:rPr>
          <w:rFonts w:eastAsia="MS Mincho" w:cs="Arial"/>
          <w:bCs/>
          <w:i/>
        </w:rPr>
        <w:t>Andira anthelmia</w:t>
      </w:r>
      <w:r w:rsidRPr="0069310A">
        <w:rPr>
          <w:rFonts w:eastAsia="MS Mincho" w:cs="Arial"/>
          <w:bCs/>
        </w:rPr>
        <w:t xml:space="preserve"> (angelim), </w:t>
      </w:r>
      <w:r w:rsidRPr="0069310A">
        <w:rPr>
          <w:rFonts w:eastAsia="MS Mincho" w:cs="Arial"/>
          <w:bCs/>
          <w:i/>
        </w:rPr>
        <w:t>Machaerium brasiliense</w:t>
      </w:r>
      <w:r w:rsidRPr="0069310A">
        <w:rPr>
          <w:rFonts w:eastAsia="MS Mincho" w:cs="Arial"/>
          <w:bCs/>
        </w:rPr>
        <w:t xml:space="preserve">, </w:t>
      </w:r>
      <w:r w:rsidRPr="0069310A">
        <w:rPr>
          <w:rFonts w:eastAsia="MS Mincho" w:cs="Arial"/>
          <w:bCs/>
          <w:i/>
        </w:rPr>
        <w:t>Machaerium villosum</w:t>
      </w:r>
      <w:r w:rsidRPr="0069310A">
        <w:rPr>
          <w:rFonts w:eastAsia="MS Mincho" w:cs="Arial"/>
          <w:bCs/>
        </w:rPr>
        <w:t xml:space="preserve"> (jacarandá-paulista), </w:t>
      </w:r>
      <w:r w:rsidRPr="0069310A">
        <w:rPr>
          <w:rFonts w:eastAsia="MS Mincho" w:cs="Arial"/>
          <w:bCs/>
          <w:i/>
        </w:rPr>
        <w:t>Endlicheria paniculata</w:t>
      </w:r>
      <w:r w:rsidRPr="0069310A">
        <w:rPr>
          <w:rFonts w:eastAsia="MS Mincho" w:cs="Arial"/>
          <w:bCs/>
        </w:rPr>
        <w:t xml:space="preserve"> (canela-peluda) e </w:t>
      </w:r>
      <w:r w:rsidRPr="0069310A">
        <w:rPr>
          <w:rFonts w:eastAsia="MS Mincho" w:cs="Arial"/>
          <w:bCs/>
          <w:i/>
        </w:rPr>
        <w:t>Cupania vernalis</w:t>
      </w:r>
      <w:r w:rsidRPr="0069310A">
        <w:rPr>
          <w:rFonts w:eastAsia="MS Mincho" w:cs="Arial"/>
          <w:bCs/>
        </w:rPr>
        <w:t xml:space="preserve"> (camboatã).</w:t>
      </w:r>
    </w:p>
    <w:p w:rsidR="00D9475A" w:rsidRPr="0069310A" w:rsidRDefault="00D9475A" w:rsidP="009F6719">
      <w:pPr>
        <w:pStyle w:val="Ttulo3"/>
      </w:pPr>
      <w:bookmarkStart w:id="60" w:name="_Toc411871195"/>
      <w:r w:rsidRPr="0069310A">
        <w:t>Vegetação na AID e ADA. Levantamentos Fitofisionômico e Florístico</w:t>
      </w:r>
      <w:bookmarkEnd w:id="60"/>
    </w:p>
    <w:p w:rsidR="00D9475A" w:rsidRPr="0069310A" w:rsidRDefault="00D9475A" w:rsidP="009F6719">
      <w:pPr>
        <w:pStyle w:val="Ttulo4"/>
      </w:pPr>
      <w:bookmarkStart w:id="61" w:name="_Toc411871196"/>
      <w:r w:rsidRPr="0069310A">
        <w:rPr>
          <w:rStyle w:val="NormalDestaque"/>
          <w:b/>
          <w:bCs/>
          <w:color w:val="auto"/>
        </w:rPr>
        <w:t>Metodologia dos Estudos de Flora para a AID e ADA</w:t>
      </w:r>
      <w:bookmarkEnd w:id="61"/>
    </w:p>
    <w:p w:rsidR="00D9475A" w:rsidRPr="0069310A" w:rsidRDefault="00D9475A" w:rsidP="00D9475A">
      <w:pPr>
        <w:rPr>
          <w:rStyle w:val="NormalDestaque"/>
          <w:rFonts w:cs="Arial"/>
          <w:b w:val="0"/>
          <w:color w:val="auto"/>
        </w:rPr>
      </w:pPr>
      <w:r w:rsidRPr="0069310A">
        <w:rPr>
          <w:rStyle w:val="NormalDestaque"/>
          <w:rFonts w:cs="Arial"/>
          <w:b w:val="0"/>
          <w:color w:val="auto"/>
        </w:rPr>
        <w:t>As informações referentes à Área de Influência Direta (AID), correspondente ao entorno imediato, em faixa de 500 m a cada lado do eixo da Interligação, foram obtidas a partir de dados primários e secundários, com enfoque para: (i) caracterização dos remanescentes florestais, de acordo com bioma, fitofisionomia e estágio de sucessão ecológica; (ii) identificação das Áreas de Preservação Permanente (APPs) e respectivos corpos d'água; e (ii) identificação de Área de Proteção e Recuperação de Mananciais (APRM), entre outros.</w:t>
      </w:r>
    </w:p>
    <w:p w:rsidR="00D9475A" w:rsidRPr="0069310A" w:rsidRDefault="00D9475A" w:rsidP="00D9475A">
      <w:pPr>
        <w:rPr>
          <w:rStyle w:val="NormalDestaque"/>
          <w:rFonts w:cs="Arial"/>
          <w:b w:val="0"/>
          <w:color w:val="auto"/>
        </w:rPr>
      </w:pPr>
      <w:r w:rsidRPr="0069310A">
        <w:rPr>
          <w:rStyle w:val="NormalDestaque"/>
          <w:rFonts w:cs="Arial"/>
          <w:b w:val="0"/>
          <w:color w:val="auto"/>
        </w:rPr>
        <w:t xml:space="preserve">Para a Área Diretamente Afetada (ADA), a qual engloba áreas passíveis de intervenção direta e/ou supressão de vegetação, foram consideradas informações mais específicas, relativas à: (i) composição florística da vegetação remanescente; (ii) ocorrência de espécies endêmicas e/ou ameaçadas; e (iii) quantificação das áreas de cobertura vegetal nativa a serem suprimidas. </w:t>
      </w:r>
    </w:p>
    <w:p w:rsidR="00D9475A" w:rsidRPr="0069310A" w:rsidRDefault="00D9475A" w:rsidP="00D9475A">
      <w:pPr>
        <w:rPr>
          <w:rStyle w:val="NormalDestaque"/>
          <w:rFonts w:cs="Arial"/>
          <w:b w:val="0"/>
          <w:color w:val="auto"/>
        </w:rPr>
      </w:pPr>
      <w:r w:rsidRPr="0069310A">
        <w:rPr>
          <w:rStyle w:val="NormalDestaque"/>
          <w:rFonts w:cs="Arial"/>
          <w:b w:val="0"/>
          <w:color w:val="auto"/>
        </w:rPr>
        <w:t xml:space="preserve">A caracterização ambiental específica da AID e ADA envolveu, além dos recursos anteriormente citados, amostragens qualitativas da vegetação remanescente. </w:t>
      </w:r>
    </w:p>
    <w:p w:rsidR="00D9475A" w:rsidRPr="0069310A" w:rsidRDefault="00D9475A" w:rsidP="00D9475A">
      <w:pPr>
        <w:rPr>
          <w:rStyle w:val="NormalDestaque"/>
          <w:rFonts w:cs="Arial"/>
          <w:b w:val="0"/>
          <w:color w:val="auto"/>
        </w:rPr>
      </w:pPr>
      <w:r w:rsidRPr="0069310A">
        <w:rPr>
          <w:rStyle w:val="NormalDestaque"/>
          <w:rFonts w:cs="Arial"/>
          <w:b w:val="0"/>
          <w:color w:val="auto"/>
        </w:rPr>
        <w:t>Os levantamentos de campo foram realizados em setembro de 2014 e contemplaram: (i) caracterização fitofisionômica da vegetação ao longo do traçado e fragmentos próximos; (ii) levantamento florístico sistematizado, nos principais fragmentos remanescentes, próximos da ADA. Descrevem-se, a seguir, os procedimentos referentes aos trabalhos de campo.</w:t>
      </w:r>
    </w:p>
    <w:p w:rsidR="00D9475A" w:rsidRPr="0069310A" w:rsidRDefault="00D9475A" w:rsidP="00D9475A">
      <w:pPr>
        <w:rPr>
          <w:rStyle w:val="NormalDestaque"/>
          <w:rFonts w:cs="Arial"/>
          <w:b w:val="0"/>
          <w:color w:val="auto"/>
        </w:rPr>
      </w:pPr>
      <w:r w:rsidRPr="0069310A">
        <w:rPr>
          <w:rStyle w:val="NormalDestaque"/>
          <w:rFonts w:cs="Arial"/>
          <w:color w:val="auto"/>
        </w:rPr>
        <w:t>Caracterização Fitofisionômica</w:t>
      </w:r>
      <w:r w:rsidRPr="0069310A">
        <w:rPr>
          <w:rStyle w:val="NormalDestaque"/>
          <w:rFonts w:cs="Arial"/>
          <w:b w:val="0"/>
          <w:color w:val="auto"/>
        </w:rPr>
        <w:t xml:space="preserve">: O sistema utilizado para a descrição das diferentes fitofisionomias existentes nas Áreas de Influência correspondeu a uma correlação entre os sistemas de classificação de Eiten (1979), de Veloso et al. (1991), buscando suporte também nas informações contidas em estudos específicos disponíveis na literatura, dentre eles, o Mapa </w:t>
      </w:r>
      <w:r w:rsidRPr="0069310A">
        <w:rPr>
          <w:rStyle w:val="NormalDestaque"/>
          <w:rFonts w:cs="Arial"/>
          <w:b w:val="0"/>
          <w:color w:val="auto"/>
        </w:rPr>
        <w:lastRenderedPageBreak/>
        <w:t xml:space="preserve">de Vegetação do Brasil (IBGE, 2004) e o Inventário Florestal do Estado de São Paulo (SMA/IF, 2005). </w:t>
      </w:r>
    </w:p>
    <w:p w:rsidR="00D9475A" w:rsidRPr="0069310A" w:rsidRDefault="00D9475A" w:rsidP="00D9475A">
      <w:pPr>
        <w:rPr>
          <w:rStyle w:val="NormalDestaque"/>
          <w:rFonts w:cs="Arial"/>
          <w:b w:val="0"/>
          <w:color w:val="auto"/>
        </w:rPr>
      </w:pPr>
      <w:r w:rsidRPr="0069310A">
        <w:rPr>
          <w:rStyle w:val="NormalDestaque"/>
          <w:rFonts w:cs="Arial"/>
          <w:b w:val="0"/>
          <w:color w:val="auto"/>
        </w:rPr>
        <w:t xml:space="preserve">A caracterização sucessional da vegetação nativa foi realizada conforme as orientações dos seguintes instrumentos legais: Resolução CONAMA nº 10, de 01/10/1993, Resolução </w:t>
      </w:r>
      <w:r w:rsidRPr="00C71465">
        <w:rPr>
          <w:rStyle w:val="NormalDestaque"/>
          <w:rFonts w:cs="Arial"/>
          <w:b w:val="0"/>
          <w:color w:val="auto"/>
        </w:rPr>
        <w:t>CONAMA nº 1, de 31/01/1994, e Resolução Conjunta IBAMA/SMA nº 1/1994.</w:t>
      </w:r>
      <w:r w:rsidRPr="0069310A">
        <w:rPr>
          <w:rStyle w:val="NormalDestaque"/>
          <w:rFonts w:cs="Arial"/>
          <w:b w:val="0"/>
          <w:color w:val="auto"/>
        </w:rPr>
        <w:t xml:space="preserve"> </w:t>
      </w:r>
    </w:p>
    <w:p w:rsidR="00D9475A" w:rsidRPr="0069310A" w:rsidRDefault="00D9475A" w:rsidP="00D9475A">
      <w:pPr>
        <w:rPr>
          <w:rStyle w:val="NormalDestaque"/>
          <w:rFonts w:cs="Arial"/>
          <w:b w:val="0"/>
          <w:color w:val="auto"/>
        </w:rPr>
      </w:pPr>
      <w:r w:rsidRPr="0069310A">
        <w:rPr>
          <w:rStyle w:val="NormalDestaque"/>
          <w:rFonts w:cs="Arial"/>
          <w:b w:val="0"/>
          <w:color w:val="auto"/>
        </w:rPr>
        <w:t xml:space="preserve">Como subsídio para a definição dos estágios sucessionais, foram observadas características gerais da vegetação, entre as quais: estratificação, continuidade do dossel, presença ou ausência de epífitas e cipós, quantidade de serapilheira, </w:t>
      </w:r>
      <w:r w:rsidR="00E1679B">
        <w:rPr>
          <w:rStyle w:val="NormalDestaque"/>
          <w:rFonts w:cs="Arial"/>
          <w:b w:val="0"/>
          <w:color w:val="auto"/>
        </w:rPr>
        <w:t xml:space="preserve">com </w:t>
      </w:r>
      <w:r w:rsidRPr="0069310A">
        <w:rPr>
          <w:rStyle w:val="NormalDestaque"/>
          <w:rFonts w:cs="Arial"/>
          <w:b w:val="0"/>
          <w:color w:val="auto"/>
        </w:rPr>
        <w:t xml:space="preserve">coleta de material botânico de espécies arbóreas e arbustivas, preferencialmente apresentando flor e/ou fruto, para garantia da identificação taxonômica. Tal avaliação permitiu uma visão global das condições ambientais das áreas percorridas. </w:t>
      </w:r>
    </w:p>
    <w:p w:rsidR="00D9475A" w:rsidRPr="0069310A" w:rsidRDefault="00D9475A" w:rsidP="00D9475A">
      <w:pPr>
        <w:rPr>
          <w:rStyle w:val="NormalDestaque"/>
          <w:rFonts w:cs="Arial"/>
          <w:b w:val="0"/>
          <w:color w:val="auto"/>
        </w:rPr>
      </w:pPr>
      <w:r w:rsidRPr="0069310A">
        <w:rPr>
          <w:rStyle w:val="NormalDestaque"/>
          <w:rFonts w:cs="Arial"/>
          <w:color w:val="auto"/>
        </w:rPr>
        <w:t>Levantamento Florístico</w:t>
      </w:r>
      <w:r w:rsidRPr="0069310A">
        <w:rPr>
          <w:rStyle w:val="NormalDestaque"/>
          <w:rFonts w:cs="Arial"/>
          <w:b w:val="0"/>
          <w:color w:val="auto"/>
        </w:rPr>
        <w:t xml:space="preserve">: A fim de identificar as principais famílias e espécies vegetais de ocorrência na região de estudo, uma amostragem florística abrangente foi realizada nas várias fitofisionomias, envolvendo variadas formas de vida, buscando-se cobrir toda a AID e ADA. </w:t>
      </w:r>
    </w:p>
    <w:p w:rsidR="00E1679B" w:rsidRPr="0069310A" w:rsidRDefault="00E1679B" w:rsidP="00E1679B">
      <w:pPr>
        <w:rPr>
          <w:rStyle w:val="NormalDestaque"/>
          <w:rFonts w:cs="Arial"/>
          <w:b w:val="0"/>
          <w:color w:val="auto"/>
        </w:rPr>
      </w:pPr>
      <w:r w:rsidRPr="0069310A">
        <w:rPr>
          <w:rStyle w:val="NormalDestaque"/>
          <w:rFonts w:cs="Arial"/>
          <w:b w:val="0"/>
          <w:color w:val="auto"/>
        </w:rPr>
        <w:t>Além desta amostragem, foi realizado um levantamento florístico sistematizado em 6 fragmentos considerados relevantes em função de seu estágio sucessional e extensão. O método utilizado foi o de caminhamento, que proporciona maior abrangência qualitativa das espécies, com ênfase na identificação de espécies arbóreas, arbustivas, estipes, fetos arborescentes e epífitas.</w:t>
      </w:r>
    </w:p>
    <w:p w:rsidR="00E1679B" w:rsidRPr="0069310A" w:rsidRDefault="00E1679B" w:rsidP="00E1679B">
      <w:pPr>
        <w:rPr>
          <w:rStyle w:val="NormalDestaque"/>
          <w:rFonts w:cs="Arial"/>
          <w:b w:val="0"/>
          <w:color w:val="auto"/>
        </w:rPr>
      </w:pPr>
      <w:r w:rsidRPr="0069310A">
        <w:rPr>
          <w:rStyle w:val="NormalDestaque"/>
          <w:rFonts w:cs="Arial"/>
          <w:b w:val="0"/>
          <w:color w:val="auto"/>
        </w:rPr>
        <w:t xml:space="preserve">Para tanto, em cada um dos 6 fragmentos, foram selecionados pontos amostrais de forma aleatória, onde se percorreu uma ou mais transecções a depender das características do fragmento e do relevo, sendo amostradas as diferentes formas de vida numa faixa de 10 a 20 metros de largura, ao longo de cada transecção. </w:t>
      </w:r>
    </w:p>
    <w:p w:rsidR="00E1679B" w:rsidRPr="0069310A" w:rsidRDefault="00E1679B" w:rsidP="00E1679B">
      <w:pPr>
        <w:rPr>
          <w:rStyle w:val="NormalDestaque"/>
          <w:rFonts w:cs="Arial"/>
          <w:b w:val="0"/>
          <w:color w:val="auto"/>
        </w:rPr>
      </w:pPr>
      <w:r w:rsidRPr="0069310A">
        <w:rPr>
          <w:rStyle w:val="NormalDestaque"/>
          <w:rFonts w:cs="Arial"/>
          <w:b w:val="0"/>
          <w:color w:val="auto"/>
        </w:rPr>
        <w:t>Para que se pudesse ter uma ideia do incremento de novas espécies ao longo de cada transecção, a amostragem foi dividida em intervalos de 15 minutos, onde eram computados os registros de novas espécies. Essas informações serviram de base para elaboração de curva de acumulação de espécies para cada fragmento. Assim, o comprimento de cada transecção foi variável e dependente do número de novas espécies registradas, bem como das características de cada área. O tempo de permanência nos fragmentos foi variável, em torno de 2 a 3 horas.</w:t>
      </w:r>
    </w:p>
    <w:p w:rsidR="00E1679B" w:rsidRPr="0069310A" w:rsidRDefault="00E1679B" w:rsidP="00E1679B">
      <w:pPr>
        <w:rPr>
          <w:rStyle w:val="NormalDestaque"/>
          <w:rFonts w:cs="Arial"/>
          <w:b w:val="0"/>
          <w:color w:val="auto"/>
        </w:rPr>
      </w:pPr>
      <w:r w:rsidRPr="0069310A">
        <w:rPr>
          <w:rStyle w:val="NormalDestaque"/>
          <w:rFonts w:cs="Arial"/>
          <w:b w:val="0"/>
          <w:color w:val="auto"/>
        </w:rPr>
        <w:t>Para entender a distribuição das espécies ao longo da região amostrada, foi realizada uma comparação de similaridade florística entre os 6 fragmentos, por meio de dados de presença e ausência das espécies em cada fragmento. A visualização da similaridade dos trechos de amostragem foi realizada através de análise estatística com o índice de Jaccard utilizando-se o programa BioDiversity Pro 2.0 (McAleece, 1997), gerando uma matriz de similaridade entre os trechos, e um clado com a distância euclidiana entre eles.</w:t>
      </w:r>
    </w:p>
    <w:p w:rsidR="00E1679B" w:rsidRPr="0069310A" w:rsidRDefault="00E1679B" w:rsidP="00E1679B">
      <w:pPr>
        <w:rPr>
          <w:rStyle w:val="NormalDestaque"/>
          <w:rFonts w:cs="Arial"/>
          <w:b w:val="0"/>
          <w:color w:val="auto"/>
        </w:rPr>
      </w:pPr>
      <w:r w:rsidRPr="00C31036">
        <w:rPr>
          <w:rStyle w:val="NormalDestaque"/>
          <w:rFonts w:cs="Arial"/>
          <w:color w:val="auto"/>
        </w:rPr>
        <w:t>Identificação e processamento do material coletado</w:t>
      </w:r>
      <w:r w:rsidRPr="0069310A">
        <w:rPr>
          <w:rStyle w:val="NormalDestaque"/>
          <w:rFonts w:cs="Arial"/>
          <w:b w:val="0"/>
          <w:color w:val="auto"/>
        </w:rPr>
        <w:t xml:space="preserve">: Uma identificação prévia das espécies foi realizada in loco, também sendo realizado registro fotográfico e coleta de material botânico para complementação dos dados e conferência. Os exemplares coletados foram preparados de acordo com a metodologia usual (Fidalgo &amp; Bononi, 1984; Mori et al., 1985). A identificação taxonômica foi realizada através de consulta a bibliografia especializada, herbários virtuais, contando com auxílio de especialistas. </w:t>
      </w:r>
    </w:p>
    <w:p w:rsidR="00E1679B" w:rsidRPr="0069310A" w:rsidRDefault="00E1679B" w:rsidP="00E1679B">
      <w:pPr>
        <w:rPr>
          <w:rStyle w:val="NormalDestaque"/>
          <w:rFonts w:cs="Arial"/>
          <w:b w:val="0"/>
          <w:color w:val="auto"/>
        </w:rPr>
      </w:pPr>
      <w:r w:rsidRPr="0069310A">
        <w:rPr>
          <w:rStyle w:val="NormalDestaque"/>
          <w:rFonts w:cs="Arial"/>
          <w:b w:val="0"/>
          <w:color w:val="auto"/>
        </w:rPr>
        <w:t>As espécies foram classificadas seguindo APG III (2009) e a listagem de espécies florestais amostradas foi comparada com as seguintes listas: “Lista Oficial de Espécies da Flora Brasileira Ameaçadas de Extinção” (Instrução Normativa MMA nº 6, de 23</w:t>
      </w:r>
      <w:r>
        <w:rPr>
          <w:rStyle w:val="NormalDestaque"/>
          <w:rFonts w:cs="Arial"/>
          <w:b w:val="0"/>
          <w:color w:val="auto"/>
        </w:rPr>
        <w:t>/09/</w:t>
      </w:r>
      <w:r w:rsidRPr="0069310A">
        <w:rPr>
          <w:rStyle w:val="NormalDestaque"/>
          <w:rFonts w:cs="Arial"/>
          <w:b w:val="0"/>
          <w:color w:val="auto"/>
        </w:rPr>
        <w:t>2008), bem como na “Lista Oficial de Espécies da Flora do Estado de São Paulo Ameaçadas de Extinção” (Resolução SMA n° 48 de 21/09/2004).</w:t>
      </w:r>
    </w:p>
    <w:p w:rsidR="00E1679B" w:rsidRPr="0069310A" w:rsidRDefault="00E1679B" w:rsidP="00E1679B">
      <w:pPr>
        <w:rPr>
          <w:rStyle w:val="NormalDestaque"/>
          <w:rFonts w:cs="Arial"/>
          <w:b w:val="0"/>
          <w:color w:val="auto"/>
        </w:rPr>
      </w:pPr>
      <w:r w:rsidRPr="0069310A">
        <w:rPr>
          <w:rStyle w:val="NormalDestaque"/>
          <w:rFonts w:cs="Arial"/>
          <w:b w:val="0"/>
          <w:color w:val="auto"/>
        </w:rPr>
        <w:t xml:space="preserve">A classificação sucessional das espécies nativas inventariadas seguiu os critérios estabelecidos por Budowski (1965), abrangendo os seguintes grupos ecológicos: pioneiras (Pi); secundárias iniciais (Si); secundárias tardias (St) e de espécies clímax (Cl), havendo o acréscimo de categoria referente às espécies típicas de sub-bosque (Sb), segundo proposta de Tabarelli et al. (1993). </w:t>
      </w:r>
    </w:p>
    <w:p w:rsidR="00E1679B" w:rsidRPr="0069310A" w:rsidRDefault="00E1679B" w:rsidP="00E1679B">
      <w:pPr>
        <w:rPr>
          <w:rStyle w:val="NormalDestaque"/>
          <w:rFonts w:cs="Arial"/>
          <w:b w:val="0"/>
          <w:color w:val="auto"/>
        </w:rPr>
      </w:pPr>
      <w:r w:rsidRPr="0069310A">
        <w:rPr>
          <w:rStyle w:val="NormalDestaque"/>
          <w:rFonts w:cs="Arial"/>
          <w:b w:val="0"/>
          <w:color w:val="auto"/>
        </w:rPr>
        <w:t xml:space="preserve">Quanto à frequência de ocorrência na amostragem, foram consideradas: </w:t>
      </w:r>
    </w:p>
    <w:p w:rsidR="00E1679B" w:rsidRPr="0069310A" w:rsidRDefault="00E1679B" w:rsidP="000C50CE">
      <w:pPr>
        <w:pStyle w:val="PargrafodaLista"/>
        <w:numPr>
          <w:ilvl w:val="0"/>
          <w:numId w:val="4"/>
        </w:numPr>
        <w:rPr>
          <w:rStyle w:val="NormalDestaque"/>
          <w:rFonts w:cs="Arial"/>
          <w:b w:val="0"/>
          <w:color w:val="auto"/>
        </w:rPr>
      </w:pPr>
      <w:r w:rsidRPr="0069310A">
        <w:rPr>
          <w:rStyle w:val="NormalDestaque"/>
          <w:rFonts w:cs="Arial"/>
          <w:b w:val="0"/>
          <w:color w:val="auto"/>
        </w:rPr>
        <w:lastRenderedPageBreak/>
        <w:t>(R) Rara, espécies com registro de até 3 indivíduos na área levantada, ou com distribuição muito restrita;</w:t>
      </w:r>
    </w:p>
    <w:p w:rsidR="00E1679B" w:rsidRPr="0069310A" w:rsidRDefault="00E1679B" w:rsidP="000C50CE">
      <w:pPr>
        <w:pStyle w:val="PargrafodaLista"/>
        <w:numPr>
          <w:ilvl w:val="0"/>
          <w:numId w:val="4"/>
        </w:numPr>
        <w:rPr>
          <w:rStyle w:val="NormalDestaque"/>
          <w:rFonts w:cs="Arial"/>
          <w:b w:val="0"/>
          <w:color w:val="auto"/>
        </w:rPr>
      </w:pPr>
      <w:r w:rsidRPr="0069310A">
        <w:rPr>
          <w:rStyle w:val="NormalDestaque"/>
          <w:rFonts w:cs="Arial"/>
          <w:b w:val="0"/>
          <w:color w:val="auto"/>
        </w:rPr>
        <w:t>(O) Ocasional, espécies com até 10 indivíduos na área levantada, ou com distribuição esparsa ao longo das áreas de amostragem e das formações;</w:t>
      </w:r>
    </w:p>
    <w:p w:rsidR="00E1679B" w:rsidRPr="0069310A" w:rsidRDefault="00E1679B" w:rsidP="000C50CE">
      <w:pPr>
        <w:pStyle w:val="PargrafodaLista"/>
        <w:numPr>
          <w:ilvl w:val="0"/>
          <w:numId w:val="4"/>
        </w:numPr>
        <w:rPr>
          <w:rStyle w:val="NormalDestaque"/>
          <w:rFonts w:cs="Arial"/>
          <w:b w:val="0"/>
          <w:color w:val="auto"/>
        </w:rPr>
      </w:pPr>
      <w:r w:rsidRPr="0069310A">
        <w:rPr>
          <w:rStyle w:val="NormalDestaque"/>
          <w:rFonts w:cs="Arial"/>
          <w:b w:val="0"/>
          <w:color w:val="auto"/>
        </w:rPr>
        <w:t>(C) Comum, espécies com até 30 indivíduos na área levantada, ou com ampla distribuição ao longo da área e das formações;</w:t>
      </w:r>
    </w:p>
    <w:p w:rsidR="00E1679B" w:rsidRPr="0069310A" w:rsidRDefault="00E1679B" w:rsidP="000C50CE">
      <w:pPr>
        <w:pStyle w:val="PargrafodaLista"/>
        <w:numPr>
          <w:ilvl w:val="0"/>
          <w:numId w:val="4"/>
        </w:numPr>
        <w:rPr>
          <w:rStyle w:val="NormalDestaque"/>
          <w:rFonts w:cs="Arial"/>
          <w:b w:val="0"/>
          <w:color w:val="auto"/>
        </w:rPr>
      </w:pPr>
      <w:r w:rsidRPr="0069310A">
        <w:rPr>
          <w:rStyle w:val="NormalDestaque"/>
          <w:rFonts w:cs="Arial"/>
          <w:b w:val="0"/>
          <w:color w:val="auto"/>
        </w:rPr>
        <w:t>(A) Abundante, espécies com registro superior a 30 indivíduos e com ampla distribuição na área levantada e nas formações.</w:t>
      </w:r>
    </w:p>
    <w:p w:rsidR="00E1679B" w:rsidRPr="0069310A" w:rsidRDefault="00E1679B" w:rsidP="00E1679B">
      <w:pPr>
        <w:rPr>
          <w:rStyle w:val="NormalDestaque"/>
          <w:rFonts w:cs="Arial"/>
          <w:b w:val="0"/>
          <w:color w:val="auto"/>
        </w:rPr>
      </w:pPr>
      <w:r w:rsidRPr="0069310A">
        <w:rPr>
          <w:rStyle w:val="NormalDestaque"/>
          <w:rFonts w:cs="Arial"/>
          <w:color w:val="auto"/>
        </w:rPr>
        <w:t>Identificação das Áreas de Proteção Permanente</w:t>
      </w:r>
      <w:r w:rsidRPr="0069310A">
        <w:rPr>
          <w:rStyle w:val="NormalDestaque"/>
          <w:rFonts w:cs="Arial"/>
          <w:b w:val="0"/>
          <w:color w:val="auto"/>
        </w:rPr>
        <w:t xml:space="preserve">. O mapeamento das APPs na AID e ADA foi realizado com base nas cartas do IGC na escala 1:10.000, </w:t>
      </w:r>
      <w:r>
        <w:rPr>
          <w:rStyle w:val="NormalDestaque"/>
          <w:rFonts w:cs="Arial"/>
          <w:b w:val="0"/>
          <w:color w:val="auto"/>
        </w:rPr>
        <w:t xml:space="preserve">e de </w:t>
      </w:r>
      <w:r w:rsidRPr="0069310A">
        <w:rPr>
          <w:rStyle w:val="NormalDestaque"/>
          <w:rFonts w:cs="Arial"/>
          <w:b w:val="0"/>
          <w:color w:val="auto"/>
        </w:rPr>
        <w:t xml:space="preserve">imagens aéreas </w:t>
      </w:r>
      <w:r>
        <w:rPr>
          <w:rStyle w:val="NormalDestaque"/>
          <w:rFonts w:cs="Arial"/>
          <w:b w:val="0"/>
          <w:color w:val="auto"/>
        </w:rPr>
        <w:t xml:space="preserve">do Google Earth Pro de 2014, </w:t>
      </w:r>
      <w:r w:rsidRPr="0069310A">
        <w:rPr>
          <w:rStyle w:val="NormalDestaque"/>
          <w:rFonts w:cs="Arial"/>
          <w:b w:val="0"/>
          <w:color w:val="auto"/>
        </w:rPr>
        <w:t xml:space="preserve">corrigidas localmente com base </w:t>
      </w:r>
      <w:r>
        <w:rPr>
          <w:rStyle w:val="NormalDestaque"/>
          <w:rFonts w:cs="Arial"/>
          <w:b w:val="0"/>
          <w:color w:val="auto"/>
        </w:rPr>
        <w:t>no levantamento planialtimétrico</w:t>
      </w:r>
      <w:r w:rsidRPr="0069310A">
        <w:rPr>
          <w:rStyle w:val="NormalDestaque"/>
          <w:rFonts w:cs="Arial"/>
          <w:b w:val="0"/>
          <w:color w:val="auto"/>
        </w:rPr>
        <w:t>. A definição adotada para as APPs levou em consideração a Lei 12.651/2012 (Código Florestal) e alterações</w:t>
      </w:r>
      <w:r>
        <w:rPr>
          <w:rStyle w:val="NormalDestaque"/>
          <w:rFonts w:cs="Arial"/>
          <w:b w:val="0"/>
          <w:color w:val="auto"/>
        </w:rPr>
        <w:t>,</w:t>
      </w:r>
      <w:r w:rsidRPr="0069310A">
        <w:rPr>
          <w:rStyle w:val="NormalDestaque"/>
          <w:rFonts w:cs="Arial"/>
          <w:b w:val="0"/>
          <w:color w:val="auto"/>
        </w:rPr>
        <w:t xml:space="preserve"> e Resoluções CONAMA 302/02 e 303/02 que definem os limites das APPs de corpos d’água, áreas de declividade acentuada e topos de morro.</w:t>
      </w:r>
    </w:p>
    <w:p w:rsidR="00D9475A" w:rsidRPr="0069310A" w:rsidRDefault="00D9475A" w:rsidP="009F6719">
      <w:pPr>
        <w:pStyle w:val="Ttulo4"/>
      </w:pPr>
      <w:bookmarkStart w:id="62" w:name="_Toc411871197"/>
      <w:r w:rsidRPr="0069310A">
        <w:t>Caracterização Fitofisionômica</w:t>
      </w:r>
      <w:bookmarkEnd w:id="62"/>
    </w:p>
    <w:p w:rsidR="005769DE" w:rsidRPr="0069310A" w:rsidRDefault="005769DE" w:rsidP="003F2023">
      <w:pPr>
        <w:rPr>
          <w:rStyle w:val="NormalDestaque"/>
          <w:rFonts w:cs="Arial"/>
          <w:b w:val="0"/>
          <w:color w:val="auto"/>
        </w:rPr>
      </w:pPr>
      <w:r w:rsidRPr="0069310A">
        <w:rPr>
          <w:rStyle w:val="NormalDestaque"/>
          <w:rFonts w:cs="Arial"/>
          <w:b w:val="0"/>
          <w:color w:val="auto"/>
        </w:rPr>
        <w:t xml:space="preserve">Descrevem-se, a seguir, características fitofisionômicas e florísticas </w:t>
      </w:r>
      <w:r>
        <w:rPr>
          <w:rStyle w:val="NormalDestaque"/>
          <w:rFonts w:cs="Arial"/>
          <w:b w:val="0"/>
          <w:color w:val="auto"/>
        </w:rPr>
        <w:t xml:space="preserve">gerais </w:t>
      </w:r>
      <w:r w:rsidRPr="0069310A">
        <w:rPr>
          <w:rStyle w:val="NormalDestaque"/>
          <w:rFonts w:cs="Arial"/>
          <w:b w:val="0"/>
          <w:color w:val="auto"/>
        </w:rPr>
        <w:t xml:space="preserve">registradas </w:t>
      </w:r>
      <w:r>
        <w:rPr>
          <w:rStyle w:val="NormalDestaque"/>
          <w:rFonts w:cs="Arial"/>
          <w:b w:val="0"/>
          <w:color w:val="auto"/>
        </w:rPr>
        <w:t xml:space="preserve">na AID </w:t>
      </w:r>
      <w:r w:rsidRPr="00BE37A6">
        <w:rPr>
          <w:rStyle w:val="NormalDestaque"/>
          <w:rFonts w:cs="Arial"/>
          <w:b w:val="0"/>
          <w:color w:val="auto"/>
        </w:rPr>
        <w:t xml:space="preserve">da </w:t>
      </w:r>
      <w:r w:rsidRPr="00DE0557">
        <w:rPr>
          <w:rStyle w:val="NormalDestaque"/>
          <w:rFonts w:cs="Arial"/>
          <w:b w:val="0"/>
          <w:color w:val="auto"/>
        </w:rPr>
        <w:t xml:space="preserve">Interligação Jaguari Atibainha. O </w:t>
      </w:r>
      <w:r w:rsidRPr="00DE0557">
        <w:rPr>
          <w:rStyle w:val="NormalDestaque"/>
          <w:rFonts w:cs="Arial"/>
          <w:color w:val="auto"/>
        </w:rPr>
        <w:t>Anexo 1.1</w:t>
      </w:r>
      <w:r w:rsidRPr="00DE0557">
        <w:rPr>
          <w:rStyle w:val="NormalDestaque"/>
          <w:rFonts w:cs="Arial"/>
          <w:b w:val="0"/>
          <w:color w:val="auto"/>
        </w:rPr>
        <w:t xml:space="preserve"> apresenta </w:t>
      </w:r>
      <w:r w:rsidR="00DE0557" w:rsidRPr="00DE0557">
        <w:rPr>
          <w:rStyle w:val="NormalDestaque"/>
          <w:rFonts w:cs="Arial"/>
          <w:b w:val="0"/>
          <w:color w:val="auto"/>
        </w:rPr>
        <w:t xml:space="preserve">fichas individuais </w:t>
      </w:r>
      <w:r w:rsidRPr="00DE0557">
        <w:rPr>
          <w:rStyle w:val="NormalDestaque"/>
          <w:rFonts w:cs="Arial"/>
          <w:b w:val="0"/>
          <w:color w:val="auto"/>
        </w:rPr>
        <w:t>de caracterização</w:t>
      </w:r>
      <w:r>
        <w:rPr>
          <w:rStyle w:val="NormalDestaque"/>
          <w:rFonts w:cs="Arial"/>
          <w:b w:val="0"/>
          <w:color w:val="auto"/>
        </w:rPr>
        <w:t xml:space="preserve"> fitofisionômica</w:t>
      </w:r>
      <w:r w:rsidRPr="0069310A">
        <w:rPr>
          <w:rStyle w:val="NormalDestaque"/>
          <w:rFonts w:cs="Arial"/>
          <w:b w:val="0"/>
          <w:color w:val="auto"/>
        </w:rPr>
        <w:t xml:space="preserve"> </w:t>
      </w:r>
      <w:r>
        <w:rPr>
          <w:rStyle w:val="NormalDestaque"/>
          <w:rFonts w:cs="Arial"/>
          <w:b w:val="0"/>
          <w:color w:val="auto"/>
        </w:rPr>
        <w:t xml:space="preserve">de 39 </w:t>
      </w:r>
      <w:r w:rsidRPr="0069310A">
        <w:rPr>
          <w:rStyle w:val="NormalDestaque"/>
          <w:rFonts w:cs="Arial"/>
          <w:b w:val="0"/>
          <w:color w:val="auto"/>
        </w:rPr>
        <w:t>áreas selecionadas distribuídas ao longo do traçado, onde s</w:t>
      </w:r>
      <w:r w:rsidR="00DE0557">
        <w:rPr>
          <w:rStyle w:val="NormalDestaque"/>
          <w:rFonts w:cs="Arial"/>
          <w:b w:val="0"/>
          <w:color w:val="auto"/>
        </w:rPr>
        <w:t>e detalha</w:t>
      </w:r>
      <w:r w:rsidRPr="0069310A">
        <w:rPr>
          <w:rStyle w:val="NormalDestaque"/>
          <w:rFonts w:cs="Arial"/>
          <w:b w:val="0"/>
          <w:color w:val="auto"/>
        </w:rPr>
        <w:t xml:space="preserve"> fitofisionomia, estágio sucessional, espécies e aspectos relevantes para a análise adequada dos impactos</w:t>
      </w:r>
      <w:r>
        <w:rPr>
          <w:rStyle w:val="NormalDestaque"/>
          <w:rFonts w:cs="Arial"/>
          <w:b w:val="0"/>
          <w:color w:val="auto"/>
        </w:rPr>
        <w:t>,</w:t>
      </w:r>
      <w:r w:rsidRPr="0069310A">
        <w:rPr>
          <w:rStyle w:val="NormalDestaque"/>
          <w:rFonts w:cs="Arial"/>
          <w:b w:val="0"/>
          <w:color w:val="auto"/>
        </w:rPr>
        <w:t xml:space="preserve"> em caso de supressão dessa vegetação nativa. </w:t>
      </w:r>
      <w:r w:rsidR="00DE0557">
        <w:rPr>
          <w:rStyle w:val="NormalDestaque"/>
          <w:rFonts w:cs="Arial"/>
          <w:b w:val="0"/>
          <w:color w:val="auto"/>
        </w:rPr>
        <w:t xml:space="preserve">A </w:t>
      </w:r>
      <w:r w:rsidR="00DE0557" w:rsidRPr="00DE0557">
        <w:rPr>
          <w:rStyle w:val="NormalDestaque"/>
          <w:rFonts w:cs="Arial"/>
          <w:color w:val="auto"/>
        </w:rPr>
        <w:t>Figura A5</w:t>
      </w:r>
      <w:r w:rsidR="00DE0557">
        <w:rPr>
          <w:rStyle w:val="NormalDestaque"/>
          <w:rFonts w:cs="Arial"/>
          <w:b w:val="0"/>
          <w:color w:val="auto"/>
        </w:rPr>
        <w:t xml:space="preserve">, escala 1:7.500, no </w:t>
      </w:r>
      <w:r w:rsidR="00DE0557" w:rsidRPr="00DE0557">
        <w:rPr>
          <w:rStyle w:val="NormalDestaque"/>
          <w:rFonts w:cs="Arial"/>
          <w:color w:val="auto"/>
        </w:rPr>
        <w:t>Volume III</w:t>
      </w:r>
      <w:r w:rsidR="00DE0557">
        <w:rPr>
          <w:rStyle w:val="NormalDestaque"/>
          <w:rFonts w:cs="Arial"/>
          <w:b w:val="0"/>
          <w:color w:val="auto"/>
        </w:rPr>
        <w:t xml:space="preserve"> apresenta a localização das 39 áreas selecionadas.</w:t>
      </w:r>
    </w:p>
    <w:p w:rsidR="005769DE" w:rsidRPr="0069310A" w:rsidRDefault="005769DE" w:rsidP="003F2023">
      <w:pPr>
        <w:rPr>
          <w:rStyle w:val="NormalDestaque"/>
          <w:rFonts w:cs="Arial"/>
          <w:b w:val="0"/>
          <w:color w:val="auto"/>
        </w:rPr>
      </w:pPr>
      <w:r w:rsidRPr="0069310A">
        <w:rPr>
          <w:rStyle w:val="NormalDestaque"/>
          <w:rFonts w:cs="Arial"/>
          <w:b w:val="0"/>
          <w:color w:val="auto"/>
        </w:rPr>
        <w:t xml:space="preserve">Os fragmentos remanescentes na área de estudo apresentaram-se em mosaicos constituídos por distintos estágios sucessionais. Esse caráter resulta do histórico de uso e ocupação antrópicos, marcado pela presença de médias e pequenas propriedades, incluindo chácaras e áreas agrícolas, bem como áreas de plantio de </w:t>
      </w:r>
      <w:r w:rsidRPr="0069310A">
        <w:rPr>
          <w:rStyle w:val="NormalDestaque"/>
          <w:rFonts w:cs="Arial"/>
          <w:b w:val="0"/>
          <w:i/>
          <w:color w:val="auto"/>
        </w:rPr>
        <w:t>Pinus</w:t>
      </w:r>
      <w:r w:rsidRPr="0069310A">
        <w:rPr>
          <w:rStyle w:val="NormalDestaque"/>
          <w:rFonts w:cs="Arial"/>
          <w:b w:val="0"/>
          <w:color w:val="auto"/>
        </w:rPr>
        <w:t xml:space="preserve"> e, em maior escala, </w:t>
      </w:r>
      <w:r w:rsidRPr="0069310A">
        <w:rPr>
          <w:rStyle w:val="NormalDestaque"/>
          <w:rFonts w:cs="Arial"/>
          <w:b w:val="0"/>
          <w:i/>
          <w:color w:val="auto"/>
        </w:rPr>
        <w:t>Eucalyptus</w:t>
      </w:r>
      <w:r w:rsidRPr="0069310A">
        <w:rPr>
          <w:rStyle w:val="NormalDestaque"/>
          <w:rFonts w:cs="Arial"/>
          <w:b w:val="0"/>
          <w:color w:val="auto"/>
        </w:rPr>
        <w:t>.</w:t>
      </w:r>
    </w:p>
    <w:p w:rsidR="005769DE" w:rsidRPr="0069310A" w:rsidRDefault="005769DE" w:rsidP="003F2023">
      <w:pPr>
        <w:rPr>
          <w:rStyle w:val="NormalDestaque"/>
          <w:rFonts w:cs="Arial"/>
          <w:b w:val="0"/>
          <w:color w:val="auto"/>
        </w:rPr>
      </w:pPr>
      <w:r w:rsidRPr="0069310A">
        <w:rPr>
          <w:rStyle w:val="NormalDestaque"/>
          <w:rFonts w:cs="Arial"/>
          <w:b w:val="0"/>
          <w:color w:val="auto"/>
        </w:rPr>
        <w:t xml:space="preserve">Assim, de forma mais abrangente, além da vegetação nativa, a AID </w:t>
      </w:r>
      <w:r>
        <w:rPr>
          <w:rStyle w:val="NormalDestaque"/>
          <w:rFonts w:cs="Arial"/>
          <w:b w:val="0"/>
          <w:color w:val="auto"/>
        </w:rPr>
        <w:t>apresenta</w:t>
      </w:r>
      <w:r w:rsidRPr="0069310A">
        <w:rPr>
          <w:rStyle w:val="NormalDestaque"/>
          <w:rFonts w:cs="Arial"/>
          <w:b w:val="0"/>
          <w:color w:val="auto"/>
        </w:rPr>
        <w:t xml:space="preserve"> cobertura vegetal proveniente de intervenção antrópica com diferentes origens e finalidades:</w:t>
      </w:r>
    </w:p>
    <w:p w:rsidR="005769DE" w:rsidRPr="0069310A" w:rsidRDefault="005769DE" w:rsidP="003F2023">
      <w:pPr>
        <w:tabs>
          <w:tab w:val="left" w:pos="720"/>
          <w:tab w:val="left" w:pos="1080"/>
          <w:tab w:val="left" w:pos="3175"/>
        </w:tabs>
        <w:rPr>
          <w:rStyle w:val="NormalDestaque"/>
          <w:rFonts w:cs="Arial"/>
          <w:b w:val="0"/>
          <w:color w:val="auto"/>
        </w:rPr>
      </w:pPr>
      <w:r w:rsidRPr="00415CDA">
        <w:rPr>
          <w:rStyle w:val="NormalDestaque"/>
          <w:rFonts w:cs="Arial"/>
          <w:b w:val="0"/>
          <w:color w:val="auto"/>
          <w:u w:val="single"/>
        </w:rPr>
        <w:t>Pastagem</w:t>
      </w:r>
      <w:r w:rsidRPr="0069310A">
        <w:rPr>
          <w:rStyle w:val="NormalDestaque"/>
          <w:rFonts w:cs="Arial"/>
          <w:b w:val="0"/>
          <w:color w:val="auto"/>
        </w:rPr>
        <w:t xml:space="preserve"> – Áreas que sofreram corte total da vegetação nativa e que, atualmente, encontram-se recobertas por gramíneas. As áreas de pastagem são predominantes no trecho próximo à represa Jaguari e na estrada da Boa Vista, no traçado da adutora, até a região do emboque do túnel. </w:t>
      </w:r>
    </w:p>
    <w:p w:rsidR="005769DE" w:rsidRPr="0069310A" w:rsidRDefault="005769DE" w:rsidP="005769DE">
      <w:pPr>
        <w:tabs>
          <w:tab w:val="left" w:pos="720"/>
          <w:tab w:val="left" w:pos="1080"/>
          <w:tab w:val="left" w:pos="3175"/>
        </w:tabs>
        <w:rPr>
          <w:rStyle w:val="NormalDestaque"/>
          <w:rFonts w:cs="Arial"/>
          <w:b w:val="0"/>
          <w:color w:val="auto"/>
        </w:rPr>
      </w:pPr>
      <w:r w:rsidRPr="00415CDA">
        <w:rPr>
          <w:rStyle w:val="NormalDestaque"/>
          <w:rFonts w:cs="Arial"/>
          <w:b w:val="0"/>
          <w:color w:val="auto"/>
          <w:u w:val="single"/>
        </w:rPr>
        <w:t>Pastagem, com indivíduos arbóreos isolados</w:t>
      </w:r>
      <w:r w:rsidRPr="0069310A">
        <w:rPr>
          <w:rStyle w:val="NormalDestaque"/>
          <w:rFonts w:cs="Arial"/>
          <w:b w:val="0"/>
          <w:color w:val="auto"/>
        </w:rPr>
        <w:t xml:space="preserve"> – Áreas que sofreram corte da vegetação nativa e que, atualmente, apresentam predomínio de gramíneas no estrato herbáceo com ocorrência de indivíduos arbóreos remanescentes isolados, que se caracterizam pela não formação de dossel e ausência de sub-bosque.</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4683"/>
        <w:gridCol w:w="4661"/>
      </w:tblGrid>
      <w:tr w:rsidR="00D9475A" w:rsidRPr="0069310A" w:rsidTr="00C023A0">
        <w:tc>
          <w:tcPr>
            <w:tcW w:w="4683" w:type="dxa"/>
            <w:vAlign w:val="center"/>
          </w:tcPr>
          <w:p w:rsidR="00D9475A" w:rsidRPr="0069310A" w:rsidRDefault="00D9475A" w:rsidP="00365780">
            <w:pPr>
              <w:tabs>
                <w:tab w:val="left" w:pos="720"/>
                <w:tab w:val="left" w:pos="1080"/>
                <w:tab w:val="left" w:pos="3175"/>
              </w:tabs>
              <w:spacing w:after="0"/>
              <w:jc w:val="center"/>
              <w:rPr>
                <w:rStyle w:val="NormalDestaque"/>
                <w:rFonts w:cs="Arial"/>
                <w:b w:val="0"/>
              </w:rPr>
            </w:pPr>
            <w:r w:rsidRPr="0069310A">
              <w:rPr>
                <w:rStyle w:val="NormalDestaque"/>
                <w:rFonts w:cs="Arial"/>
                <w:b w:val="0"/>
                <w:noProof/>
              </w:rPr>
              <w:drawing>
                <wp:inline distT="0" distB="0" distL="0" distR="0" wp14:anchorId="16AF5476" wp14:editId="5F47E1C5">
                  <wp:extent cx="2895600" cy="2171700"/>
                  <wp:effectExtent l="0" t="0" r="0" b="0"/>
                  <wp:docPr id="18" name="Imagem 18" descr="G:\CLARISSA  Imagens\2014 - 9 - Campo Jaguari\139MSDCF\DSC066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CLARISSA  Imagens\2014 - 9 - Campo Jaguari\139MSDCF\DSC0663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97557" cy="2173168"/>
                          </a:xfrm>
                          <a:prstGeom prst="rect">
                            <a:avLst/>
                          </a:prstGeom>
                          <a:noFill/>
                          <a:ln>
                            <a:noFill/>
                          </a:ln>
                        </pic:spPr>
                      </pic:pic>
                    </a:graphicData>
                  </a:graphic>
                </wp:inline>
              </w:drawing>
            </w:r>
          </w:p>
        </w:tc>
        <w:tc>
          <w:tcPr>
            <w:tcW w:w="4661" w:type="dxa"/>
            <w:vAlign w:val="center"/>
          </w:tcPr>
          <w:p w:rsidR="00D9475A" w:rsidRPr="0069310A" w:rsidRDefault="00D9475A" w:rsidP="00365780">
            <w:pPr>
              <w:tabs>
                <w:tab w:val="left" w:pos="720"/>
                <w:tab w:val="left" w:pos="1080"/>
                <w:tab w:val="left" w:pos="3175"/>
              </w:tabs>
              <w:spacing w:after="0"/>
              <w:jc w:val="center"/>
              <w:rPr>
                <w:rStyle w:val="NormalDestaque"/>
                <w:rFonts w:cs="Arial"/>
                <w:b w:val="0"/>
              </w:rPr>
            </w:pPr>
            <w:r w:rsidRPr="0069310A">
              <w:rPr>
                <w:rStyle w:val="NormalDestaque"/>
                <w:rFonts w:cs="Arial"/>
                <w:b w:val="0"/>
                <w:noProof/>
              </w:rPr>
              <w:drawing>
                <wp:inline distT="0" distB="0" distL="0" distR="0" wp14:anchorId="63AD3787" wp14:editId="073824A4">
                  <wp:extent cx="2908692" cy="2197100"/>
                  <wp:effectExtent l="0" t="0" r="6350" b="0"/>
                  <wp:docPr id="67" name="Imagem 67" descr="G:\CLARISSA  Imagens\2014 - 9 - Campo Jaguari\139MSDCF\DSC059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CLARISSA  Imagens\2014 - 9 - Campo Jaguari\139MSDCF\DSC05961.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4656"/>
                          <a:stretch/>
                        </pic:blipFill>
                        <pic:spPr bwMode="auto">
                          <a:xfrm>
                            <a:off x="0" y="0"/>
                            <a:ext cx="2916411" cy="220293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9475A" w:rsidRPr="0069310A" w:rsidTr="00C023A0">
        <w:tc>
          <w:tcPr>
            <w:tcW w:w="4683" w:type="dxa"/>
            <w:vAlign w:val="center"/>
          </w:tcPr>
          <w:p w:rsidR="00D9475A" w:rsidRPr="0069310A" w:rsidRDefault="00D9475A" w:rsidP="00365780">
            <w:pPr>
              <w:tabs>
                <w:tab w:val="left" w:pos="720"/>
                <w:tab w:val="left" w:pos="1080"/>
                <w:tab w:val="left" w:pos="3175"/>
              </w:tabs>
              <w:spacing w:after="0"/>
              <w:rPr>
                <w:rStyle w:val="NormalDestaque"/>
                <w:rFonts w:cs="Arial"/>
                <w:b w:val="0"/>
                <w:color w:val="auto"/>
              </w:rPr>
            </w:pPr>
            <w:r w:rsidRPr="0069310A">
              <w:rPr>
                <w:rStyle w:val="NormalDestaque"/>
                <w:rFonts w:cs="Arial"/>
                <w:b w:val="0"/>
                <w:color w:val="auto"/>
                <w:sz w:val="16"/>
                <w:szCs w:val="16"/>
              </w:rPr>
              <w:t>Áreas de pastagem junto a represa Jaguari, AID, com ocorrência de fragmentos remanescentes.</w:t>
            </w:r>
          </w:p>
        </w:tc>
        <w:tc>
          <w:tcPr>
            <w:tcW w:w="4661" w:type="dxa"/>
            <w:vAlign w:val="center"/>
          </w:tcPr>
          <w:p w:rsidR="00D9475A" w:rsidRPr="0069310A" w:rsidRDefault="00D9475A" w:rsidP="00365780">
            <w:pPr>
              <w:tabs>
                <w:tab w:val="left" w:pos="720"/>
                <w:tab w:val="left" w:pos="1080"/>
                <w:tab w:val="left" w:pos="3175"/>
              </w:tabs>
              <w:spacing w:after="0"/>
              <w:rPr>
                <w:rStyle w:val="NormalDestaque"/>
                <w:rFonts w:cs="Arial"/>
                <w:b w:val="0"/>
                <w:color w:val="auto"/>
              </w:rPr>
            </w:pPr>
            <w:r w:rsidRPr="0069310A">
              <w:rPr>
                <w:rStyle w:val="NormalDestaque"/>
                <w:rFonts w:cs="Arial"/>
                <w:b w:val="0"/>
                <w:color w:val="auto"/>
                <w:sz w:val="16"/>
                <w:szCs w:val="16"/>
              </w:rPr>
              <w:t>Pastagem com indivíduos arbóreos isolados, AID. Lado esquerdo do traçado, sentido represa Atibainha. Km 8,9.</w:t>
            </w:r>
          </w:p>
        </w:tc>
      </w:tr>
    </w:tbl>
    <w:p w:rsidR="005769DE" w:rsidRPr="0069310A" w:rsidRDefault="005769DE" w:rsidP="003F2023">
      <w:pPr>
        <w:spacing w:before="120"/>
        <w:rPr>
          <w:rStyle w:val="NormalDestaque"/>
          <w:rFonts w:cs="Arial"/>
          <w:b w:val="0"/>
          <w:color w:val="auto"/>
        </w:rPr>
      </w:pPr>
      <w:r w:rsidRPr="00415CDA">
        <w:rPr>
          <w:rStyle w:val="NormalDestaque"/>
          <w:rFonts w:cs="Arial"/>
          <w:b w:val="0"/>
          <w:color w:val="auto"/>
          <w:u w:val="single"/>
        </w:rPr>
        <w:lastRenderedPageBreak/>
        <w:t>Campo Antrópico</w:t>
      </w:r>
      <w:r w:rsidRPr="0069310A">
        <w:rPr>
          <w:rStyle w:val="NormalDestaque"/>
          <w:rFonts w:cs="Arial"/>
          <w:b w:val="0"/>
          <w:color w:val="auto"/>
        </w:rPr>
        <w:t xml:space="preserve"> –</w:t>
      </w:r>
      <w:r>
        <w:rPr>
          <w:rStyle w:val="NormalDestaque"/>
          <w:rFonts w:cs="Arial"/>
          <w:b w:val="0"/>
          <w:color w:val="auto"/>
        </w:rPr>
        <w:t xml:space="preserve"> </w:t>
      </w:r>
      <w:r w:rsidRPr="0069310A">
        <w:rPr>
          <w:rStyle w:val="NormalDestaque"/>
          <w:rFonts w:cs="Arial"/>
          <w:b w:val="0"/>
          <w:color w:val="auto"/>
        </w:rPr>
        <w:t>Áreas que sofreram corte da vegetação nativa e que, atualmente, apresentam indivíduos herbáceos e arbustivos regenerantes</w:t>
      </w:r>
      <w:r>
        <w:rPr>
          <w:rStyle w:val="NormalDestaque"/>
          <w:rFonts w:cs="Arial"/>
          <w:b w:val="0"/>
          <w:color w:val="auto"/>
        </w:rPr>
        <w:t>, p</w:t>
      </w:r>
      <w:r w:rsidRPr="0069310A">
        <w:rPr>
          <w:rStyle w:val="NormalDestaque"/>
          <w:rFonts w:cs="Arial"/>
          <w:b w:val="0"/>
          <w:color w:val="auto"/>
        </w:rPr>
        <w:t xml:space="preserve">odendo ocorrer </w:t>
      </w:r>
      <w:r>
        <w:rPr>
          <w:rStyle w:val="NormalDestaque"/>
          <w:rFonts w:cs="Arial"/>
          <w:b w:val="0"/>
          <w:color w:val="auto"/>
        </w:rPr>
        <w:t>também em pastagens abandonadas</w:t>
      </w:r>
      <w:r w:rsidRPr="0069310A">
        <w:rPr>
          <w:rStyle w:val="NormalDestaque"/>
          <w:rFonts w:cs="Arial"/>
          <w:b w:val="0"/>
          <w:color w:val="auto"/>
        </w:rPr>
        <w:t>.</w:t>
      </w:r>
    </w:p>
    <w:p w:rsidR="005769DE" w:rsidRPr="0069310A" w:rsidRDefault="005769DE" w:rsidP="005769DE">
      <w:pPr>
        <w:rPr>
          <w:rStyle w:val="NormalDestaque"/>
          <w:rFonts w:cs="Arial"/>
          <w:b w:val="0"/>
          <w:color w:val="auto"/>
        </w:rPr>
      </w:pPr>
      <w:r w:rsidRPr="00415CDA">
        <w:rPr>
          <w:rStyle w:val="NormalDestaque"/>
          <w:rFonts w:cs="Arial"/>
          <w:b w:val="0"/>
          <w:color w:val="auto"/>
          <w:u w:val="single"/>
        </w:rPr>
        <w:t>Cercas Vivas</w:t>
      </w:r>
      <w:r w:rsidRPr="0069310A">
        <w:rPr>
          <w:rStyle w:val="NormalDestaque"/>
          <w:rFonts w:cs="Arial"/>
          <w:b w:val="0"/>
          <w:color w:val="auto"/>
        </w:rPr>
        <w:t xml:space="preserve"> – Predominam nas áreas de vias de acesso, nos limites entre as propriedades e a estrada de rodagem, sendo compostas principalmente por espécies exóticas a exemplo do cipreste (</w:t>
      </w:r>
      <w:r w:rsidRPr="0069310A">
        <w:rPr>
          <w:rStyle w:val="NormalDestaque"/>
          <w:rFonts w:cs="Arial"/>
          <w:b w:val="0"/>
          <w:i/>
          <w:color w:val="auto"/>
        </w:rPr>
        <w:t>Cupressus</w:t>
      </w:r>
      <w:r w:rsidRPr="0069310A">
        <w:rPr>
          <w:rStyle w:val="NormalDestaque"/>
          <w:rFonts w:cs="Arial"/>
          <w:b w:val="0"/>
          <w:color w:val="auto"/>
        </w:rPr>
        <w:t xml:space="preserve"> sp.) e da tuia (</w:t>
      </w:r>
      <w:r w:rsidRPr="0069310A">
        <w:rPr>
          <w:rStyle w:val="NormalDestaque"/>
          <w:rFonts w:cs="Arial"/>
          <w:b w:val="0"/>
          <w:i/>
          <w:color w:val="auto"/>
        </w:rPr>
        <w:t>Thuja</w:t>
      </w:r>
      <w:r w:rsidRPr="0069310A">
        <w:rPr>
          <w:rStyle w:val="NormalDestaque"/>
          <w:rFonts w:cs="Arial"/>
          <w:b w:val="0"/>
          <w:color w:val="auto"/>
        </w:rPr>
        <w:t xml:space="preserve"> sp.), entre outras, bem como por sansão-do-campo (</w:t>
      </w:r>
      <w:r w:rsidRPr="0069310A">
        <w:rPr>
          <w:rStyle w:val="NormalDestaque"/>
          <w:rFonts w:cs="Arial"/>
          <w:b w:val="0"/>
          <w:i/>
          <w:color w:val="auto"/>
        </w:rPr>
        <w:t>Mimosa caesalpiniaefolia</w:t>
      </w:r>
      <w:r w:rsidRPr="0069310A">
        <w:rPr>
          <w:rStyle w:val="NormalDestaque"/>
          <w:rFonts w:cs="Arial"/>
          <w:b w:val="0"/>
          <w:color w:val="auto"/>
        </w:rPr>
        <w:t>), espécie da região nordeste do Brasil, introduzida em outras regiões para a formação de cercas vivas.</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4672"/>
        <w:gridCol w:w="4672"/>
      </w:tblGrid>
      <w:tr w:rsidR="00D9475A" w:rsidRPr="0069310A" w:rsidTr="00C023A0">
        <w:tc>
          <w:tcPr>
            <w:tcW w:w="4672" w:type="dxa"/>
            <w:vAlign w:val="center"/>
          </w:tcPr>
          <w:p w:rsidR="00D9475A" w:rsidRPr="0069310A" w:rsidRDefault="00D9475A" w:rsidP="00365780">
            <w:pPr>
              <w:tabs>
                <w:tab w:val="left" w:pos="720"/>
                <w:tab w:val="left" w:pos="1080"/>
                <w:tab w:val="left" w:pos="3175"/>
              </w:tabs>
              <w:spacing w:after="0"/>
              <w:jc w:val="center"/>
              <w:rPr>
                <w:rStyle w:val="NormalDestaque"/>
                <w:rFonts w:cs="Arial"/>
                <w:b w:val="0"/>
              </w:rPr>
            </w:pPr>
            <w:r w:rsidRPr="0069310A">
              <w:rPr>
                <w:rStyle w:val="NormalDestaque"/>
                <w:rFonts w:cs="Arial"/>
                <w:b w:val="0"/>
                <w:noProof/>
              </w:rPr>
              <w:drawing>
                <wp:inline distT="0" distB="0" distL="0" distR="0" wp14:anchorId="0FE25EF4" wp14:editId="7A617308">
                  <wp:extent cx="2912533" cy="2184400"/>
                  <wp:effectExtent l="0" t="0" r="2540" b="6350"/>
                  <wp:docPr id="74" name="Imagem 74" descr="G:\CLARISSA  Imagens\2014 - 9 - Campo Jaguari\139MSDCF\DSC05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CLARISSA  Imagens\2014 - 9 - Campo Jaguari\139MSDCF\DSC0566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14500" cy="2185875"/>
                          </a:xfrm>
                          <a:prstGeom prst="rect">
                            <a:avLst/>
                          </a:prstGeom>
                          <a:noFill/>
                          <a:ln>
                            <a:noFill/>
                          </a:ln>
                        </pic:spPr>
                      </pic:pic>
                    </a:graphicData>
                  </a:graphic>
                </wp:inline>
              </w:drawing>
            </w:r>
          </w:p>
        </w:tc>
        <w:tc>
          <w:tcPr>
            <w:tcW w:w="4672" w:type="dxa"/>
            <w:vAlign w:val="center"/>
          </w:tcPr>
          <w:p w:rsidR="00D9475A" w:rsidRPr="0069310A" w:rsidRDefault="00D9475A" w:rsidP="00365780">
            <w:pPr>
              <w:tabs>
                <w:tab w:val="left" w:pos="720"/>
                <w:tab w:val="left" w:pos="1080"/>
                <w:tab w:val="left" w:pos="3175"/>
              </w:tabs>
              <w:spacing w:after="0"/>
              <w:jc w:val="center"/>
              <w:rPr>
                <w:rStyle w:val="NormalDestaque"/>
                <w:rFonts w:cs="Arial"/>
                <w:b w:val="0"/>
              </w:rPr>
            </w:pPr>
            <w:r w:rsidRPr="0069310A">
              <w:rPr>
                <w:rStyle w:val="NormalDestaque"/>
                <w:rFonts w:cs="Arial"/>
                <w:b w:val="0"/>
                <w:noProof/>
              </w:rPr>
              <w:drawing>
                <wp:inline distT="0" distB="0" distL="0" distR="0" wp14:anchorId="0786E32F" wp14:editId="5CC63D7E">
                  <wp:extent cx="2878667" cy="2159000"/>
                  <wp:effectExtent l="0" t="0" r="0" b="0"/>
                  <wp:docPr id="19" name="Imagem 19" descr="G:\CLARISSA  Imagens\2014 - 9 - Campo Jaguari\139MSDCF\DSC05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CLARISSA  Imagens\2014 - 9 - Campo Jaguari\139MSDCF\DSC0563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1671" cy="2161253"/>
                          </a:xfrm>
                          <a:prstGeom prst="rect">
                            <a:avLst/>
                          </a:prstGeom>
                          <a:noFill/>
                          <a:ln>
                            <a:noFill/>
                          </a:ln>
                        </pic:spPr>
                      </pic:pic>
                    </a:graphicData>
                  </a:graphic>
                </wp:inline>
              </w:drawing>
            </w:r>
          </w:p>
        </w:tc>
      </w:tr>
      <w:tr w:rsidR="00D9475A" w:rsidRPr="0069310A" w:rsidTr="00C023A0">
        <w:tc>
          <w:tcPr>
            <w:tcW w:w="4672" w:type="dxa"/>
            <w:vAlign w:val="center"/>
          </w:tcPr>
          <w:p w:rsidR="00D9475A" w:rsidRPr="0069310A" w:rsidRDefault="00D9475A" w:rsidP="00365780">
            <w:pPr>
              <w:tabs>
                <w:tab w:val="left" w:pos="720"/>
                <w:tab w:val="left" w:pos="1080"/>
                <w:tab w:val="left" w:pos="3175"/>
              </w:tabs>
              <w:spacing w:after="0"/>
              <w:rPr>
                <w:rStyle w:val="NormalDestaque"/>
                <w:rFonts w:cs="Arial"/>
                <w:b w:val="0"/>
                <w:color w:val="auto"/>
                <w:sz w:val="16"/>
                <w:szCs w:val="16"/>
              </w:rPr>
            </w:pPr>
            <w:r w:rsidRPr="0069310A">
              <w:rPr>
                <w:rStyle w:val="NormalDestaque"/>
                <w:rFonts w:cs="Arial"/>
                <w:b w:val="0"/>
                <w:color w:val="auto"/>
                <w:sz w:val="16"/>
                <w:szCs w:val="16"/>
              </w:rPr>
              <w:t>Campo antrópico, AID, lado esquerdo do traçado, sentido reservatório Atibainha. Km 10,5.</w:t>
            </w:r>
          </w:p>
        </w:tc>
        <w:tc>
          <w:tcPr>
            <w:tcW w:w="4672" w:type="dxa"/>
            <w:vAlign w:val="center"/>
          </w:tcPr>
          <w:p w:rsidR="00D9475A" w:rsidRPr="0069310A" w:rsidRDefault="00D9475A" w:rsidP="00365780">
            <w:pPr>
              <w:tabs>
                <w:tab w:val="left" w:pos="720"/>
                <w:tab w:val="left" w:pos="1080"/>
                <w:tab w:val="left" w:pos="3175"/>
              </w:tabs>
              <w:spacing w:after="0"/>
              <w:rPr>
                <w:rStyle w:val="NormalDestaque"/>
                <w:rFonts w:cs="Arial"/>
                <w:b w:val="0"/>
                <w:color w:val="auto"/>
                <w:sz w:val="16"/>
                <w:szCs w:val="16"/>
              </w:rPr>
            </w:pPr>
            <w:r w:rsidRPr="0069310A">
              <w:rPr>
                <w:rStyle w:val="NormalDestaque"/>
                <w:rFonts w:cs="Arial"/>
                <w:b w:val="0"/>
                <w:color w:val="auto"/>
                <w:sz w:val="16"/>
                <w:szCs w:val="16"/>
              </w:rPr>
              <w:t>Cerca viva, ADA da adutora, lado esquerdo do traçado, sentido reservatório Atibainha. Km 10,8.</w:t>
            </w:r>
          </w:p>
        </w:tc>
      </w:tr>
    </w:tbl>
    <w:p w:rsidR="008E73B7" w:rsidRPr="0069310A" w:rsidRDefault="008E73B7" w:rsidP="003F2023">
      <w:pPr>
        <w:spacing w:before="120"/>
        <w:rPr>
          <w:rStyle w:val="NormalDestaque"/>
          <w:rFonts w:cs="Arial"/>
          <w:b w:val="0"/>
          <w:color w:val="auto"/>
        </w:rPr>
      </w:pPr>
      <w:r w:rsidRPr="00415CDA">
        <w:rPr>
          <w:rStyle w:val="NormalDestaque"/>
          <w:rFonts w:cs="Arial"/>
          <w:b w:val="0"/>
          <w:color w:val="auto"/>
          <w:u w:val="single"/>
        </w:rPr>
        <w:t>Cultivo</w:t>
      </w:r>
      <w:r w:rsidRPr="0069310A">
        <w:rPr>
          <w:rStyle w:val="NormalDestaque"/>
          <w:rFonts w:cs="Arial"/>
          <w:b w:val="0"/>
          <w:color w:val="auto"/>
        </w:rPr>
        <w:t xml:space="preserve"> – Áreas representadas pelo plantio de cultura perene ou anual ou horticultura, podendo ainda incluir pomares de grande extensão, foram escassos ao longo das áreas de influência da Interligação entre as represas Jaguari e Atibainha. </w:t>
      </w:r>
    </w:p>
    <w:p w:rsidR="008E73B7" w:rsidRPr="0069310A" w:rsidRDefault="008E73B7" w:rsidP="008E73B7">
      <w:pPr>
        <w:rPr>
          <w:rStyle w:val="NormalDestaque"/>
          <w:rFonts w:cs="Arial"/>
          <w:b w:val="0"/>
          <w:color w:val="auto"/>
        </w:rPr>
      </w:pPr>
      <w:r w:rsidRPr="00415CDA">
        <w:rPr>
          <w:rStyle w:val="NormalDestaque"/>
          <w:rFonts w:cs="Arial"/>
          <w:b w:val="0"/>
          <w:color w:val="auto"/>
          <w:u w:val="single"/>
        </w:rPr>
        <w:t>Reflorestamento</w:t>
      </w:r>
      <w:r w:rsidRPr="0069310A">
        <w:rPr>
          <w:rStyle w:val="NormalDestaque"/>
          <w:rFonts w:cs="Arial"/>
          <w:b w:val="0"/>
          <w:color w:val="auto"/>
        </w:rPr>
        <w:t xml:space="preserve"> - Áreas representadas pelo plantio de espécies madeireiras com fins comerciais, a exemplo de </w:t>
      </w:r>
      <w:r w:rsidRPr="0069310A">
        <w:rPr>
          <w:rStyle w:val="NormalDestaque"/>
          <w:rFonts w:cs="Arial"/>
          <w:b w:val="0"/>
          <w:i/>
          <w:color w:val="auto"/>
        </w:rPr>
        <w:t>Pinus</w:t>
      </w:r>
      <w:r w:rsidRPr="0069310A">
        <w:rPr>
          <w:rStyle w:val="NormalDestaque"/>
          <w:rFonts w:cs="Arial"/>
          <w:b w:val="0"/>
          <w:color w:val="auto"/>
        </w:rPr>
        <w:t xml:space="preserve"> e </w:t>
      </w:r>
      <w:r w:rsidRPr="0069310A">
        <w:rPr>
          <w:rStyle w:val="NormalDestaque"/>
          <w:rFonts w:cs="Arial"/>
          <w:b w:val="0"/>
          <w:i/>
          <w:color w:val="auto"/>
        </w:rPr>
        <w:t>Eucalyptus</w:t>
      </w:r>
      <w:r w:rsidRPr="0069310A">
        <w:rPr>
          <w:rStyle w:val="NormalDestaque"/>
          <w:rFonts w:cs="Arial"/>
          <w:b w:val="0"/>
          <w:color w:val="auto"/>
        </w:rPr>
        <w:t xml:space="preserve">, e caracterizadas como formações arbóreas homogêneas. As áreas de reflorestamento foram predominantes junto a represa Jaguari e na região da </w:t>
      </w:r>
      <w:r>
        <w:rPr>
          <w:rStyle w:val="NormalDestaque"/>
          <w:rFonts w:cs="Arial"/>
          <w:b w:val="0"/>
          <w:color w:val="auto"/>
        </w:rPr>
        <w:t>r</w:t>
      </w:r>
      <w:r w:rsidRPr="0069310A">
        <w:rPr>
          <w:rStyle w:val="NormalDestaque"/>
          <w:rFonts w:cs="Arial"/>
          <w:b w:val="0"/>
          <w:color w:val="auto"/>
        </w:rPr>
        <w:t xml:space="preserve">epresa Atibainha, bem como ao longo do trecho de túnel </w:t>
      </w:r>
      <w:r>
        <w:rPr>
          <w:rStyle w:val="NormalDestaque"/>
          <w:rFonts w:cs="Arial"/>
          <w:b w:val="0"/>
          <w:color w:val="auto"/>
        </w:rPr>
        <w:t>da Interligação</w:t>
      </w:r>
      <w:r w:rsidRPr="0069310A">
        <w:rPr>
          <w:rStyle w:val="NormalDestaque"/>
          <w:rFonts w:cs="Arial"/>
          <w:b w:val="0"/>
          <w:color w:val="auto"/>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4679"/>
        <w:gridCol w:w="4665"/>
      </w:tblGrid>
      <w:tr w:rsidR="00D9475A" w:rsidRPr="0069310A" w:rsidTr="00C023A0">
        <w:tc>
          <w:tcPr>
            <w:tcW w:w="4679" w:type="dxa"/>
            <w:vAlign w:val="center"/>
          </w:tcPr>
          <w:p w:rsidR="00D9475A" w:rsidRPr="0069310A" w:rsidRDefault="00D9475A" w:rsidP="00365780">
            <w:pPr>
              <w:tabs>
                <w:tab w:val="left" w:pos="720"/>
                <w:tab w:val="left" w:pos="1080"/>
                <w:tab w:val="left" w:pos="3175"/>
              </w:tabs>
              <w:spacing w:after="0"/>
              <w:jc w:val="center"/>
              <w:rPr>
                <w:rStyle w:val="NormalDestaque"/>
                <w:rFonts w:cs="Arial"/>
                <w:b w:val="0"/>
              </w:rPr>
            </w:pPr>
            <w:r w:rsidRPr="0069310A">
              <w:rPr>
                <w:rStyle w:val="NormalDestaque"/>
                <w:rFonts w:cs="Arial"/>
                <w:b w:val="0"/>
                <w:noProof/>
              </w:rPr>
              <w:drawing>
                <wp:inline distT="0" distB="0" distL="0" distR="0" wp14:anchorId="3C31E630" wp14:editId="615889FD">
                  <wp:extent cx="2912526" cy="2171700"/>
                  <wp:effectExtent l="0" t="0" r="2540" b="0"/>
                  <wp:docPr id="71" name="Imagem 71" descr="G:\CLARISSA  Imagens\2014 - 9 - Campo Jaguari\139MSDCF\DSC059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CLARISSA  Imagens\2014 - 9 - Campo Jaguari\139MSDCF\DSC05964.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2444"/>
                          <a:stretch/>
                        </pic:blipFill>
                        <pic:spPr bwMode="auto">
                          <a:xfrm>
                            <a:off x="0" y="0"/>
                            <a:ext cx="2937290" cy="219016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65" w:type="dxa"/>
            <w:vAlign w:val="center"/>
          </w:tcPr>
          <w:p w:rsidR="00D9475A" w:rsidRPr="0069310A" w:rsidRDefault="00D9475A" w:rsidP="00365780">
            <w:pPr>
              <w:tabs>
                <w:tab w:val="left" w:pos="720"/>
                <w:tab w:val="left" w:pos="1080"/>
                <w:tab w:val="left" w:pos="3175"/>
              </w:tabs>
              <w:spacing w:after="0"/>
              <w:jc w:val="center"/>
              <w:rPr>
                <w:rStyle w:val="NormalDestaque"/>
                <w:rFonts w:cs="Arial"/>
                <w:b w:val="0"/>
              </w:rPr>
            </w:pPr>
            <w:r w:rsidRPr="0069310A">
              <w:rPr>
                <w:rStyle w:val="NormalDestaque"/>
                <w:rFonts w:cs="Arial"/>
                <w:b w:val="0"/>
                <w:noProof/>
              </w:rPr>
              <w:drawing>
                <wp:inline distT="0" distB="0" distL="0" distR="0" wp14:anchorId="1CB2A4DA" wp14:editId="0C6AEEEE">
                  <wp:extent cx="2918684" cy="2184400"/>
                  <wp:effectExtent l="0" t="0" r="0" b="6350"/>
                  <wp:docPr id="24" name="Imagem 24" descr="E:\CLARISSA  Imagens\2014 - 09 - Campo Jaguari\138___09\IMG_7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CLARISSA  Imagens\2014 - 09 - Campo Jaguari\138___09\IMG_7850.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20160" cy="2185505"/>
                          </a:xfrm>
                          <a:prstGeom prst="rect">
                            <a:avLst/>
                          </a:prstGeom>
                          <a:noFill/>
                          <a:ln>
                            <a:noFill/>
                          </a:ln>
                        </pic:spPr>
                      </pic:pic>
                    </a:graphicData>
                  </a:graphic>
                </wp:inline>
              </w:drawing>
            </w:r>
          </w:p>
        </w:tc>
      </w:tr>
      <w:tr w:rsidR="00D9475A" w:rsidRPr="0069310A" w:rsidTr="00C023A0">
        <w:tc>
          <w:tcPr>
            <w:tcW w:w="4679" w:type="dxa"/>
            <w:vAlign w:val="center"/>
          </w:tcPr>
          <w:p w:rsidR="00D9475A" w:rsidRPr="0069310A" w:rsidRDefault="00D9475A" w:rsidP="00365780">
            <w:pPr>
              <w:tabs>
                <w:tab w:val="left" w:pos="720"/>
                <w:tab w:val="left" w:pos="1080"/>
                <w:tab w:val="left" w:pos="3175"/>
              </w:tabs>
              <w:spacing w:after="0"/>
              <w:rPr>
                <w:rStyle w:val="NormalDestaque"/>
                <w:rFonts w:cs="Arial"/>
                <w:b w:val="0"/>
                <w:color w:val="auto"/>
                <w:sz w:val="16"/>
                <w:szCs w:val="16"/>
              </w:rPr>
            </w:pPr>
            <w:r w:rsidRPr="0069310A">
              <w:rPr>
                <w:rStyle w:val="NormalDestaque"/>
                <w:rFonts w:cs="Arial"/>
                <w:b w:val="0"/>
                <w:color w:val="auto"/>
                <w:sz w:val="16"/>
                <w:szCs w:val="16"/>
              </w:rPr>
              <w:t>Cultivo com plantio de Napier, ADA da adutora, lado direito do traçado, sentido reservatório Atibainha. Km 8,7.</w:t>
            </w:r>
          </w:p>
        </w:tc>
        <w:tc>
          <w:tcPr>
            <w:tcW w:w="4665" w:type="dxa"/>
            <w:vAlign w:val="center"/>
          </w:tcPr>
          <w:p w:rsidR="00D9475A" w:rsidRPr="0069310A" w:rsidRDefault="00D9475A" w:rsidP="00365780">
            <w:pPr>
              <w:tabs>
                <w:tab w:val="left" w:pos="720"/>
                <w:tab w:val="left" w:pos="1080"/>
                <w:tab w:val="left" w:pos="3175"/>
              </w:tabs>
              <w:spacing w:after="0"/>
              <w:rPr>
                <w:rStyle w:val="NormalDestaque"/>
                <w:rFonts w:cs="Arial"/>
                <w:b w:val="0"/>
                <w:color w:val="auto"/>
                <w:sz w:val="16"/>
                <w:szCs w:val="16"/>
              </w:rPr>
            </w:pPr>
            <w:r w:rsidRPr="0069310A">
              <w:rPr>
                <w:rStyle w:val="NormalDestaque"/>
                <w:rFonts w:cs="Arial"/>
                <w:b w:val="0"/>
                <w:color w:val="auto"/>
                <w:sz w:val="16"/>
                <w:szCs w:val="16"/>
              </w:rPr>
              <w:t>Reflorestamento, próximo à Rodovia, em área de ADA, destinada a passagem da adutora. Região do Km 1,7.</w:t>
            </w:r>
          </w:p>
        </w:tc>
      </w:tr>
    </w:tbl>
    <w:p w:rsidR="008E73B7" w:rsidRPr="0069310A" w:rsidRDefault="008E73B7" w:rsidP="003F2023">
      <w:pPr>
        <w:spacing w:before="120"/>
        <w:rPr>
          <w:rStyle w:val="NormalDestaque"/>
          <w:rFonts w:cs="Arial"/>
          <w:b w:val="0"/>
          <w:color w:val="auto"/>
        </w:rPr>
      </w:pPr>
      <w:r w:rsidRPr="00415CDA">
        <w:rPr>
          <w:rStyle w:val="NormalDestaque"/>
          <w:rFonts w:cs="Arial"/>
          <w:b w:val="0"/>
          <w:color w:val="auto"/>
          <w:u w:val="single"/>
        </w:rPr>
        <w:t>Vegetação Antrópica</w:t>
      </w:r>
      <w:r w:rsidRPr="0069310A">
        <w:rPr>
          <w:rStyle w:val="NormalDestaque"/>
          <w:rFonts w:cs="Arial"/>
          <w:b w:val="0"/>
          <w:color w:val="auto"/>
        </w:rPr>
        <w:t xml:space="preserve"> – Áreas representadas predominantemente por espécies ornamentais, exóticas e frutíferas, com eventual ocorrência de espécies nativas, plantadas no entorno das residências para formação de jardins e pequenos pomares. </w:t>
      </w:r>
    </w:p>
    <w:p w:rsidR="008E73B7" w:rsidRPr="0069310A" w:rsidRDefault="008E73B7" w:rsidP="008E73B7">
      <w:pPr>
        <w:rPr>
          <w:rStyle w:val="NormalDestaque"/>
          <w:rFonts w:cs="Arial"/>
          <w:b w:val="0"/>
          <w:color w:val="auto"/>
        </w:rPr>
      </w:pPr>
      <w:r w:rsidRPr="00200A8F">
        <w:rPr>
          <w:rStyle w:val="NormalDestaque"/>
          <w:rFonts w:cs="Arial"/>
          <w:b w:val="0"/>
          <w:color w:val="auto"/>
          <w:u w:val="single"/>
        </w:rPr>
        <w:t>Vegetação Antropizada</w:t>
      </w:r>
      <w:r w:rsidRPr="0069310A">
        <w:rPr>
          <w:rStyle w:val="NormalDestaque"/>
          <w:rFonts w:cs="Arial"/>
          <w:b w:val="0"/>
          <w:color w:val="auto"/>
        </w:rPr>
        <w:t xml:space="preserve"> – Áreas representadas por formações mistas, onde a regeneração natural promoveu a ocorrência conjunta de espécies nativas e exóticas oriundas do abandono de terrenos ou de áreas de reflorestamento e pomares.</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4672"/>
        <w:gridCol w:w="4672"/>
      </w:tblGrid>
      <w:tr w:rsidR="00D9475A" w:rsidRPr="0069310A" w:rsidTr="00C023A0">
        <w:tc>
          <w:tcPr>
            <w:tcW w:w="4672" w:type="dxa"/>
            <w:vAlign w:val="center"/>
          </w:tcPr>
          <w:p w:rsidR="00D9475A" w:rsidRPr="0069310A" w:rsidRDefault="00D9475A" w:rsidP="00365780">
            <w:pPr>
              <w:tabs>
                <w:tab w:val="left" w:pos="720"/>
                <w:tab w:val="left" w:pos="1080"/>
                <w:tab w:val="left" w:pos="3175"/>
              </w:tabs>
              <w:spacing w:after="0"/>
              <w:jc w:val="center"/>
              <w:rPr>
                <w:rStyle w:val="NormalDestaque"/>
                <w:rFonts w:cs="Arial"/>
                <w:b w:val="0"/>
              </w:rPr>
            </w:pPr>
            <w:r w:rsidRPr="0069310A">
              <w:rPr>
                <w:rStyle w:val="NormalDestaque"/>
                <w:rFonts w:cs="Arial"/>
                <w:b w:val="0"/>
                <w:noProof/>
              </w:rPr>
              <w:lastRenderedPageBreak/>
              <w:drawing>
                <wp:inline distT="0" distB="0" distL="0" distR="0" wp14:anchorId="7D5CC89E" wp14:editId="6B896363">
                  <wp:extent cx="2878667" cy="2159000"/>
                  <wp:effectExtent l="0" t="0" r="0" b="0"/>
                  <wp:docPr id="20" name="Imagem 20" descr="G:\CLARISSA  Imagens\2014 - 9 - Campo Jaguari\139MSDCF\DSC073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CLARISSA  Imagens\2014 - 9 - Campo Jaguari\139MSDCF\DSC07369.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192" cy="2160144"/>
                          </a:xfrm>
                          <a:prstGeom prst="rect">
                            <a:avLst/>
                          </a:prstGeom>
                          <a:noFill/>
                          <a:ln>
                            <a:noFill/>
                          </a:ln>
                        </pic:spPr>
                      </pic:pic>
                    </a:graphicData>
                  </a:graphic>
                </wp:inline>
              </w:drawing>
            </w:r>
          </w:p>
        </w:tc>
        <w:tc>
          <w:tcPr>
            <w:tcW w:w="4672" w:type="dxa"/>
            <w:vAlign w:val="center"/>
          </w:tcPr>
          <w:p w:rsidR="00D9475A" w:rsidRPr="0069310A" w:rsidRDefault="00D9475A" w:rsidP="00365780">
            <w:pPr>
              <w:tabs>
                <w:tab w:val="left" w:pos="720"/>
                <w:tab w:val="left" w:pos="1080"/>
                <w:tab w:val="left" w:pos="3175"/>
              </w:tabs>
              <w:spacing w:after="0"/>
              <w:jc w:val="center"/>
              <w:rPr>
                <w:rStyle w:val="NormalDestaque"/>
                <w:rFonts w:cs="Arial"/>
                <w:b w:val="0"/>
              </w:rPr>
            </w:pPr>
            <w:r w:rsidRPr="0069310A">
              <w:rPr>
                <w:rStyle w:val="NormalDestaque"/>
                <w:rFonts w:cs="Arial"/>
                <w:b w:val="0"/>
                <w:noProof/>
              </w:rPr>
              <w:drawing>
                <wp:inline distT="0" distB="0" distL="0" distR="0" wp14:anchorId="10B6AEE6" wp14:editId="4B60709D">
                  <wp:extent cx="2887133" cy="2165350"/>
                  <wp:effectExtent l="0" t="0" r="8890" b="6350"/>
                  <wp:docPr id="73" name="Imagem 73" descr="G:\CLARISSA  Imagens\2014 - 9 - Campo Jaguari\139MSDCF\DSC06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CLARISSA  Imagens\2014 - 9 - Campo Jaguari\139MSDCF\DSC0610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8873" cy="2166655"/>
                          </a:xfrm>
                          <a:prstGeom prst="rect">
                            <a:avLst/>
                          </a:prstGeom>
                          <a:noFill/>
                          <a:ln>
                            <a:noFill/>
                          </a:ln>
                        </pic:spPr>
                      </pic:pic>
                    </a:graphicData>
                  </a:graphic>
                </wp:inline>
              </w:drawing>
            </w:r>
          </w:p>
        </w:tc>
      </w:tr>
      <w:tr w:rsidR="00D9475A" w:rsidRPr="0069310A" w:rsidTr="00C023A0">
        <w:tc>
          <w:tcPr>
            <w:tcW w:w="4672" w:type="dxa"/>
            <w:vAlign w:val="center"/>
          </w:tcPr>
          <w:p w:rsidR="00D9475A" w:rsidRPr="0069310A" w:rsidRDefault="00D9475A" w:rsidP="003370E1">
            <w:pPr>
              <w:tabs>
                <w:tab w:val="left" w:pos="720"/>
                <w:tab w:val="left" w:pos="1080"/>
                <w:tab w:val="left" w:pos="3175"/>
              </w:tabs>
              <w:spacing w:after="0"/>
              <w:rPr>
                <w:rStyle w:val="NormalDestaque"/>
                <w:rFonts w:cs="Arial"/>
                <w:b w:val="0"/>
                <w:color w:val="auto"/>
                <w:sz w:val="16"/>
                <w:szCs w:val="16"/>
              </w:rPr>
            </w:pPr>
            <w:r w:rsidRPr="0069310A">
              <w:rPr>
                <w:rStyle w:val="NormalDestaque"/>
                <w:rFonts w:cs="Arial"/>
                <w:b w:val="0"/>
                <w:color w:val="auto"/>
                <w:sz w:val="16"/>
                <w:szCs w:val="16"/>
              </w:rPr>
              <w:t xml:space="preserve">Vegetação antrópica, AID, lado direito do traçado, sentido reservatório Atibainha. </w:t>
            </w:r>
            <w:r w:rsidR="003370E1">
              <w:rPr>
                <w:rStyle w:val="NormalDestaque"/>
                <w:rFonts w:cs="Arial"/>
                <w:b w:val="0"/>
                <w:color w:val="auto"/>
                <w:sz w:val="16"/>
                <w:szCs w:val="16"/>
              </w:rPr>
              <w:t xml:space="preserve">Km </w:t>
            </w:r>
            <w:r w:rsidRPr="0069310A">
              <w:rPr>
                <w:rStyle w:val="NormalDestaque"/>
                <w:rFonts w:cs="Arial"/>
                <w:b w:val="0"/>
                <w:color w:val="auto"/>
                <w:sz w:val="16"/>
                <w:szCs w:val="16"/>
              </w:rPr>
              <w:t>5,0.</w:t>
            </w:r>
          </w:p>
        </w:tc>
        <w:tc>
          <w:tcPr>
            <w:tcW w:w="4672" w:type="dxa"/>
            <w:vAlign w:val="center"/>
          </w:tcPr>
          <w:p w:rsidR="00D9475A" w:rsidRPr="0069310A" w:rsidRDefault="00D9475A" w:rsidP="00365780">
            <w:pPr>
              <w:tabs>
                <w:tab w:val="left" w:pos="720"/>
                <w:tab w:val="left" w:pos="1080"/>
                <w:tab w:val="left" w:pos="3175"/>
              </w:tabs>
              <w:spacing w:after="0"/>
              <w:rPr>
                <w:rStyle w:val="NormalDestaque"/>
                <w:rFonts w:cs="Arial"/>
                <w:b w:val="0"/>
                <w:color w:val="auto"/>
                <w:sz w:val="16"/>
                <w:szCs w:val="16"/>
              </w:rPr>
            </w:pPr>
            <w:r w:rsidRPr="0069310A">
              <w:rPr>
                <w:rStyle w:val="NormalDestaque"/>
                <w:rFonts w:cs="Arial"/>
                <w:b w:val="0"/>
                <w:color w:val="auto"/>
                <w:sz w:val="16"/>
                <w:szCs w:val="16"/>
              </w:rPr>
              <w:t>Vegetação antropizada, ADA da adutora, lado esquerdo do traçado, sentido reservatório Atibainha. Km 7,1.</w:t>
            </w:r>
          </w:p>
        </w:tc>
      </w:tr>
    </w:tbl>
    <w:p w:rsidR="008E73B7" w:rsidRPr="0069310A" w:rsidRDefault="008E73B7" w:rsidP="003F2023">
      <w:pPr>
        <w:tabs>
          <w:tab w:val="left" w:pos="720"/>
          <w:tab w:val="left" w:pos="1080"/>
          <w:tab w:val="left" w:pos="3175"/>
        </w:tabs>
        <w:spacing w:before="120"/>
        <w:rPr>
          <w:rStyle w:val="NormalDestaque"/>
          <w:rFonts w:cs="Arial"/>
          <w:b w:val="0"/>
          <w:color w:val="auto"/>
        </w:rPr>
      </w:pPr>
      <w:r w:rsidRPr="0069310A">
        <w:rPr>
          <w:rStyle w:val="NormalDestaque"/>
          <w:rFonts w:cs="Arial"/>
          <w:b w:val="0"/>
          <w:color w:val="auto"/>
        </w:rPr>
        <w:t xml:space="preserve">Devido ao histórico de perturbações antrópicas e as características de mosaico que a vegetação nativa apresenta na área de levantamento, para o presente estudo optou-se por classificar os fragmentos remanescentes, de forma genérica, como Floresta Ombrófila. Isto se justifica, uma vez que diferentes fontes apontam para a região da represa Jaguari, ora ocorrência de Floresta Ombrófila Densa, ora ecótono da Floresta Ombrófila Mista, devido principalmente à presença esparsa de indivíduos da espécie </w:t>
      </w:r>
      <w:r w:rsidRPr="0069310A">
        <w:rPr>
          <w:rStyle w:val="NormalDestaque"/>
          <w:rFonts w:cs="Arial"/>
          <w:b w:val="0"/>
          <w:i/>
          <w:color w:val="auto"/>
        </w:rPr>
        <w:t>Araucaria angustifolia</w:t>
      </w:r>
      <w:r w:rsidRPr="0069310A">
        <w:rPr>
          <w:rStyle w:val="NormalDestaque"/>
          <w:rFonts w:cs="Arial"/>
          <w:b w:val="0"/>
          <w:color w:val="auto"/>
        </w:rPr>
        <w:t xml:space="preserve"> (araucária), a qual não esteve presente nos fragmentos avaliados, bem como outros elementos típicos dessa formação. </w:t>
      </w:r>
    </w:p>
    <w:p w:rsidR="008E73B7" w:rsidRPr="0069310A" w:rsidRDefault="008E73B7" w:rsidP="003F2023">
      <w:pPr>
        <w:tabs>
          <w:tab w:val="left" w:pos="720"/>
          <w:tab w:val="left" w:pos="1080"/>
          <w:tab w:val="left" w:pos="3175"/>
        </w:tabs>
        <w:rPr>
          <w:rStyle w:val="NormalDestaque"/>
          <w:rFonts w:cs="Arial"/>
          <w:b w:val="0"/>
          <w:color w:val="auto"/>
        </w:rPr>
      </w:pPr>
      <w:r w:rsidRPr="0069310A">
        <w:rPr>
          <w:rStyle w:val="NormalDestaque"/>
          <w:rFonts w:cs="Arial"/>
          <w:b w:val="0"/>
          <w:color w:val="auto"/>
        </w:rPr>
        <w:t>Desta forma, foram identificadas cinco principais fitofisionomias</w:t>
      </w:r>
      <w:r w:rsidRPr="00EB4C87">
        <w:rPr>
          <w:rStyle w:val="NormalDestaque"/>
          <w:rFonts w:cs="Arial"/>
          <w:b w:val="0"/>
          <w:color w:val="auto"/>
        </w:rPr>
        <w:t xml:space="preserve"> </w:t>
      </w:r>
      <w:r>
        <w:rPr>
          <w:rStyle w:val="NormalDestaque"/>
          <w:rFonts w:cs="Arial"/>
          <w:b w:val="0"/>
          <w:color w:val="auto"/>
        </w:rPr>
        <w:t>na</w:t>
      </w:r>
      <w:r w:rsidRPr="0069310A">
        <w:rPr>
          <w:rStyle w:val="NormalDestaque"/>
          <w:rFonts w:cs="Arial"/>
          <w:b w:val="0"/>
          <w:color w:val="auto"/>
        </w:rPr>
        <w:t xml:space="preserve"> vegetação nativa existente </w:t>
      </w:r>
      <w:r>
        <w:rPr>
          <w:rStyle w:val="NormalDestaque"/>
          <w:rFonts w:cs="Arial"/>
          <w:b w:val="0"/>
          <w:color w:val="auto"/>
        </w:rPr>
        <w:t>na</w:t>
      </w:r>
      <w:r w:rsidRPr="0069310A">
        <w:rPr>
          <w:rStyle w:val="NormalDestaque"/>
          <w:rFonts w:cs="Arial"/>
          <w:b w:val="0"/>
          <w:color w:val="auto"/>
        </w:rPr>
        <w:t xml:space="preserve"> AID, </w:t>
      </w:r>
      <w:r>
        <w:rPr>
          <w:rStyle w:val="NormalDestaque"/>
          <w:rFonts w:cs="Arial"/>
          <w:b w:val="0"/>
          <w:color w:val="auto"/>
        </w:rPr>
        <w:t xml:space="preserve">as quais </w:t>
      </w:r>
      <w:r w:rsidRPr="0069310A">
        <w:rPr>
          <w:rStyle w:val="NormalDestaque"/>
          <w:rFonts w:cs="Arial"/>
          <w:b w:val="0"/>
          <w:color w:val="auto"/>
        </w:rPr>
        <w:t>apresentam variações florísticas e fisionômicas em</w:t>
      </w:r>
      <w:r>
        <w:rPr>
          <w:rStyle w:val="NormalDestaque"/>
          <w:rFonts w:cs="Arial"/>
          <w:b w:val="0"/>
          <w:color w:val="auto"/>
        </w:rPr>
        <w:t xml:space="preserve"> função do grau de antropização,</w:t>
      </w:r>
      <w:r w:rsidRPr="0069310A">
        <w:rPr>
          <w:rStyle w:val="NormalDestaque"/>
          <w:rFonts w:cs="Arial"/>
          <w:b w:val="0"/>
          <w:color w:val="auto"/>
        </w:rPr>
        <w:t xml:space="preserve"> </w:t>
      </w:r>
      <w:r>
        <w:rPr>
          <w:rStyle w:val="NormalDestaque"/>
          <w:rFonts w:cs="Arial"/>
          <w:b w:val="0"/>
          <w:color w:val="auto"/>
        </w:rPr>
        <w:t>como sintetizado</w:t>
      </w:r>
      <w:r w:rsidRPr="0069310A">
        <w:rPr>
          <w:rStyle w:val="NormalDestaque"/>
          <w:rFonts w:cs="Arial"/>
          <w:b w:val="0"/>
          <w:color w:val="auto"/>
        </w:rPr>
        <w:t xml:space="preserve"> a seguir:</w:t>
      </w:r>
    </w:p>
    <w:p w:rsidR="008E73B7" w:rsidRPr="0069310A" w:rsidRDefault="008E73B7" w:rsidP="003F2023">
      <w:pPr>
        <w:tabs>
          <w:tab w:val="left" w:pos="720"/>
          <w:tab w:val="left" w:pos="1080"/>
          <w:tab w:val="left" w:pos="3175"/>
        </w:tabs>
        <w:rPr>
          <w:rStyle w:val="NormalDestaque"/>
          <w:rFonts w:cs="Arial"/>
          <w:b w:val="0"/>
          <w:color w:val="auto"/>
        </w:rPr>
      </w:pPr>
      <w:r w:rsidRPr="00200A8F">
        <w:rPr>
          <w:rStyle w:val="NormalDestaque"/>
          <w:rFonts w:cs="Arial"/>
          <w:b w:val="0"/>
          <w:color w:val="auto"/>
          <w:u w:val="single"/>
        </w:rPr>
        <w:t>Estágio Sucessional Pioneiro</w:t>
      </w:r>
      <w:r w:rsidRPr="0069310A">
        <w:rPr>
          <w:rStyle w:val="NormalDestaque"/>
          <w:rFonts w:cs="Arial"/>
          <w:b w:val="0"/>
          <w:color w:val="auto"/>
        </w:rPr>
        <w:t xml:space="preserve"> </w:t>
      </w:r>
      <w:r>
        <w:rPr>
          <w:rStyle w:val="NormalDestaque"/>
          <w:rFonts w:cs="Arial"/>
          <w:b w:val="0"/>
          <w:color w:val="auto"/>
        </w:rPr>
        <w:t>–</w:t>
      </w:r>
      <w:r w:rsidRPr="0069310A">
        <w:rPr>
          <w:rStyle w:val="NormalDestaque"/>
          <w:rFonts w:cs="Arial"/>
          <w:b w:val="0"/>
          <w:color w:val="auto"/>
        </w:rPr>
        <w:t xml:space="preserve"> Predominantemente</w:t>
      </w:r>
      <w:r>
        <w:rPr>
          <w:rStyle w:val="NormalDestaque"/>
          <w:rFonts w:cs="Arial"/>
          <w:b w:val="0"/>
          <w:color w:val="auto"/>
        </w:rPr>
        <w:t xml:space="preserve"> </w:t>
      </w:r>
      <w:r w:rsidRPr="0069310A">
        <w:rPr>
          <w:rStyle w:val="NormalDestaque"/>
          <w:rFonts w:cs="Arial"/>
          <w:b w:val="0"/>
          <w:color w:val="auto"/>
        </w:rPr>
        <w:t>observado em locais de pasto abandonado, esse tipo vegetacional caracteriza-se pela presença de espécies arbustivas, sem estratificação definida, serapilheira ausente ou descontínua, podendo ocorrer arvoretas isoladas, geralmente de caráter pioneiro. Entre as espécies observadas nesta região predominam as asteráceas como alecrim-do-campo (</w:t>
      </w:r>
      <w:r w:rsidRPr="0069310A">
        <w:rPr>
          <w:rStyle w:val="NormalDestaque"/>
          <w:rFonts w:cs="Arial"/>
          <w:b w:val="0"/>
          <w:i/>
          <w:color w:val="auto"/>
        </w:rPr>
        <w:t xml:space="preserve">Baccharis dracunculifolia, Vernonia </w:t>
      </w:r>
      <w:r w:rsidRPr="0069310A">
        <w:rPr>
          <w:rStyle w:val="NormalDestaque"/>
          <w:rFonts w:cs="Arial"/>
          <w:b w:val="0"/>
          <w:color w:val="auto"/>
        </w:rPr>
        <w:t>spp.) e as solanáceas (</w:t>
      </w:r>
      <w:r w:rsidRPr="0069310A">
        <w:rPr>
          <w:rStyle w:val="NormalDestaque"/>
          <w:rFonts w:cs="Arial"/>
          <w:b w:val="0"/>
          <w:i/>
          <w:color w:val="auto"/>
        </w:rPr>
        <w:t>Solanum spp.</w:t>
      </w:r>
      <w:r w:rsidRPr="0069310A">
        <w:rPr>
          <w:rStyle w:val="NormalDestaque"/>
          <w:rFonts w:cs="Arial"/>
          <w:b w:val="0"/>
          <w:color w:val="auto"/>
        </w:rPr>
        <w:t>) e a exótica ipê de jardim (</w:t>
      </w:r>
      <w:r w:rsidRPr="0069310A">
        <w:rPr>
          <w:rStyle w:val="NormalDestaque"/>
          <w:rFonts w:cs="Arial"/>
          <w:b w:val="0"/>
          <w:i/>
          <w:color w:val="auto"/>
        </w:rPr>
        <w:t>Tecoma stans</w:t>
      </w:r>
      <w:r w:rsidRPr="0069310A">
        <w:rPr>
          <w:rStyle w:val="NormalDestaque"/>
          <w:rFonts w:cs="Arial"/>
          <w:b w:val="0"/>
          <w:color w:val="auto"/>
        </w:rPr>
        <w:t>). Entre as espécies herbáceas mais frequentes estiveram asteráceas como o picão (</w:t>
      </w:r>
      <w:r w:rsidRPr="0069310A">
        <w:rPr>
          <w:rStyle w:val="NormalDestaque"/>
          <w:rFonts w:cs="Arial"/>
          <w:b w:val="0"/>
          <w:i/>
          <w:color w:val="auto"/>
        </w:rPr>
        <w:t>Blainvillea rhomboidea</w:t>
      </w:r>
      <w:r w:rsidRPr="0069310A">
        <w:rPr>
          <w:rStyle w:val="NormalDestaque"/>
          <w:rFonts w:cs="Arial"/>
          <w:b w:val="0"/>
          <w:color w:val="auto"/>
        </w:rPr>
        <w:t>), serralhinha (</w:t>
      </w:r>
      <w:r w:rsidRPr="0069310A">
        <w:rPr>
          <w:rStyle w:val="NormalDestaque"/>
          <w:rFonts w:cs="Arial"/>
          <w:b w:val="0"/>
          <w:i/>
          <w:color w:val="auto"/>
        </w:rPr>
        <w:t>Emilia sonchifolia</w:t>
      </w:r>
      <w:r w:rsidRPr="0069310A">
        <w:rPr>
          <w:rStyle w:val="NormalDestaque"/>
          <w:rFonts w:cs="Arial"/>
          <w:b w:val="0"/>
          <w:color w:val="auto"/>
        </w:rPr>
        <w:t>) braquiárias (</w:t>
      </w:r>
      <w:r w:rsidRPr="0069310A">
        <w:rPr>
          <w:rStyle w:val="NormalDestaque"/>
          <w:rFonts w:cs="Arial"/>
          <w:b w:val="0"/>
          <w:i/>
          <w:color w:val="auto"/>
        </w:rPr>
        <w:t>Brachiaria</w:t>
      </w:r>
      <w:r w:rsidRPr="0069310A">
        <w:rPr>
          <w:rStyle w:val="NormalDestaque"/>
          <w:rFonts w:cs="Arial"/>
          <w:b w:val="0"/>
          <w:color w:val="auto"/>
        </w:rPr>
        <w:t xml:space="preserve"> spp.) e tiriricas (</w:t>
      </w:r>
      <w:r w:rsidRPr="0069310A">
        <w:rPr>
          <w:rStyle w:val="NormalDestaque"/>
          <w:rFonts w:cs="Arial"/>
          <w:b w:val="0"/>
          <w:i/>
          <w:color w:val="auto"/>
        </w:rPr>
        <w:t>Cyperus</w:t>
      </w:r>
      <w:r w:rsidRPr="0069310A">
        <w:rPr>
          <w:rStyle w:val="NormalDestaque"/>
          <w:rFonts w:cs="Arial"/>
          <w:b w:val="0"/>
          <w:color w:val="auto"/>
        </w:rPr>
        <w:t xml:space="preserve"> spp.).</w:t>
      </w:r>
    </w:p>
    <w:p w:rsidR="008E73B7" w:rsidRPr="0069310A" w:rsidRDefault="008E73B7" w:rsidP="003F2023">
      <w:pPr>
        <w:tabs>
          <w:tab w:val="left" w:pos="720"/>
          <w:tab w:val="left" w:pos="1080"/>
          <w:tab w:val="left" w:pos="3175"/>
        </w:tabs>
        <w:rPr>
          <w:rStyle w:val="NormalDestaque"/>
          <w:rFonts w:cs="Arial"/>
          <w:b w:val="0"/>
          <w:color w:val="auto"/>
        </w:rPr>
      </w:pPr>
      <w:r w:rsidRPr="00200A8F">
        <w:rPr>
          <w:rStyle w:val="NormalDestaque"/>
          <w:rFonts w:cs="Arial"/>
          <w:b w:val="0"/>
          <w:color w:val="auto"/>
          <w:u w:val="single"/>
        </w:rPr>
        <w:t>Floresta Ombrófila em Estágio Inicial de Sucessão</w:t>
      </w:r>
      <w:r w:rsidRPr="0069310A">
        <w:rPr>
          <w:rStyle w:val="NormalDestaque"/>
          <w:rFonts w:cs="Arial"/>
          <w:b w:val="0"/>
          <w:color w:val="auto"/>
        </w:rPr>
        <w:t xml:space="preserve"> </w:t>
      </w:r>
      <w:r>
        <w:rPr>
          <w:rStyle w:val="NormalDestaque"/>
          <w:rFonts w:cs="Arial"/>
          <w:b w:val="0"/>
          <w:color w:val="auto"/>
        </w:rPr>
        <w:t>–</w:t>
      </w:r>
      <w:r w:rsidRPr="0069310A">
        <w:rPr>
          <w:rStyle w:val="NormalDestaque"/>
          <w:rFonts w:cs="Arial"/>
          <w:b w:val="0"/>
          <w:color w:val="auto"/>
        </w:rPr>
        <w:t xml:space="preserve"> Os</w:t>
      </w:r>
      <w:r>
        <w:rPr>
          <w:rStyle w:val="NormalDestaque"/>
          <w:rFonts w:cs="Arial"/>
          <w:b w:val="0"/>
          <w:color w:val="auto"/>
        </w:rPr>
        <w:t xml:space="preserve"> </w:t>
      </w:r>
      <w:r w:rsidRPr="0069310A">
        <w:rPr>
          <w:rStyle w:val="NormalDestaque"/>
          <w:rFonts w:cs="Arial"/>
          <w:b w:val="0"/>
          <w:color w:val="auto"/>
        </w:rPr>
        <w:t xml:space="preserve">remanescentes </w:t>
      </w:r>
      <w:r>
        <w:rPr>
          <w:rStyle w:val="NormalDestaque"/>
          <w:rFonts w:cs="Arial"/>
          <w:b w:val="0"/>
          <w:color w:val="auto"/>
        </w:rPr>
        <w:t>d</w:t>
      </w:r>
      <w:r w:rsidRPr="0069310A">
        <w:rPr>
          <w:rStyle w:val="NormalDestaque"/>
          <w:rFonts w:cs="Arial"/>
          <w:b w:val="0"/>
          <w:color w:val="auto"/>
        </w:rPr>
        <w:t xml:space="preserve">esta fitofisionomia </w:t>
      </w:r>
      <w:r>
        <w:rPr>
          <w:rStyle w:val="NormalDestaque"/>
          <w:rFonts w:cs="Arial"/>
          <w:b w:val="0"/>
          <w:color w:val="auto"/>
        </w:rPr>
        <w:t>na</w:t>
      </w:r>
      <w:r w:rsidRPr="0069310A">
        <w:rPr>
          <w:rStyle w:val="NormalDestaque"/>
          <w:rFonts w:cs="Arial"/>
          <w:b w:val="0"/>
          <w:color w:val="auto"/>
        </w:rPr>
        <w:t xml:space="preserve"> AID apresentam cobertura variando de aberta a fechada, com estratificação pouco definida e árvores do dossel medindo entre 6 e 8 m de altura, podendo ou não ocorrer emergentes.</w:t>
      </w:r>
    </w:p>
    <w:p w:rsidR="008E73B7" w:rsidRPr="0069310A" w:rsidRDefault="008E73B7" w:rsidP="008E73B7">
      <w:pPr>
        <w:tabs>
          <w:tab w:val="left" w:pos="720"/>
          <w:tab w:val="left" w:pos="1080"/>
          <w:tab w:val="left" w:pos="3175"/>
        </w:tabs>
        <w:rPr>
          <w:rStyle w:val="NormalDestaque"/>
          <w:rFonts w:cs="Arial"/>
          <w:b w:val="0"/>
          <w:color w:val="auto"/>
        </w:rPr>
      </w:pPr>
      <w:r w:rsidRPr="0069310A">
        <w:rPr>
          <w:rStyle w:val="NormalDestaque"/>
          <w:rFonts w:cs="Arial"/>
          <w:b w:val="0"/>
          <w:color w:val="auto"/>
        </w:rPr>
        <w:t>Além de espécies de ocorrência na vegetação pioneira, os indivíduos arbóreos, no estágio inicial são representados por espécies pioneiras e secundárias iniciais, sendo abundantes: guaçatonga (</w:t>
      </w:r>
      <w:r w:rsidRPr="0069310A">
        <w:rPr>
          <w:rStyle w:val="NormalDestaque"/>
          <w:rFonts w:cs="Arial"/>
          <w:b w:val="0"/>
          <w:i/>
          <w:color w:val="auto"/>
        </w:rPr>
        <w:t>Casearia sylvestris</w:t>
      </w:r>
      <w:r w:rsidRPr="0069310A">
        <w:rPr>
          <w:rStyle w:val="NormalDestaque"/>
          <w:rFonts w:cs="Arial"/>
          <w:b w:val="0"/>
          <w:color w:val="auto"/>
        </w:rPr>
        <w:t>), aroeira vermelha (</w:t>
      </w:r>
      <w:r w:rsidRPr="0069310A">
        <w:rPr>
          <w:rStyle w:val="NormalDestaque"/>
          <w:rFonts w:cs="Arial"/>
          <w:b w:val="0"/>
          <w:i/>
          <w:color w:val="auto"/>
        </w:rPr>
        <w:t>Schinus terebinthifolius</w:t>
      </w:r>
      <w:r w:rsidRPr="0069310A">
        <w:rPr>
          <w:rStyle w:val="NormalDestaque"/>
          <w:rFonts w:cs="Arial"/>
          <w:b w:val="0"/>
          <w:color w:val="auto"/>
        </w:rPr>
        <w:t>), quaresmeiras (</w:t>
      </w:r>
      <w:r w:rsidRPr="0069310A">
        <w:rPr>
          <w:rStyle w:val="NormalDestaque"/>
          <w:rFonts w:cs="Arial"/>
          <w:b w:val="0"/>
          <w:i/>
          <w:color w:val="auto"/>
        </w:rPr>
        <w:t>Tibouchina</w:t>
      </w:r>
      <w:r w:rsidRPr="0069310A">
        <w:rPr>
          <w:rStyle w:val="NormalDestaque"/>
          <w:rFonts w:cs="Arial"/>
          <w:b w:val="0"/>
          <w:color w:val="auto"/>
        </w:rPr>
        <w:t xml:space="preserve"> spp.), embaúbas (</w:t>
      </w:r>
      <w:r w:rsidRPr="0069310A">
        <w:rPr>
          <w:rStyle w:val="NormalDestaque"/>
          <w:rFonts w:cs="Arial"/>
          <w:b w:val="0"/>
          <w:i/>
          <w:color w:val="auto"/>
        </w:rPr>
        <w:t>Cecropia</w:t>
      </w:r>
      <w:r w:rsidRPr="0069310A">
        <w:rPr>
          <w:rStyle w:val="NormalDestaque"/>
          <w:rFonts w:cs="Arial"/>
          <w:b w:val="0"/>
          <w:color w:val="auto"/>
        </w:rPr>
        <w:t xml:space="preserve"> spp.) e capororocas (</w:t>
      </w:r>
      <w:r w:rsidRPr="0069310A">
        <w:rPr>
          <w:rStyle w:val="NormalDestaque"/>
          <w:rFonts w:cs="Arial"/>
          <w:b w:val="0"/>
          <w:i/>
          <w:color w:val="auto"/>
        </w:rPr>
        <w:t>Myrsine</w:t>
      </w:r>
      <w:r w:rsidRPr="0069310A">
        <w:rPr>
          <w:rStyle w:val="NormalDestaque"/>
          <w:rFonts w:cs="Arial"/>
          <w:b w:val="0"/>
          <w:color w:val="auto"/>
        </w:rPr>
        <w:t xml:space="preserve"> spp.), entre outras. No sub-bosque há baixa ocorrência de arbustos umbrófilos e, nas áreas mais abertas, o predomínio de gramíneas. A diversidade biológica é considerada baixa, com reduzida, ou inexistente, presença de epífitas. A presença de cipós é relativamente alta, sendo frequentes: </w:t>
      </w:r>
      <w:r w:rsidRPr="0069310A">
        <w:rPr>
          <w:rStyle w:val="NormalDestaque"/>
          <w:rFonts w:cs="Arial"/>
          <w:b w:val="0"/>
          <w:i/>
          <w:color w:val="auto"/>
        </w:rPr>
        <w:t>Ipomoea</w:t>
      </w:r>
      <w:r w:rsidRPr="0069310A">
        <w:rPr>
          <w:rStyle w:val="NormalDestaque"/>
          <w:rFonts w:cs="Arial"/>
          <w:b w:val="0"/>
          <w:color w:val="auto"/>
        </w:rPr>
        <w:t xml:space="preserve"> spp. (Convolvulaceae), </w:t>
      </w:r>
      <w:r w:rsidRPr="0069310A">
        <w:rPr>
          <w:rStyle w:val="NormalDestaque"/>
          <w:rFonts w:cs="Arial"/>
          <w:b w:val="0"/>
          <w:i/>
          <w:color w:val="auto"/>
        </w:rPr>
        <w:t>Mikania</w:t>
      </w:r>
      <w:r w:rsidRPr="0069310A">
        <w:rPr>
          <w:rStyle w:val="NormalDestaque"/>
          <w:rFonts w:cs="Arial"/>
          <w:b w:val="0"/>
          <w:color w:val="auto"/>
        </w:rPr>
        <w:t xml:space="preserve"> spp. (Asteraceae) e </w:t>
      </w:r>
      <w:r w:rsidRPr="0069310A">
        <w:rPr>
          <w:rStyle w:val="NormalDestaque"/>
          <w:rFonts w:cs="Arial"/>
          <w:b w:val="0"/>
          <w:i/>
          <w:color w:val="auto"/>
        </w:rPr>
        <w:t>Serjania</w:t>
      </w:r>
      <w:r w:rsidRPr="0069310A">
        <w:rPr>
          <w:rStyle w:val="NormalDestaque"/>
          <w:rFonts w:cs="Arial"/>
          <w:b w:val="0"/>
          <w:color w:val="auto"/>
        </w:rPr>
        <w:t xml:space="preserve"> sp. (Sapindaceae).</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4672"/>
        <w:gridCol w:w="4672"/>
      </w:tblGrid>
      <w:tr w:rsidR="00D9475A" w:rsidRPr="0069310A" w:rsidTr="00C023A0">
        <w:tc>
          <w:tcPr>
            <w:tcW w:w="4672" w:type="dxa"/>
            <w:vAlign w:val="center"/>
          </w:tcPr>
          <w:p w:rsidR="00D9475A" w:rsidRPr="0069310A" w:rsidRDefault="00D9475A" w:rsidP="00365780">
            <w:pPr>
              <w:tabs>
                <w:tab w:val="left" w:pos="720"/>
                <w:tab w:val="left" w:pos="1080"/>
                <w:tab w:val="left" w:pos="3175"/>
              </w:tabs>
              <w:spacing w:after="0"/>
              <w:jc w:val="center"/>
              <w:rPr>
                <w:rStyle w:val="NormalDestaque"/>
                <w:rFonts w:cs="Arial"/>
                <w:b w:val="0"/>
              </w:rPr>
            </w:pPr>
            <w:r w:rsidRPr="0069310A">
              <w:rPr>
                <w:rStyle w:val="NormalDestaque"/>
                <w:rFonts w:cs="Arial"/>
                <w:b w:val="0"/>
                <w:noProof/>
              </w:rPr>
              <w:lastRenderedPageBreak/>
              <w:drawing>
                <wp:inline distT="0" distB="0" distL="0" distR="0" wp14:anchorId="4DCD26AE" wp14:editId="5251AD6A">
                  <wp:extent cx="2861733" cy="2146300"/>
                  <wp:effectExtent l="0" t="0" r="0" b="6350"/>
                  <wp:docPr id="75" name="Imagem 75" descr="G:\CLARISSA  Imagens\2014 - 9 - Campo Jaguari\139MSDCF\DSC08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CLARISSA  Imagens\2014 - 9 - Campo Jaguari\139MSDCF\DSC08047.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64500" cy="2148376"/>
                          </a:xfrm>
                          <a:prstGeom prst="rect">
                            <a:avLst/>
                          </a:prstGeom>
                          <a:noFill/>
                          <a:ln>
                            <a:noFill/>
                          </a:ln>
                        </pic:spPr>
                      </pic:pic>
                    </a:graphicData>
                  </a:graphic>
                </wp:inline>
              </w:drawing>
            </w:r>
          </w:p>
        </w:tc>
        <w:tc>
          <w:tcPr>
            <w:tcW w:w="4672" w:type="dxa"/>
            <w:vAlign w:val="center"/>
          </w:tcPr>
          <w:p w:rsidR="00D9475A" w:rsidRPr="0069310A" w:rsidRDefault="00D9475A" w:rsidP="00365780">
            <w:pPr>
              <w:tabs>
                <w:tab w:val="left" w:pos="720"/>
                <w:tab w:val="left" w:pos="1080"/>
                <w:tab w:val="left" w:pos="3175"/>
              </w:tabs>
              <w:spacing w:after="0"/>
              <w:jc w:val="center"/>
              <w:rPr>
                <w:rStyle w:val="NormalDestaque"/>
                <w:rFonts w:cs="Arial"/>
                <w:b w:val="0"/>
              </w:rPr>
            </w:pPr>
            <w:r w:rsidRPr="0069310A">
              <w:rPr>
                <w:rStyle w:val="NormalDestaque"/>
                <w:rFonts w:cs="Arial"/>
                <w:b w:val="0"/>
                <w:noProof/>
              </w:rPr>
              <w:drawing>
                <wp:inline distT="0" distB="0" distL="0" distR="0" wp14:anchorId="22768AEF" wp14:editId="38BCBAFB">
                  <wp:extent cx="2895600" cy="2171700"/>
                  <wp:effectExtent l="0" t="0" r="0" b="0"/>
                  <wp:docPr id="72" name="Imagem 72" descr="G:\CLARISSA  Imagens\2014 - 9 - Campo Jaguari\139MSDCF\DSC07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CLARISSA  Imagens\2014 - 9 - Campo Jaguari\139MSDCF\DSC0742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96916" cy="2172687"/>
                          </a:xfrm>
                          <a:prstGeom prst="rect">
                            <a:avLst/>
                          </a:prstGeom>
                          <a:noFill/>
                          <a:ln>
                            <a:noFill/>
                          </a:ln>
                        </pic:spPr>
                      </pic:pic>
                    </a:graphicData>
                  </a:graphic>
                </wp:inline>
              </w:drawing>
            </w:r>
          </w:p>
        </w:tc>
      </w:tr>
      <w:tr w:rsidR="00D9475A" w:rsidRPr="0069310A" w:rsidTr="00C023A0">
        <w:tc>
          <w:tcPr>
            <w:tcW w:w="4672" w:type="dxa"/>
            <w:vAlign w:val="center"/>
          </w:tcPr>
          <w:p w:rsidR="00D9475A" w:rsidRPr="0069310A" w:rsidRDefault="00D9475A" w:rsidP="00365780">
            <w:pPr>
              <w:tabs>
                <w:tab w:val="left" w:pos="720"/>
                <w:tab w:val="left" w:pos="1080"/>
                <w:tab w:val="left" w:pos="3175"/>
              </w:tabs>
              <w:spacing w:after="0"/>
              <w:rPr>
                <w:rStyle w:val="NormalDestaque"/>
                <w:rFonts w:cs="Arial"/>
                <w:b w:val="0"/>
                <w:color w:val="auto"/>
                <w:sz w:val="16"/>
                <w:szCs w:val="16"/>
              </w:rPr>
            </w:pPr>
            <w:r w:rsidRPr="0069310A">
              <w:rPr>
                <w:rStyle w:val="NormalDestaque"/>
                <w:rFonts w:cs="Arial"/>
                <w:b w:val="0"/>
                <w:color w:val="auto"/>
                <w:sz w:val="16"/>
                <w:szCs w:val="16"/>
              </w:rPr>
              <w:t>Vegetação pioneira, AID, lado direito do traçado, sentido reservatório Atibainha. Km 11,9.</w:t>
            </w:r>
          </w:p>
        </w:tc>
        <w:tc>
          <w:tcPr>
            <w:tcW w:w="4672" w:type="dxa"/>
            <w:vAlign w:val="center"/>
          </w:tcPr>
          <w:p w:rsidR="00D9475A" w:rsidRPr="0069310A" w:rsidRDefault="00D9475A" w:rsidP="00365780">
            <w:pPr>
              <w:tabs>
                <w:tab w:val="left" w:pos="720"/>
                <w:tab w:val="left" w:pos="1080"/>
                <w:tab w:val="left" w:pos="3175"/>
              </w:tabs>
              <w:spacing w:after="0"/>
              <w:rPr>
                <w:rStyle w:val="NormalDestaque"/>
                <w:rFonts w:cs="Arial"/>
                <w:b w:val="0"/>
                <w:color w:val="auto"/>
                <w:sz w:val="16"/>
                <w:szCs w:val="16"/>
              </w:rPr>
            </w:pPr>
            <w:r w:rsidRPr="0069310A">
              <w:rPr>
                <w:rStyle w:val="NormalDestaque"/>
                <w:rFonts w:cs="Arial"/>
                <w:b w:val="0"/>
                <w:color w:val="auto"/>
                <w:sz w:val="16"/>
                <w:szCs w:val="16"/>
              </w:rPr>
              <w:t>Vegetação em estágio inicial. AID, lado direito do traçado, sentido reservatório Atibainha. Km 5,9.</w:t>
            </w:r>
          </w:p>
        </w:tc>
      </w:tr>
    </w:tbl>
    <w:p w:rsidR="00943A4D" w:rsidRPr="0069310A" w:rsidRDefault="00943A4D" w:rsidP="003F2023">
      <w:pPr>
        <w:tabs>
          <w:tab w:val="left" w:pos="720"/>
          <w:tab w:val="left" w:pos="1080"/>
          <w:tab w:val="left" w:pos="3175"/>
        </w:tabs>
        <w:spacing w:before="120"/>
        <w:rPr>
          <w:rStyle w:val="NormalDestaque"/>
          <w:rFonts w:cs="Arial"/>
          <w:b w:val="0"/>
          <w:color w:val="auto"/>
        </w:rPr>
      </w:pPr>
      <w:r w:rsidRPr="00200A8F">
        <w:rPr>
          <w:rStyle w:val="NormalDestaque"/>
          <w:rFonts w:cs="Arial"/>
          <w:b w:val="0"/>
          <w:color w:val="auto"/>
          <w:u w:val="single"/>
        </w:rPr>
        <w:t>Floresta Ombrófila em Estágio Médio de Sucessão</w:t>
      </w:r>
      <w:r w:rsidRPr="0069310A">
        <w:rPr>
          <w:rStyle w:val="NormalDestaque"/>
          <w:rFonts w:cs="Arial"/>
          <w:b w:val="0"/>
          <w:color w:val="auto"/>
        </w:rPr>
        <w:t xml:space="preserve"> </w:t>
      </w:r>
      <w:r>
        <w:rPr>
          <w:rStyle w:val="NormalDestaque"/>
          <w:rFonts w:cs="Arial"/>
          <w:b w:val="0"/>
          <w:color w:val="auto"/>
        </w:rPr>
        <w:t>–</w:t>
      </w:r>
      <w:r w:rsidRPr="0069310A">
        <w:rPr>
          <w:rStyle w:val="NormalDestaque"/>
          <w:rFonts w:cs="Arial"/>
          <w:b w:val="0"/>
          <w:color w:val="auto"/>
        </w:rPr>
        <w:t xml:space="preserve"> Os</w:t>
      </w:r>
      <w:r>
        <w:rPr>
          <w:rStyle w:val="NormalDestaque"/>
          <w:rFonts w:cs="Arial"/>
          <w:b w:val="0"/>
          <w:color w:val="auto"/>
        </w:rPr>
        <w:t xml:space="preserve"> </w:t>
      </w:r>
      <w:r w:rsidRPr="0069310A">
        <w:rPr>
          <w:rStyle w:val="NormalDestaque"/>
          <w:rFonts w:cs="Arial"/>
          <w:b w:val="0"/>
          <w:color w:val="auto"/>
        </w:rPr>
        <w:t xml:space="preserve">remanescentes </w:t>
      </w:r>
      <w:r>
        <w:rPr>
          <w:rStyle w:val="NormalDestaque"/>
          <w:rFonts w:cs="Arial"/>
          <w:b w:val="0"/>
          <w:color w:val="auto"/>
        </w:rPr>
        <w:t>d</w:t>
      </w:r>
      <w:r w:rsidRPr="0069310A">
        <w:rPr>
          <w:rStyle w:val="NormalDestaque"/>
          <w:rFonts w:cs="Arial"/>
          <w:b w:val="0"/>
          <w:color w:val="auto"/>
        </w:rPr>
        <w:t xml:space="preserve">esta fitofisionomia </w:t>
      </w:r>
      <w:r>
        <w:rPr>
          <w:rStyle w:val="NormalDestaque"/>
          <w:rFonts w:cs="Arial"/>
          <w:b w:val="0"/>
          <w:color w:val="auto"/>
        </w:rPr>
        <w:t>na</w:t>
      </w:r>
      <w:r w:rsidRPr="0069310A">
        <w:rPr>
          <w:rStyle w:val="NormalDestaque"/>
          <w:rFonts w:cs="Arial"/>
          <w:b w:val="0"/>
          <w:color w:val="auto"/>
        </w:rPr>
        <w:t xml:space="preserve"> AID apresentam cobertura variando de aberta a fechada, com presença de 3 estratos, árvores do dossel variando entre 6 e 8 m, e emergentes com até 12 metros de altura. </w:t>
      </w:r>
    </w:p>
    <w:p w:rsidR="00943A4D" w:rsidRPr="0069310A" w:rsidRDefault="00943A4D" w:rsidP="003F2023">
      <w:pPr>
        <w:tabs>
          <w:tab w:val="left" w:pos="720"/>
          <w:tab w:val="left" w:pos="1080"/>
          <w:tab w:val="left" w:pos="3175"/>
        </w:tabs>
        <w:rPr>
          <w:rStyle w:val="NormalDestaque"/>
          <w:rFonts w:cs="Arial"/>
          <w:b w:val="0"/>
          <w:color w:val="auto"/>
        </w:rPr>
      </w:pPr>
      <w:r w:rsidRPr="0069310A">
        <w:rPr>
          <w:rStyle w:val="NormalDestaque"/>
          <w:rFonts w:cs="Arial"/>
          <w:b w:val="0"/>
          <w:color w:val="auto"/>
        </w:rPr>
        <w:t xml:space="preserve">Além de espécies de ocorrência no estágio </w:t>
      </w:r>
      <w:r>
        <w:rPr>
          <w:rStyle w:val="NormalDestaque"/>
          <w:rFonts w:cs="Arial"/>
          <w:b w:val="0"/>
          <w:color w:val="auto"/>
        </w:rPr>
        <w:t>inicial, os indivíduos arbóreos</w:t>
      </w:r>
      <w:r w:rsidRPr="0069310A">
        <w:rPr>
          <w:rStyle w:val="NormalDestaque"/>
          <w:rFonts w:cs="Arial"/>
          <w:b w:val="0"/>
          <w:color w:val="auto"/>
        </w:rPr>
        <w:t xml:space="preserve"> no estágio médio são representados por espécies secundárias iniciais e tardias, sendo abundantes: camboatã (</w:t>
      </w:r>
      <w:r w:rsidRPr="0069310A">
        <w:rPr>
          <w:rStyle w:val="NormalDestaque"/>
          <w:rFonts w:cs="Arial"/>
          <w:b w:val="0"/>
          <w:i/>
          <w:color w:val="auto"/>
        </w:rPr>
        <w:t>Cupania vernalis</w:t>
      </w:r>
      <w:r w:rsidRPr="0069310A">
        <w:rPr>
          <w:rStyle w:val="NormalDestaque"/>
          <w:rFonts w:cs="Arial"/>
          <w:b w:val="0"/>
          <w:color w:val="auto"/>
        </w:rPr>
        <w:t>), tapiá (</w:t>
      </w:r>
      <w:r w:rsidRPr="0069310A">
        <w:rPr>
          <w:rStyle w:val="NormalDestaque"/>
          <w:rFonts w:cs="Arial"/>
          <w:b w:val="0"/>
          <w:i/>
          <w:color w:val="auto"/>
        </w:rPr>
        <w:t>Alchornea</w:t>
      </w:r>
      <w:r w:rsidRPr="0069310A">
        <w:rPr>
          <w:rStyle w:val="NormalDestaque"/>
          <w:rFonts w:cs="Arial"/>
          <w:b w:val="0"/>
          <w:color w:val="auto"/>
        </w:rPr>
        <w:t xml:space="preserve"> spp.), quaresmeiras (</w:t>
      </w:r>
      <w:r w:rsidRPr="0069310A">
        <w:rPr>
          <w:rStyle w:val="NormalDestaque"/>
          <w:rFonts w:cs="Arial"/>
          <w:b w:val="0"/>
          <w:i/>
          <w:color w:val="auto"/>
        </w:rPr>
        <w:t xml:space="preserve">Tibouchina </w:t>
      </w:r>
      <w:r w:rsidRPr="0069310A">
        <w:rPr>
          <w:rStyle w:val="NormalDestaque"/>
          <w:rFonts w:cs="Arial"/>
          <w:b w:val="0"/>
          <w:color w:val="auto"/>
        </w:rPr>
        <w:t>spp.), sapateiro (</w:t>
      </w:r>
      <w:r w:rsidRPr="0069310A">
        <w:rPr>
          <w:rStyle w:val="NormalDestaque"/>
          <w:rFonts w:cs="Arial"/>
          <w:b w:val="0"/>
          <w:i/>
          <w:color w:val="auto"/>
        </w:rPr>
        <w:t>Pera obovata</w:t>
      </w:r>
      <w:r w:rsidRPr="0069310A">
        <w:rPr>
          <w:rStyle w:val="NormalDestaque"/>
          <w:rFonts w:cs="Arial"/>
          <w:b w:val="0"/>
          <w:color w:val="auto"/>
        </w:rPr>
        <w:t>), angelim (</w:t>
      </w:r>
      <w:r w:rsidRPr="0069310A">
        <w:rPr>
          <w:rStyle w:val="NormalDestaque"/>
          <w:rFonts w:cs="Arial"/>
          <w:b w:val="0"/>
          <w:i/>
          <w:color w:val="auto"/>
        </w:rPr>
        <w:t>Andira</w:t>
      </w:r>
      <w:r w:rsidRPr="0069310A">
        <w:rPr>
          <w:rStyle w:val="NormalDestaque"/>
          <w:rFonts w:cs="Arial"/>
          <w:b w:val="0"/>
          <w:color w:val="auto"/>
        </w:rPr>
        <w:t xml:space="preserve"> sp.), angico (</w:t>
      </w:r>
      <w:r w:rsidRPr="0069310A">
        <w:rPr>
          <w:rStyle w:val="NormalDestaque"/>
          <w:rFonts w:cs="Arial"/>
          <w:b w:val="0"/>
          <w:i/>
          <w:color w:val="auto"/>
        </w:rPr>
        <w:t>Anadenanthera colubrina</w:t>
      </w:r>
      <w:r w:rsidRPr="0069310A">
        <w:rPr>
          <w:rStyle w:val="NormalDestaque"/>
          <w:rFonts w:cs="Arial"/>
          <w:b w:val="0"/>
          <w:color w:val="auto"/>
        </w:rPr>
        <w:t>), pau jacaré (</w:t>
      </w:r>
      <w:r w:rsidRPr="0069310A">
        <w:rPr>
          <w:rStyle w:val="NormalDestaque"/>
          <w:rFonts w:cs="Arial"/>
          <w:b w:val="0"/>
          <w:i/>
          <w:color w:val="auto"/>
        </w:rPr>
        <w:t>Piptadenia gonoacantha</w:t>
      </w:r>
      <w:r w:rsidRPr="0069310A">
        <w:rPr>
          <w:rStyle w:val="NormalDestaque"/>
          <w:rFonts w:cs="Arial"/>
          <w:b w:val="0"/>
          <w:color w:val="auto"/>
        </w:rPr>
        <w:t xml:space="preserve">), </w:t>
      </w:r>
      <w:r w:rsidRPr="0069310A">
        <w:rPr>
          <w:rFonts w:eastAsia="MS Mincho" w:cs="Arial"/>
          <w:b/>
          <w:bCs/>
        </w:rPr>
        <w:t>guamirim</w:t>
      </w:r>
      <w:r w:rsidRPr="0069310A">
        <w:rPr>
          <w:rFonts w:eastAsia="MS Mincho" w:cs="Arial"/>
          <w:b/>
          <w:bCs/>
          <w:i/>
        </w:rPr>
        <w:t xml:space="preserve"> </w:t>
      </w:r>
      <w:r w:rsidRPr="0069310A">
        <w:rPr>
          <w:rFonts w:eastAsia="MS Mincho" w:cs="Arial"/>
          <w:b/>
          <w:bCs/>
        </w:rPr>
        <w:t>(</w:t>
      </w:r>
      <w:r w:rsidRPr="0069310A">
        <w:rPr>
          <w:rFonts w:eastAsia="MS Mincho" w:cs="Arial"/>
          <w:b/>
          <w:bCs/>
          <w:i/>
        </w:rPr>
        <w:t>Myrcia splendens</w:t>
      </w:r>
      <w:r w:rsidRPr="0069310A">
        <w:rPr>
          <w:rFonts w:eastAsia="MS Mincho" w:cs="Arial"/>
          <w:b/>
          <w:bCs/>
        </w:rPr>
        <w:t>), almecega (</w:t>
      </w:r>
      <w:r w:rsidRPr="0069310A">
        <w:rPr>
          <w:rFonts w:eastAsia="MS Mincho" w:cs="Arial"/>
          <w:b/>
          <w:bCs/>
          <w:i/>
        </w:rPr>
        <w:t>Protium heptaphyllum</w:t>
      </w:r>
      <w:r w:rsidRPr="0069310A">
        <w:rPr>
          <w:rFonts w:eastAsia="MS Mincho" w:cs="Arial"/>
          <w:b/>
          <w:bCs/>
        </w:rPr>
        <w:t>), vassourão</w:t>
      </w:r>
      <w:r w:rsidRPr="0069310A">
        <w:rPr>
          <w:rFonts w:eastAsia="MS Mincho" w:cs="Arial"/>
          <w:b/>
          <w:bCs/>
          <w:i/>
        </w:rPr>
        <w:t xml:space="preserve"> </w:t>
      </w:r>
      <w:r w:rsidRPr="0069310A">
        <w:rPr>
          <w:rFonts w:eastAsia="MS Mincho" w:cs="Arial"/>
          <w:b/>
          <w:bCs/>
        </w:rPr>
        <w:t>(</w:t>
      </w:r>
      <w:r w:rsidRPr="0069310A">
        <w:rPr>
          <w:rFonts w:eastAsia="MS Mincho" w:cs="Arial"/>
          <w:b/>
          <w:bCs/>
          <w:i/>
        </w:rPr>
        <w:t>Clethra scabra</w:t>
      </w:r>
      <w:r w:rsidRPr="0069310A">
        <w:rPr>
          <w:rFonts w:eastAsia="MS Mincho" w:cs="Arial"/>
          <w:b/>
          <w:bCs/>
        </w:rPr>
        <w:t>), jerivá (</w:t>
      </w:r>
      <w:r w:rsidRPr="0069310A">
        <w:rPr>
          <w:rFonts w:eastAsia="MS Mincho" w:cs="Arial"/>
          <w:b/>
          <w:bCs/>
          <w:i/>
        </w:rPr>
        <w:t>Syagrus romanzoffiana</w:t>
      </w:r>
      <w:r w:rsidRPr="0069310A">
        <w:rPr>
          <w:rFonts w:eastAsia="MS Mincho" w:cs="Arial"/>
          <w:b/>
          <w:bCs/>
        </w:rPr>
        <w:t>), entre outras</w:t>
      </w:r>
      <w:r w:rsidRPr="0069310A">
        <w:rPr>
          <w:rStyle w:val="NormalDestaque"/>
          <w:rFonts w:cs="Arial"/>
          <w:b w:val="0"/>
          <w:color w:val="auto"/>
        </w:rPr>
        <w:t>. No sub-bosque ocorrem arbustos umbrófilos, principalmente de espécies das famílias Rubiaceae (</w:t>
      </w:r>
      <w:r w:rsidRPr="0069310A">
        <w:rPr>
          <w:rStyle w:val="NormalDestaque"/>
          <w:rFonts w:cs="Arial"/>
          <w:b w:val="0"/>
          <w:i/>
          <w:color w:val="auto"/>
        </w:rPr>
        <w:t>Psychotria</w:t>
      </w:r>
      <w:r w:rsidRPr="0069310A">
        <w:rPr>
          <w:rStyle w:val="NormalDestaque"/>
          <w:rFonts w:cs="Arial"/>
          <w:b w:val="0"/>
          <w:color w:val="auto"/>
        </w:rPr>
        <w:t xml:space="preserve"> spp.), Melastomataceae (</w:t>
      </w:r>
      <w:r w:rsidRPr="0069310A">
        <w:rPr>
          <w:rStyle w:val="NormalDestaque"/>
          <w:rFonts w:cs="Arial"/>
          <w:b w:val="0"/>
          <w:i/>
          <w:color w:val="auto"/>
        </w:rPr>
        <w:t xml:space="preserve">Miconia </w:t>
      </w:r>
      <w:r w:rsidRPr="0069310A">
        <w:rPr>
          <w:rStyle w:val="NormalDestaque"/>
          <w:rFonts w:cs="Arial"/>
          <w:b w:val="0"/>
          <w:color w:val="auto"/>
        </w:rPr>
        <w:t>spp.), Myrtaceae (</w:t>
      </w:r>
      <w:r w:rsidRPr="0069310A">
        <w:rPr>
          <w:rStyle w:val="NormalDestaque"/>
          <w:rFonts w:cs="Arial"/>
          <w:b w:val="0"/>
          <w:i/>
          <w:color w:val="auto"/>
        </w:rPr>
        <w:t xml:space="preserve">Myrcia </w:t>
      </w:r>
      <w:r w:rsidRPr="0069310A">
        <w:rPr>
          <w:rStyle w:val="NormalDestaque"/>
          <w:rFonts w:cs="Arial"/>
          <w:b w:val="0"/>
          <w:color w:val="auto"/>
        </w:rPr>
        <w:t>spp.), Piperaceae (</w:t>
      </w:r>
      <w:r w:rsidRPr="0069310A">
        <w:rPr>
          <w:rStyle w:val="NormalDestaque"/>
          <w:rFonts w:cs="Arial"/>
          <w:b w:val="0"/>
          <w:i/>
          <w:color w:val="auto"/>
        </w:rPr>
        <w:t>Piper</w:t>
      </w:r>
      <w:r w:rsidRPr="0069310A">
        <w:rPr>
          <w:rStyle w:val="NormalDestaque"/>
          <w:rFonts w:cs="Arial"/>
          <w:b w:val="0"/>
          <w:color w:val="auto"/>
        </w:rPr>
        <w:t xml:space="preserve"> spp.); havendo diversidade biológica significativa, com eventual ocorrência de samambaia-açu</w:t>
      </w:r>
      <w:r w:rsidRPr="0069310A">
        <w:rPr>
          <w:rStyle w:val="NormalDestaque"/>
          <w:rFonts w:cs="Arial"/>
          <w:b w:val="0"/>
          <w:i/>
          <w:color w:val="auto"/>
        </w:rPr>
        <w:t xml:space="preserve"> </w:t>
      </w:r>
      <w:r w:rsidRPr="0069310A">
        <w:rPr>
          <w:rStyle w:val="NormalDestaque"/>
          <w:rFonts w:cs="Arial"/>
          <w:b w:val="0"/>
          <w:color w:val="auto"/>
        </w:rPr>
        <w:t>(</w:t>
      </w:r>
      <w:r w:rsidRPr="0069310A">
        <w:rPr>
          <w:rStyle w:val="NormalDestaque"/>
          <w:rFonts w:cs="Arial"/>
          <w:b w:val="0"/>
          <w:i/>
          <w:color w:val="auto"/>
        </w:rPr>
        <w:t>Cyathea</w:t>
      </w:r>
      <w:r w:rsidRPr="0069310A">
        <w:rPr>
          <w:rStyle w:val="NormalDestaque"/>
          <w:rFonts w:cs="Arial"/>
          <w:b w:val="0"/>
          <w:color w:val="auto"/>
        </w:rPr>
        <w:t xml:space="preserve"> sp.). A presença de cipós é mais intensa em áreas de borda destes fragmentos e as epífitas representadas, especialmente, pelas famílias Bromeliaceae (</w:t>
      </w:r>
      <w:r w:rsidRPr="0069310A">
        <w:rPr>
          <w:rStyle w:val="NormalDestaque"/>
          <w:rFonts w:cs="Arial"/>
          <w:b w:val="0"/>
          <w:i/>
          <w:color w:val="auto"/>
        </w:rPr>
        <w:t>Tillandsia</w:t>
      </w:r>
      <w:r w:rsidRPr="0069310A">
        <w:rPr>
          <w:rStyle w:val="NormalDestaque"/>
          <w:rFonts w:cs="Arial"/>
          <w:b w:val="0"/>
          <w:color w:val="auto"/>
        </w:rPr>
        <w:t xml:space="preserve"> spp., </w:t>
      </w:r>
      <w:r w:rsidRPr="0069310A">
        <w:rPr>
          <w:rStyle w:val="NormalDestaque"/>
          <w:rFonts w:cs="Arial"/>
          <w:b w:val="0"/>
          <w:i/>
          <w:color w:val="auto"/>
        </w:rPr>
        <w:t>Aechmea</w:t>
      </w:r>
      <w:r w:rsidRPr="0069310A">
        <w:rPr>
          <w:rStyle w:val="NormalDestaque"/>
          <w:rFonts w:cs="Arial"/>
          <w:b w:val="0"/>
          <w:color w:val="auto"/>
        </w:rPr>
        <w:t xml:space="preserve"> spp.) e Polypodiaceae (</w:t>
      </w:r>
      <w:r w:rsidRPr="0069310A">
        <w:rPr>
          <w:rStyle w:val="NormalDestaque"/>
          <w:rFonts w:cs="Arial"/>
          <w:b w:val="0"/>
          <w:i/>
          <w:color w:val="auto"/>
        </w:rPr>
        <w:t>Polypodium</w:t>
      </w:r>
      <w:r w:rsidRPr="0069310A">
        <w:rPr>
          <w:rStyle w:val="NormalDestaque"/>
          <w:rFonts w:cs="Arial"/>
          <w:b w:val="0"/>
          <w:color w:val="auto"/>
        </w:rPr>
        <w:t xml:space="preserve"> spp., </w:t>
      </w:r>
      <w:r w:rsidRPr="0069310A">
        <w:rPr>
          <w:rStyle w:val="NormalDestaque"/>
          <w:rFonts w:cs="Arial"/>
          <w:b w:val="0"/>
          <w:i/>
          <w:color w:val="auto"/>
        </w:rPr>
        <w:t>Micrograma</w:t>
      </w:r>
      <w:r w:rsidRPr="0069310A">
        <w:rPr>
          <w:rStyle w:val="NormalDestaque"/>
          <w:rFonts w:cs="Arial"/>
          <w:b w:val="0"/>
          <w:color w:val="auto"/>
        </w:rPr>
        <w:t xml:space="preserve"> spp.).</w:t>
      </w:r>
    </w:p>
    <w:p w:rsidR="00943A4D" w:rsidRPr="0069310A" w:rsidRDefault="00943A4D" w:rsidP="003F2023">
      <w:pPr>
        <w:tabs>
          <w:tab w:val="left" w:pos="720"/>
          <w:tab w:val="left" w:pos="1080"/>
          <w:tab w:val="left" w:pos="3175"/>
        </w:tabs>
        <w:rPr>
          <w:rStyle w:val="NormalDestaque"/>
          <w:rFonts w:cs="Arial"/>
          <w:b w:val="0"/>
          <w:color w:val="auto"/>
        </w:rPr>
      </w:pPr>
      <w:r w:rsidRPr="00200A8F">
        <w:rPr>
          <w:rStyle w:val="NormalDestaque"/>
          <w:rFonts w:cs="Arial"/>
          <w:b w:val="0"/>
          <w:color w:val="auto"/>
          <w:u w:val="single"/>
        </w:rPr>
        <w:t>Floresta Ombrófila em Estágio Avançado de Sucessão</w:t>
      </w:r>
      <w:r w:rsidRPr="0069310A">
        <w:rPr>
          <w:rStyle w:val="NormalDestaque"/>
          <w:rFonts w:cs="Arial"/>
          <w:b w:val="0"/>
          <w:color w:val="auto"/>
        </w:rPr>
        <w:t xml:space="preserve"> </w:t>
      </w:r>
      <w:r>
        <w:rPr>
          <w:rStyle w:val="NormalDestaque"/>
          <w:rFonts w:cs="Arial"/>
          <w:b w:val="0"/>
          <w:color w:val="auto"/>
        </w:rPr>
        <w:t>–</w:t>
      </w:r>
      <w:r w:rsidRPr="0069310A">
        <w:rPr>
          <w:rStyle w:val="NormalDestaque"/>
          <w:rFonts w:cs="Arial"/>
          <w:b w:val="0"/>
          <w:color w:val="auto"/>
        </w:rPr>
        <w:t xml:space="preserve"> Os</w:t>
      </w:r>
      <w:r>
        <w:rPr>
          <w:rStyle w:val="NormalDestaque"/>
          <w:rFonts w:cs="Arial"/>
          <w:b w:val="0"/>
          <w:color w:val="auto"/>
        </w:rPr>
        <w:t xml:space="preserve"> </w:t>
      </w:r>
      <w:r w:rsidRPr="0069310A">
        <w:rPr>
          <w:rStyle w:val="NormalDestaque"/>
          <w:rFonts w:cs="Arial"/>
          <w:b w:val="0"/>
          <w:color w:val="auto"/>
        </w:rPr>
        <w:t xml:space="preserve">remanescentes </w:t>
      </w:r>
      <w:r>
        <w:rPr>
          <w:rStyle w:val="NormalDestaque"/>
          <w:rFonts w:cs="Arial"/>
          <w:b w:val="0"/>
          <w:color w:val="auto"/>
        </w:rPr>
        <w:t>d</w:t>
      </w:r>
      <w:r w:rsidRPr="0069310A">
        <w:rPr>
          <w:rStyle w:val="NormalDestaque"/>
          <w:rFonts w:cs="Arial"/>
          <w:b w:val="0"/>
          <w:color w:val="auto"/>
        </w:rPr>
        <w:t xml:space="preserve">esta fitofisionomia </w:t>
      </w:r>
      <w:r>
        <w:rPr>
          <w:rStyle w:val="NormalDestaque"/>
          <w:rFonts w:cs="Arial"/>
          <w:b w:val="0"/>
          <w:color w:val="auto"/>
        </w:rPr>
        <w:t>na</w:t>
      </w:r>
      <w:r w:rsidRPr="0069310A">
        <w:rPr>
          <w:rStyle w:val="NormalDestaque"/>
          <w:rFonts w:cs="Arial"/>
          <w:b w:val="0"/>
          <w:color w:val="auto"/>
        </w:rPr>
        <w:t xml:space="preserve"> AID apresentam cobertura fechada, com presença de 3 estratos, árvores do dossel variando entre 8 e 10 m, e emergentes com até 18 metros de altura. </w:t>
      </w:r>
    </w:p>
    <w:p w:rsidR="00943A4D" w:rsidRPr="0069310A" w:rsidRDefault="00943A4D" w:rsidP="003F2023">
      <w:pPr>
        <w:tabs>
          <w:tab w:val="left" w:pos="720"/>
          <w:tab w:val="left" w:pos="1080"/>
          <w:tab w:val="left" w:pos="3175"/>
        </w:tabs>
        <w:rPr>
          <w:rStyle w:val="NormalDestaque"/>
          <w:rFonts w:cs="Arial"/>
          <w:b w:val="0"/>
          <w:color w:val="auto"/>
        </w:rPr>
      </w:pPr>
      <w:r w:rsidRPr="0069310A">
        <w:rPr>
          <w:rStyle w:val="NormalDestaque"/>
          <w:rFonts w:cs="Arial"/>
          <w:b w:val="0"/>
          <w:color w:val="auto"/>
        </w:rPr>
        <w:t>No estágio avançado, além das espécies citadas para o estágio médio, destaca-se a ocorrência de espécies clímax, a exemplo das canelas (</w:t>
      </w:r>
      <w:r w:rsidRPr="0069310A">
        <w:rPr>
          <w:rStyle w:val="NormalDestaque"/>
          <w:rFonts w:cs="Arial"/>
          <w:b w:val="0"/>
          <w:i/>
          <w:color w:val="auto"/>
        </w:rPr>
        <w:t xml:space="preserve">Ocotea </w:t>
      </w:r>
      <w:r w:rsidRPr="0069310A">
        <w:rPr>
          <w:rStyle w:val="NormalDestaque"/>
          <w:rFonts w:cs="Arial"/>
          <w:b w:val="0"/>
          <w:color w:val="auto"/>
        </w:rPr>
        <w:t xml:space="preserve">spp., </w:t>
      </w:r>
      <w:r w:rsidRPr="0069310A">
        <w:rPr>
          <w:rStyle w:val="NormalDestaque"/>
          <w:rFonts w:cs="Arial"/>
          <w:b w:val="0"/>
          <w:i/>
          <w:color w:val="auto"/>
        </w:rPr>
        <w:t>Nectandra</w:t>
      </w:r>
      <w:r w:rsidRPr="0069310A">
        <w:rPr>
          <w:rStyle w:val="NormalDestaque"/>
          <w:rFonts w:cs="Arial"/>
          <w:b w:val="0"/>
          <w:color w:val="auto"/>
        </w:rPr>
        <w:t xml:space="preserve"> spp.). Também estão presentes: guatambu (</w:t>
      </w:r>
      <w:r w:rsidRPr="0069310A">
        <w:rPr>
          <w:rStyle w:val="NormalDestaque"/>
          <w:rFonts w:cs="Arial"/>
          <w:b w:val="0"/>
          <w:i/>
          <w:color w:val="auto"/>
        </w:rPr>
        <w:t>Aspidosperma</w:t>
      </w:r>
      <w:r w:rsidRPr="0069310A">
        <w:rPr>
          <w:rStyle w:val="NormalDestaque"/>
          <w:rFonts w:cs="Arial"/>
          <w:b w:val="0"/>
          <w:color w:val="auto"/>
        </w:rPr>
        <w:t xml:space="preserve"> spp.), cedro (</w:t>
      </w:r>
      <w:r w:rsidRPr="0069310A">
        <w:rPr>
          <w:rStyle w:val="NormalDestaque"/>
          <w:rFonts w:cs="Arial"/>
          <w:b w:val="0"/>
          <w:i/>
          <w:color w:val="auto"/>
        </w:rPr>
        <w:t>Cedrela</w:t>
      </w:r>
      <w:r w:rsidRPr="0069310A">
        <w:rPr>
          <w:rStyle w:val="NormalDestaque"/>
          <w:rFonts w:cs="Arial"/>
          <w:b w:val="0"/>
          <w:color w:val="auto"/>
        </w:rPr>
        <w:t xml:space="preserve"> spp.), figueiras (</w:t>
      </w:r>
      <w:r w:rsidRPr="0069310A">
        <w:rPr>
          <w:rStyle w:val="NormalDestaque"/>
          <w:rFonts w:cs="Arial"/>
          <w:b w:val="0"/>
          <w:i/>
          <w:color w:val="auto"/>
        </w:rPr>
        <w:t>Ficus</w:t>
      </w:r>
      <w:r w:rsidRPr="0069310A">
        <w:rPr>
          <w:rStyle w:val="NormalDestaque"/>
          <w:rFonts w:cs="Arial"/>
          <w:b w:val="0"/>
          <w:color w:val="auto"/>
        </w:rPr>
        <w:t xml:space="preserve"> spp.), carne de vaca (</w:t>
      </w:r>
      <w:r w:rsidRPr="0069310A">
        <w:rPr>
          <w:rStyle w:val="NormalDestaque"/>
          <w:rFonts w:cs="Arial"/>
          <w:b w:val="0"/>
          <w:i/>
          <w:color w:val="auto"/>
        </w:rPr>
        <w:t>Roupala</w:t>
      </w:r>
      <w:r w:rsidRPr="0069310A">
        <w:rPr>
          <w:rStyle w:val="NormalDestaque"/>
          <w:rFonts w:cs="Arial"/>
          <w:b w:val="0"/>
          <w:color w:val="auto"/>
        </w:rPr>
        <w:t xml:space="preserve"> sp.), mamica-de-porca (</w:t>
      </w:r>
      <w:r w:rsidRPr="0069310A">
        <w:rPr>
          <w:rStyle w:val="NormalDestaque"/>
          <w:rFonts w:cs="Arial"/>
          <w:b w:val="0"/>
          <w:i/>
          <w:color w:val="auto"/>
        </w:rPr>
        <w:t>Zanthoxyllum</w:t>
      </w:r>
      <w:r w:rsidRPr="0069310A">
        <w:rPr>
          <w:rStyle w:val="NormalDestaque"/>
          <w:rFonts w:cs="Arial"/>
          <w:b w:val="0"/>
          <w:color w:val="auto"/>
        </w:rPr>
        <w:t xml:space="preserve"> spp.), bico-de-pato (</w:t>
      </w:r>
      <w:r w:rsidRPr="0069310A">
        <w:rPr>
          <w:rStyle w:val="NormalDestaque"/>
          <w:rFonts w:cs="Arial"/>
          <w:b w:val="0"/>
          <w:i/>
          <w:color w:val="auto"/>
        </w:rPr>
        <w:t xml:space="preserve">Machaerium </w:t>
      </w:r>
      <w:r w:rsidRPr="0069310A">
        <w:rPr>
          <w:rStyle w:val="NormalDestaque"/>
          <w:rFonts w:cs="Arial"/>
          <w:b w:val="0"/>
          <w:color w:val="auto"/>
        </w:rPr>
        <w:t>spp.), entre outras.</w:t>
      </w:r>
    </w:p>
    <w:p w:rsidR="00943A4D" w:rsidRPr="0069310A" w:rsidRDefault="00943A4D" w:rsidP="00943A4D">
      <w:pPr>
        <w:tabs>
          <w:tab w:val="left" w:pos="720"/>
          <w:tab w:val="left" w:pos="1080"/>
          <w:tab w:val="left" w:pos="3175"/>
        </w:tabs>
        <w:rPr>
          <w:rStyle w:val="NormalDestaque"/>
          <w:rFonts w:cs="Arial"/>
          <w:b w:val="0"/>
          <w:color w:val="auto"/>
        </w:rPr>
      </w:pPr>
      <w:r w:rsidRPr="0069310A">
        <w:rPr>
          <w:rStyle w:val="NormalDestaque"/>
          <w:rFonts w:cs="Arial"/>
          <w:b w:val="0"/>
          <w:color w:val="auto"/>
        </w:rPr>
        <w:t>No sub-bosque ocorrem arbustos umbrófilos, principalmente das famílias Rubiaceae (</w:t>
      </w:r>
      <w:r w:rsidRPr="0069310A">
        <w:rPr>
          <w:rStyle w:val="NormalDestaque"/>
          <w:rFonts w:cs="Arial"/>
          <w:b w:val="0"/>
          <w:i/>
          <w:color w:val="auto"/>
        </w:rPr>
        <w:t>Psychotria</w:t>
      </w:r>
      <w:r w:rsidRPr="0069310A">
        <w:rPr>
          <w:rStyle w:val="NormalDestaque"/>
          <w:rFonts w:cs="Arial"/>
          <w:b w:val="0"/>
          <w:color w:val="auto"/>
        </w:rPr>
        <w:t xml:space="preserve"> spp., </w:t>
      </w:r>
      <w:r w:rsidRPr="0069310A">
        <w:rPr>
          <w:rStyle w:val="NormalDestaque"/>
          <w:rFonts w:cs="Arial"/>
          <w:b w:val="0"/>
          <w:i/>
          <w:color w:val="auto"/>
        </w:rPr>
        <w:t>Manettia</w:t>
      </w:r>
      <w:r w:rsidRPr="0069310A">
        <w:rPr>
          <w:rStyle w:val="NormalDestaque"/>
          <w:rFonts w:cs="Arial"/>
          <w:b w:val="0"/>
          <w:color w:val="auto"/>
        </w:rPr>
        <w:t xml:space="preserve"> sp.), Melastomataceae (</w:t>
      </w:r>
      <w:r w:rsidRPr="0069310A">
        <w:rPr>
          <w:rStyle w:val="NormalDestaque"/>
          <w:rFonts w:cs="Arial"/>
          <w:b w:val="0"/>
          <w:i/>
          <w:color w:val="auto"/>
        </w:rPr>
        <w:t>Clidemia</w:t>
      </w:r>
      <w:r w:rsidRPr="0069310A">
        <w:rPr>
          <w:rStyle w:val="NormalDestaque"/>
          <w:rFonts w:cs="Arial"/>
          <w:b w:val="0"/>
          <w:color w:val="auto"/>
        </w:rPr>
        <w:t xml:space="preserve"> spp., </w:t>
      </w:r>
      <w:r w:rsidRPr="0069310A">
        <w:rPr>
          <w:rStyle w:val="NormalDestaque"/>
          <w:rFonts w:cs="Arial"/>
          <w:b w:val="0"/>
          <w:i/>
          <w:color w:val="auto"/>
        </w:rPr>
        <w:t>Miconia</w:t>
      </w:r>
      <w:r w:rsidRPr="0069310A">
        <w:rPr>
          <w:rStyle w:val="NormalDestaque"/>
          <w:rFonts w:cs="Arial"/>
          <w:b w:val="0"/>
          <w:color w:val="auto"/>
        </w:rPr>
        <w:t xml:space="preserve"> spp.), Myrtaceae (</w:t>
      </w:r>
      <w:r w:rsidRPr="0069310A">
        <w:rPr>
          <w:rStyle w:val="NormalDestaque"/>
          <w:rFonts w:cs="Arial"/>
          <w:b w:val="0"/>
          <w:i/>
          <w:color w:val="auto"/>
        </w:rPr>
        <w:t>Myrcia</w:t>
      </w:r>
      <w:r w:rsidRPr="0069310A">
        <w:rPr>
          <w:rStyle w:val="NormalDestaque"/>
          <w:rFonts w:cs="Arial"/>
          <w:b w:val="0"/>
          <w:color w:val="auto"/>
        </w:rPr>
        <w:t xml:space="preserve"> spp., </w:t>
      </w:r>
      <w:r w:rsidRPr="0069310A">
        <w:rPr>
          <w:rStyle w:val="NormalDestaque"/>
          <w:rFonts w:cs="Arial"/>
          <w:b w:val="0"/>
          <w:i/>
          <w:color w:val="auto"/>
        </w:rPr>
        <w:t>Eugenia</w:t>
      </w:r>
      <w:r w:rsidRPr="0069310A">
        <w:rPr>
          <w:rStyle w:val="NormalDestaque"/>
          <w:rFonts w:cs="Arial"/>
          <w:b w:val="0"/>
          <w:color w:val="auto"/>
        </w:rPr>
        <w:t xml:space="preserve"> spp.), Piperaceae (</w:t>
      </w:r>
      <w:r w:rsidRPr="0069310A">
        <w:rPr>
          <w:rStyle w:val="NormalDestaque"/>
          <w:rFonts w:cs="Arial"/>
          <w:b w:val="0"/>
          <w:i/>
          <w:color w:val="auto"/>
        </w:rPr>
        <w:t>Piper</w:t>
      </w:r>
      <w:r w:rsidRPr="0069310A">
        <w:rPr>
          <w:rStyle w:val="NormalDestaque"/>
          <w:rFonts w:cs="Arial"/>
          <w:b w:val="0"/>
          <w:color w:val="auto"/>
        </w:rPr>
        <w:t xml:space="preserve"> spp.), havendo alta diversidade biológica e ocorrência de samambaia-açu</w:t>
      </w:r>
      <w:r w:rsidRPr="0069310A">
        <w:rPr>
          <w:rStyle w:val="NormalDestaque"/>
          <w:rFonts w:cs="Arial"/>
          <w:b w:val="0"/>
          <w:i/>
          <w:color w:val="auto"/>
        </w:rPr>
        <w:t xml:space="preserve"> </w:t>
      </w:r>
      <w:r w:rsidRPr="0069310A">
        <w:rPr>
          <w:rStyle w:val="NormalDestaque"/>
          <w:rFonts w:cs="Arial"/>
          <w:b w:val="0"/>
          <w:color w:val="auto"/>
        </w:rPr>
        <w:t>(</w:t>
      </w:r>
      <w:r w:rsidRPr="0069310A">
        <w:rPr>
          <w:rStyle w:val="NormalDestaque"/>
          <w:rFonts w:cs="Arial"/>
          <w:b w:val="0"/>
          <w:i/>
          <w:color w:val="auto"/>
        </w:rPr>
        <w:t>Cyathea</w:t>
      </w:r>
      <w:r w:rsidRPr="0069310A">
        <w:rPr>
          <w:rStyle w:val="NormalDestaque"/>
          <w:rFonts w:cs="Arial"/>
          <w:b w:val="0"/>
          <w:color w:val="auto"/>
        </w:rPr>
        <w:t xml:space="preserve"> sp.). A presença de cipós é pouco expressiva e as epífitas apresentam alta diversidade, representadas especialmente pelas famílias Bromeliaceae (</w:t>
      </w:r>
      <w:r w:rsidRPr="0069310A">
        <w:rPr>
          <w:rStyle w:val="NormalDestaque"/>
          <w:rFonts w:cs="Arial"/>
          <w:b w:val="0"/>
          <w:i/>
          <w:color w:val="auto"/>
        </w:rPr>
        <w:t>Tillandsia</w:t>
      </w:r>
      <w:r w:rsidRPr="0069310A">
        <w:rPr>
          <w:rStyle w:val="NormalDestaque"/>
          <w:rFonts w:cs="Arial"/>
          <w:b w:val="0"/>
          <w:color w:val="auto"/>
        </w:rPr>
        <w:t xml:space="preserve"> spp., </w:t>
      </w:r>
      <w:r w:rsidRPr="0069310A">
        <w:rPr>
          <w:rStyle w:val="NormalDestaque"/>
          <w:rFonts w:cs="Arial"/>
          <w:b w:val="0"/>
          <w:i/>
          <w:color w:val="auto"/>
        </w:rPr>
        <w:t xml:space="preserve">Vriesea </w:t>
      </w:r>
      <w:r w:rsidRPr="0069310A">
        <w:rPr>
          <w:rStyle w:val="NormalDestaque"/>
          <w:rFonts w:cs="Arial"/>
          <w:b w:val="0"/>
          <w:color w:val="auto"/>
        </w:rPr>
        <w:t xml:space="preserve">spp., </w:t>
      </w:r>
      <w:r w:rsidRPr="0069310A">
        <w:rPr>
          <w:rStyle w:val="NormalDestaque"/>
          <w:rFonts w:cs="Arial"/>
          <w:b w:val="0"/>
          <w:i/>
          <w:color w:val="auto"/>
        </w:rPr>
        <w:t>Canistrum</w:t>
      </w:r>
      <w:r w:rsidRPr="0069310A">
        <w:rPr>
          <w:rStyle w:val="NormalDestaque"/>
          <w:rFonts w:cs="Arial"/>
          <w:b w:val="0"/>
          <w:color w:val="auto"/>
        </w:rPr>
        <w:t xml:space="preserve"> sp., </w:t>
      </w:r>
      <w:r w:rsidRPr="0069310A">
        <w:rPr>
          <w:rStyle w:val="NormalDestaque"/>
          <w:rFonts w:cs="Arial"/>
          <w:b w:val="0"/>
          <w:i/>
          <w:color w:val="auto"/>
        </w:rPr>
        <w:t xml:space="preserve">Aechmea </w:t>
      </w:r>
      <w:r w:rsidRPr="0069310A">
        <w:rPr>
          <w:rStyle w:val="NormalDestaque"/>
          <w:rFonts w:cs="Arial"/>
          <w:b w:val="0"/>
          <w:color w:val="auto"/>
        </w:rPr>
        <w:t>spp.), Orchidaceae (</w:t>
      </w:r>
      <w:r w:rsidRPr="0069310A">
        <w:rPr>
          <w:rStyle w:val="NormalDestaque"/>
          <w:rFonts w:cs="Arial"/>
          <w:b w:val="0"/>
          <w:i/>
          <w:color w:val="auto"/>
        </w:rPr>
        <w:t>Oncidium</w:t>
      </w:r>
      <w:r w:rsidRPr="0069310A">
        <w:rPr>
          <w:rStyle w:val="NormalDestaque"/>
          <w:rFonts w:cs="Arial"/>
          <w:b w:val="0"/>
          <w:color w:val="auto"/>
        </w:rPr>
        <w:t xml:space="preserve"> sp., </w:t>
      </w:r>
      <w:r w:rsidRPr="0069310A">
        <w:rPr>
          <w:rStyle w:val="NormalDestaque"/>
          <w:rFonts w:cs="Arial"/>
          <w:b w:val="0"/>
          <w:i/>
          <w:color w:val="auto"/>
        </w:rPr>
        <w:t>Catasetum</w:t>
      </w:r>
      <w:r w:rsidRPr="0069310A">
        <w:rPr>
          <w:rStyle w:val="NormalDestaque"/>
          <w:rFonts w:cs="Arial"/>
          <w:b w:val="0"/>
          <w:color w:val="auto"/>
        </w:rPr>
        <w:t xml:space="preserve"> sp.), Cactaceae (</w:t>
      </w:r>
      <w:r w:rsidRPr="0069310A">
        <w:rPr>
          <w:rStyle w:val="NormalDestaque"/>
          <w:rFonts w:cs="Arial"/>
          <w:b w:val="0"/>
          <w:i/>
          <w:color w:val="auto"/>
        </w:rPr>
        <w:t>Rhipsalis</w:t>
      </w:r>
      <w:r w:rsidRPr="0069310A">
        <w:rPr>
          <w:rStyle w:val="NormalDestaque"/>
          <w:rFonts w:cs="Arial"/>
          <w:b w:val="0"/>
          <w:color w:val="auto"/>
        </w:rPr>
        <w:t xml:space="preserve"> spp.), Gesneriaceae (</w:t>
      </w:r>
      <w:r w:rsidRPr="0069310A">
        <w:rPr>
          <w:rStyle w:val="NormalDestaque"/>
          <w:rFonts w:cs="Arial"/>
          <w:b w:val="0"/>
          <w:i/>
          <w:color w:val="auto"/>
        </w:rPr>
        <w:t>Codonanthe</w:t>
      </w:r>
      <w:r w:rsidRPr="0069310A">
        <w:rPr>
          <w:rStyle w:val="NormalDestaque"/>
          <w:rFonts w:cs="Arial"/>
          <w:b w:val="0"/>
          <w:color w:val="auto"/>
        </w:rPr>
        <w:t xml:space="preserve"> sp.), Piperaceae (</w:t>
      </w:r>
      <w:r w:rsidRPr="0069310A">
        <w:rPr>
          <w:rStyle w:val="NormalDestaque"/>
          <w:rFonts w:cs="Arial"/>
          <w:b w:val="0"/>
          <w:i/>
          <w:color w:val="auto"/>
        </w:rPr>
        <w:t xml:space="preserve">Peperomia </w:t>
      </w:r>
      <w:r w:rsidRPr="0069310A">
        <w:rPr>
          <w:rStyle w:val="NormalDestaque"/>
          <w:rFonts w:cs="Arial"/>
          <w:b w:val="0"/>
          <w:color w:val="auto"/>
        </w:rPr>
        <w:t>spp.) e Polypodiaceae (</w:t>
      </w:r>
      <w:r w:rsidRPr="0069310A">
        <w:rPr>
          <w:rStyle w:val="NormalDestaque"/>
          <w:rFonts w:cs="Arial"/>
          <w:b w:val="0"/>
          <w:i/>
          <w:color w:val="auto"/>
        </w:rPr>
        <w:t>Polypodium</w:t>
      </w:r>
      <w:r w:rsidRPr="0069310A">
        <w:rPr>
          <w:rStyle w:val="NormalDestaque"/>
          <w:rFonts w:cs="Arial"/>
          <w:b w:val="0"/>
          <w:color w:val="auto"/>
        </w:rPr>
        <w:t xml:space="preserve"> spp., </w:t>
      </w:r>
      <w:r w:rsidRPr="0069310A">
        <w:rPr>
          <w:rStyle w:val="NormalDestaque"/>
          <w:rFonts w:cs="Arial"/>
          <w:b w:val="0"/>
          <w:i/>
          <w:color w:val="auto"/>
        </w:rPr>
        <w:t>Micrograma</w:t>
      </w:r>
      <w:r w:rsidRPr="0069310A">
        <w:rPr>
          <w:rStyle w:val="NormalDestaque"/>
          <w:rFonts w:cs="Arial"/>
          <w:b w:val="0"/>
          <w:color w:val="auto"/>
        </w:rPr>
        <w:t xml:space="preserve"> spp.).</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4671"/>
        <w:gridCol w:w="4673"/>
      </w:tblGrid>
      <w:tr w:rsidR="00D9475A" w:rsidRPr="0069310A" w:rsidTr="00C023A0">
        <w:tc>
          <w:tcPr>
            <w:tcW w:w="4671" w:type="dxa"/>
            <w:vAlign w:val="center"/>
          </w:tcPr>
          <w:p w:rsidR="00D9475A" w:rsidRPr="0069310A" w:rsidRDefault="00D9475A" w:rsidP="00365780">
            <w:pPr>
              <w:tabs>
                <w:tab w:val="left" w:pos="720"/>
                <w:tab w:val="left" w:pos="1080"/>
                <w:tab w:val="left" w:pos="3175"/>
              </w:tabs>
              <w:spacing w:after="0"/>
              <w:jc w:val="center"/>
              <w:rPr>
                <w:rStyle w:val="NormalDestaque"/>
                <w:rFonts w:cs="Arial"/>
                <w:b w:val="0"/>
              </w:rPr>
            </w:pPr>
            <w:r w:rsidRPr="0069310A">
              <w:rPr>
                <w:rStyle w:val="NormalDestaque"/>
                <w:rFonts w:cs="Arial"/>
                <w:b w:val="0"/>
                <w:noProof/>
              </w:rPr>
              <w:lastRenderedPageBreak/>
              <w:drawing>
                <wp:inline distT="0" distB="0" distL="0" distR="0" wp14:anchorId="3B5E05F3" wp14:editId="21172228">
                  <wp:extent cx="2904067" cy="2178050"/>
                  <wp:effectExtent l="0" t="0" r="0" b="0"/>
                  <wp:docPr id="21" name="Imagem 21" descr="G:\CLARISSA  Imagens\2014 - 9 - Campo Jaguari\139MSDCF\DSC08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CLARISSA  Imagens\2014 - 9 - Campo Jaguari\139MSDCF\DSC0814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07815" cy="2180861"/>
                          </a:xfrm>
                          <a:prstGeom prst="rect">
                            <a:avLst/>
                          </a:prstGeom>
                          <a:noFill/>
                          <a:ln>
                            <a:noFill/>
                          </a:ln>
                        </pic:spPr>
                      </pic:pic>
                    </a:graphicData>
                  </a:graphic>
                </wp:inline>
              </w:drawing>
            </w:r>
          </w:p>
        </w:tc>
        <w:tc>
          <w:tcPr>
            <w:tcW w:w="4673" w:type="dxa"/>
            <w:vAlign w:val="center"/>
          </w:tcPr>
          <w:p w:rsidR="00D9475A" w:rsidRPr="0069310A" w:rsidRDefault="00D9475A" w:rsidP="00365780">
            <w:pPr>
              <w:tabs>
                <w:tab w:val="left" w:pos="720"/>
                <w:tab w:val="left" w:pos="1080"/>
                <w:tab w:val="left" w:pos="3175"/>
              </w:tabs>
              <w:spacing w:after="0"/>
              <w:jc w:val="center"/>
              <w:rPr>
                <w:rStyle w:val="NormalDestaque"/>
                <w:rFonts w:cs="Arial"/>
                <w:b w:val="0"/>
              </w:rPr>
            </w:pPr>
            <w:r w:rsidRPr="0069310A">
              <w:rPr>
                <w:rStyle w:val="NormalDestaque"/>
                <w:rFonts w:cs="Arial"/>
                <w:b w:val="0"/>
                <w:noProof/>
              </w:rPr>
              <w:drawing>
                <wp:inline distT="0" distB="0" distL="0" distR="0" wp14:anchorId="0F861B12" wp14:editId="26C94068">
                  <wp:extent cx="2879880" cy="2159000"/>
                  <wp:effectExtent l="0" t="0" r="0" b="0"/>
                  <wp:docPr id="66" name="Imagem 66" descr="G:\CLARISSA  Imagens\2014 - 9 - Campo Jaguari\144___09\IMG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CLARISSA  Imagens\2014 - 9 - Campo Jaguari\144___09\IMG_0005.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2178" cy="2160723"/>
                          </a:xfrm>
                          <a:prstGeom prst="rect">
                            <a:avLst/>
                          </a:prstGeom>
                          <a:noFill/>
                          <a:ln>
                            <a:noFill/>
                          </a:ln>
                        </pic:spPr>
                      </pic:pic>
                    </a:graphicData>
                  </a:graphic>
                </wp:inline>
              </w:drawing>
            </w:r>
          </w:p>
        </w:tc>
      </w:tr>
      <w:tr w:rsidR="00D9475A" w:rsidRPr="0069310A" w:rsidTr="00C023A0">
        <w:tc>
          <w:tcPr>
            <w:tcW w:w="4671" w:type="dxa"/>
            <w:vAlign w:val="center"/>
          </w:tcPr>
          <w:p w:rsidR="00D9475A" w:rsidRPr="0069310A" w:rsidRDefault="00D9475A" w:rsidP="00932A67">
            <w:pPr>
              <w:tabs>
                <w:tab w:val="left" w:pos="720"/>
                <w:tab w:val="left" w:pos="1080"/>
                <w:tab w:val="left" w:pos="3175"/>
              </w:tabs>
              <w:spacing w:after="0"/>
              <w:rPr>
                <w:rStyle w:val="NormalDestaque"/>
                <w:rFonts w:cs="Arial"/>
                <w:b w:val="0"/>
                <w:color w:val="auto"/>
                <w:sz w:val="16"/>
                <w:szCs w:val="16"/>
              </w:rPr>
            </w:pPr>
            <w:r w:rsidRPr="0069310A">
              <w:rPr>
                <w:rStyle w:val="NormalDestaque"/>
                <w:rFonts w:cs="Arial"/>
                <w:b w:val="0"/>
                <w:color w:val="auto"/>
                <w:sz w:val="16"/>
                <w:szCs w:val="16"/>
              </w:rPr>
              <w:t>Trecho de Floresta Ombrófila em estágio médio, lindeira à via de acesso. AID. Km 15,4.</w:t>
            </w:r>
          </w:p>
        </w:tc>
        <w:tc>
          <w:tcPr>
            <w:tcW w:w="4673" w:type="dxa"/>
            <w:vAlign w:val="center"/>
          </w:tcPr>
          <w:p w:rsidR="00D9475A" w:rsidRPr="0069310A" w:rsidRDefault="00D9475A" w:rsidP="00365780">
            <w:pPr>
              <w:tabs>
                <w:tab w:val="left" w:pos="720"/>
                <w:tab w:val="left" w:pos="1080"/>
                <w:tab w:val="left" w:pos="3175"/>
              </w:tabs>
              <w:spacing w:after="0"/>
              <w:rPr>
                <w:rStyle w:val="NormalDestaque"/>
                <w:rFonts w:cs="Arial"/>
                <w:b w:val="0"/>
                <w:color w:val="auto"/>
                <w:sz w:val="16"/>
                <w:szCs w:val="16"/>
              </w:rPr>
            </w:pPr>
            <w:r w:rsidRPr="0069310A">
              <w:rPr>
                <w:rStyle w:val="NormalDestaque"/>
                <w:rFonts w:cs="Arial"/>
                <w:b w:val="0"/>
                <w:color w:val="auto"/>
                <w:sz w:val="16"/>
                <w:szCs w:val="16"/>
              </w:rPr>
              <w:t>Trecho de Floresta Ombrófila em estágio avançado, próxima a via de acesso. AID, Coord.</w:t>
            </w:r>
            <w:r w:rsidR="00932A67">
              <w:rPr>
                <w:rStyle w:val="NormalDestaque"/>
                <w:rFonts w:cs="Arial"/>
                <w:b w:val="0"/>
                <w:color w:val="auto"/>
                <w:sz w:val="16"/>
                <w:szCs w:val="16"/>
              </w:rPr>
              <w:t xml:space="preserve"> UTM </w:t>
            </w:r>
            <w:r w:rsidRPr="0069310A">
              <w:rPr>
                <w:rStyle w:val="NormalDestaque"/>
                <w:rFonts w:cs="Arial"/>
                <w:b w:val="0"/>
                <w:color w:val="auto"/>
                <w:sz w:val="16"/>
                <w:szCs w:val="16"/>
              </w:rPr>
              <w:t>23k 371.892 m E, 7.439.612 m S.</w:t>
            </w:r>
          </w:p>
        </w:tc>
      </w:tr>
    </w:tbl>
    <w:p w:rsidR="00D9475A" w:rsidRPr="0069310A" w:rsidRDefault="00D9475A" w:rsidP="00D9475A">
      <w:pPr>
        <w:tabs>
          <w:tab w:val="left" w:pos="720"/>
          <w:tab w:val="left" w:pos="1080"/>
          <w:tab w:val="left" w:pos="3175"/>
        </w:tabs>
        <w:spacing w:before="120"/>
        <w:rPr>
          <w:rStyle w:val="NormalDestaque"/>
          <w:rFonts w:cs="Arial"/>
          <w:b w:val="0"/>
          <w:color w:val="auto"/>
        </w:rPr>
      </w:pPr>
      <w:r w:rsidRPr="00200A8F">
        <w:rPr>
          <w:rStyle w:val="NormalDestaque"/>
          <w:rFonts w:cs="Arial"/>
          <w:b w:val="0"/>
          <w:color w:val="auto"/>
          <w:u w:val="single"/>
        </w:rPr>
        <w:t>Vegetação Ciliar e ou de Várzea</w:t>
      </w:r>
      <w:r w:rsidRPr="0069310A">
        <w:rPr>
          <w:rStyle w:val="NormalDestaque"/>
          <w:rFonts w:cs="Arial"/>
          <w:b w:val="0"/>
          <w:color w:val="auto"/>
        </w:rPr>
        <w:t xml:space="preserve"> - Em toda a extensão percorrida em ADA e AID, a faixa ciliar apresentou um mosaico de fisionomias, estando principalmente relacionada com áreas de várzea. </w:t>
      </w:r>
    </w:p>
    <w:p w:rsidR="00D9475A" w:rsidRPr="0069310A" w:rsidRDefault="00D9475A" w:rsidP="00D9475A">
      <w:pPr>
        <w:tabs>
          <w:tab w:val="left" w:pos="720"/>
          <w:tab w:val="left" w:pos="1080"/>
          <w:tab w:val="left" w:pos="3175"/>
        </w:tabs>
        <w:rPr>
          <w:rStyle w:val="NormalDestaque"/>
          <w:rFonts w:cs="Arial"/>
          <w:b w:val="0"/>
          <w:color w:val="auto"/>
        </w:rPr>
      </w:pPr>
      <w:r w:rsidRPr="0069310A">
        <w:rPr>
          <w:rStyle w:val="NormalDestaque"/>
          <w:rFonts w:cs="Arial"/>
          <w:b w:val="0"/>
          <w:color w:val="auto"/>
        </w:rPr>
        <w:t>Nos locais de maior retenção de água no solo, caracterizados como áreas de brejo, a fisionomia é herbácea, podendo chegar até a 2 metros; epífitas e lianas são ausentes, com presença predominante de espécies invasoras, a exemplo de taboa (</w:t>
      </w:r>
      <w:r w:rsidRPr="0069310A">
        <w:rPr>
          <w:rStyle w:val="NormalDestaque"/>
          <w:rFonts w:cs="Arial"/>
          <w:b w:val="0"/>
          <w:i/>
          <w:color w:val="auto"/>
        </w:rPr>
        <w:t>Typha domingensis</w:t>
      </w:r>
      <w:r w:rsidRPr="0069310A">
        <w:rPr>
          <w:rStyle w:val="NormalDestaque"/>
          <w:rFonts w:cs="Arial"/>
          <w:b w:val="0"/>
          <w:color w:val="auto"/>
        </w:rPr>
        <w:t>) e lírio do brejo (</w:t>
      </w:r>
      <w:r w:rsidRPr="0069310A">
        <w:rPr>
          <w:rStyle w:val="NormalDestaque"/>
          <w:rFonts w:cs="Arial"/>
          <w:b w:val="0"/>
          <w:i/>
          <w:color w:val="auto"/>
        </w:rPr>
        <w:t>Hedychium coronarium</w:t>
      </w:r>
      <w:r w:rsidRPr="0069310A">
        <w:rPr>
          <w:rStyle w:val="NormalDestaque"/>
          <w:rFonts w:cs="Arial"/>
          <w:b w:val="0"/>
          <w:color w:val="auto"/>
        </w:rPr>
        <w:t xml:space="preserve">); sendo também comum a ocorrência de </w:t>
      </w:r>
      <w:r w:rsidRPr="0069310A">
        <w:rPr>
          <w:rStyle w:val="NormalDestaque"/>
          <w:rFonts w:cs="Arial"/>
          <w:b w:val="0"/>
          <w:i/>
          <w:color w:val="auto"/>
        </w:rPr>
        <w:t>Schoenoplectus californicus</w:t>
      </w:r>
      <w:r w:rsidRPr="0069310A">
        <w:rPr>
          <w:rStyle w:val="NormalDestaque"/>
          <w:rFonts w:cs="Arial"/>
          <w:b w:val="0"/>
          <w:color w:val="auto"/>
        </w:rPr>
        <w:t xml:space="preserve"> (Cyperaceae).</w:t>
      </w:r>
    </w:p>
    <w:p w:rsidR="00D9475A" w:rsidRPr="0069310A" w:rsidRDefault="00D9475A" w:rsidP="00D9475A">
      <w:pPr>
        <w:tabs>
          <w:tab w:val="left" w:pos="720"/>
          <w:tab w:val="left" w:pos="1080"/>
          <w:tab w:val="left" w:pos="3175"/>
        </w:tabs>
        <w:rPr>
          <w:rStyle w:val="NormalDestaque"/>
          <w:rFonts w:cs="Arial"/>
          <w:b w:val="0"/>
          <w:color w:val="auto"/>
        </w:rPr>
      </w:pPr>
      <w:r w:rsidRPr="0069310A">
        <w:rPr>
          <w:rStyle w:val="NormalDestaque"/>
          <w:rFonts w:cs="Arial"/>
          <w:b w:val="0"/>
          <w:color w:val="auto"/>
        </w:rPr>
        <w:t xml:space="preserve">Em áreas com boa drenagem, porém de maior umidade do solo, ocorrem formações florestais que variam entre os estágios pioneiro a médio de regeneração e, nesta situação, apresentaram cobertura de aberta a fechada, com presença de 3 estratos, dossel entre 6 e 8 m de altura, e emergentes com até 12 metros. </w:t>
      </w:r>
    </w:p>
    <w:p w:rsidR="00D9475A" w:rsidRPr="0069310A" w:rsidRDefault="00D9475A" w:rsidP="00D9475A">
      <w:pPr>
        <w:tabs>
          <w:tab w:val="left" w:pos="720"/>
          <w:tab w:val="left" w:pos="1080"/>
          <w:tab w:val="left" w:pos="3175"/>
        </w:tabs>
        <w:rPr>
          <w:rStyle w:val="NormalDestaque"/>
          <w:rFonts w:cs="Arial"/>
          <w:b w:val="0"/>
          <w:color w:val="auto"/>
        </w:rPr>
      </w:pPr>
      <w:r w:rsidRPr="0069310A">
        <w:rPr>
          <w:rStyle w:val="NormalDestaque"/>
          <w:rFonts w:cs="Arial"/>
          <w:b w:val="0"/>
          <w:color w:val="auto"/>
        </w:rPr>
        <w:t>São predominantes as espécies: eritrina (</w:t>
      </w:r>
      <w:r w:rsidRPr="0069310A">
        <w:rPr>
          <w:rStyle w:val="NormalDestaque"/>
          <w:rFonts w:cs="Arial"/>
          <w:b w:val="0"/>
          <w:i/>
          <w:color w:val="auto"/>
        </w:rPr>
        <w:t>Erythrina speciosa</w:t>
      </w:r>
      <w:r w:rsidRPr="0069310A">
        <w:rPr>
          <w:rStyle w:val="NormalDestaque"/>
          <w:rFonts w:cs="Arial"/>
          <w:b w:val="0"/>
          <w:color w:val="auto"/>
        </w:rPr>
        <w:t>), ingá (</w:t>
      </w:r>
      <w:r w:rsidRPr="0069310A">
        <w:rPr>
          <w:rStyle w:val="NormalDestaque"/>
          <w:rFonts w:cs="Arial"/>
          <w:b w:val="0"/>
          <w:i/>
          <w:color w:val="auto"/>
        </w:rPr>
        <w:t>Inga sessilis</w:t>
      </w:r>
      <w:r w:rsidRPr="0069310A">
        <w:rPr>
          <w:rStyle w:val="NormalDestaque"/>
          <w:rFonts w:cs="Arial"/>
          <w:b w:val="0"/>
          <w:color w:val="auto"/>
        </w:rPr>
        <w:t>), embaúba (</w:t>
      </w:r>
      <w:r w:rsidRPr="0069310A">
        <w:rPr>
          <w:rStyle w:val="NormalDestaque"/>
          <w:rFonts w:cs="Arial"/>
          <w:b w:val="0"/>
          <w:i/>
          <w:color w:val="auto"/>
        </w:rPr>
        <w:t>Cecropia</w:t>
      </w:r>
      <w:r w:rsidRPr="0069310A">
        <w:rPr>
          <w:rStyle w:val="NormalDestaque"/>
          <w:rFonts w:cs="Arial"/>
          <w:b w:val="0"/>
          <w:color w:val="auto"/>
        </w:rPr>
        <w:t xml:space="preserve"> spp.), marinheiro (</w:t>
      </w:r>
      <w:r w:rsidRPr="0069310A">
        <w:rPr>
          <w:rStyle w:val="NormalDestaque"/>
          <w:rFonts w:cs="Arial"/>
          <w:b w:val="0"/>
          <w:i/>
          <w:color w:val="auto"/>
        </w:rPr>
        <w:t>Guarea</w:t>
      </w:r>
      <w:r w:rsidRPr="0069310A">
        <w:rPr>
          <w:rStyle w:val="NormalDestaque"/>
          <w:rFonts w:cs="Arial"/>
          <w:b w:val="0"/>
          <w:color w:val="auto"/>
        </w:rPr>
        <w:t xml:space="preserve"> spp.) e aroeira vermelha (</w:t>
      </w:r>
      <w:r w:rsidRPr="0069310A">
        <w:rPr>
          <w:rStyle w:val="NormalDestaque"/>
          <w:rFonts w:cs="Arial"/>
          <w:b w:val="0"/>
          <w:i/>
          <w:color w:val="auto"/>
        </w:rPr>
        <w:t>Schinus terebinthifolius</w:t>
      </w:r>
      <w:r w:rsidRPr="0069310A">
        <w:rPr>
          <w:rStyle w:val="NormalDestaque"/>
          <w:rFonts w:cs="Arial"/>
          <w:b w:val="0"/>
          <w:color w:val="auto"/>
        </w:rPr>
        <w:t>). Nos trechos de maior diversidade ocorreram: figueiras (</w:t>
      </w:r>
      <w:r w:rsidRPr="0069310A">
        <w:rPr>
          <w:rStyle w:val="NormalDestaque"/>
          <w:rFonts w:cs="Arial"/>
          <w:b w:val="0"/>
          <w:i/>
          <w:color w:val="auto"/>
        </w:rPr>
        <w:t>Ficus</w:t>
      </w:r>
      <w:r w:rsidRPr="0069310A">
        <w:rPr>
          <w:rStyle w:val="NormalDestaque"/>
          <w:rFonts w:cs="Arial"/>
          <w:b w:val="0"/>
          <w:color w:val="auto"/>
        </w:rPr>
        <w:t xml:space="preserve"> spp.), almecega (</w:t>
      </w:r>
      <w:r w:rsidRPr="0069310A">
        <w:rPr>
          <w:rStyle w:val="NormalDestaque"/>
          <w:rFonts w:cs="Arial"/>
          <w:b w:val="0"/>
          <w:i/>
          <w:color w:val="auto"/>
        </w:rPr>
        <w:t>Protium</w:t>
      </w:r>
      <w:r w:rsidRPr="0069310A">
        <w:rPr>
          <w:rStyle w:val="NormalDestaque"/>
          <w:rFonts w:cs="Arial"/>
          <w:b w:val="0"/>
          <w:color w:val="auto"/>
        </w:rPr>
        <w:t xml:space="preserve"> sp.), </w:t>
      </w:r>
      <w:r w:rsidRPr="0069310A">
        <w:rPr>
          <w:rFonts w:eastAsia="MS Mincho" w:cs="Arial"/>
          <w:b/>
          <w:bCs/>
        </w:rPr>
        <w:t>jerivá (</w:t>
      </w:r>
      <w:r w:rsidRPr="0069310A">
        <w:rPr>
          <w:rFonts w:eastAsia="MS Mincho" w:cs="Arial"/>
          <w:b/>
          <w:bCs/>
          <w:i/>
        </w:rPr>
        <w:t>Syagrus romanzoffiana</w:t>
      </w:r>
      <w:r w:rsidRPr="0069310A">
        <w:rPr>
          <w:rFonts w:eastAsia="MS Mincho" w:cs="Arial"/>
          <w:b/>
          <w:bCs/>
        </w:rPr>
        <w:t>)</w:t>
      </w:r>
      <w:r w:rsidRPr="0069310A">
        <w:rPr>
          <w:rStyle w:val="NormalDestaque"/>
          <w:rFonts w:cs="Arial"/>
          <w:b w:val="0"/>
          <w:color w:val="auto"/>
        </w:rPr>
        <w:t>, entre outras, havendo destaque para a ocorrência de elevado número de indivíduos de palmiteiro (</w:t>
      </w:r>
      <w:r w:rsidRPr="0069310A">
        <w:rPr>
          <w:rStyle w:val="NormalDestaque"/>
          <w:rFonts w:cs="Arial"/>
          <w:b w:val="0"/>
          <w:i/>
          <w:color w:val="auto"/>
        </w:rPr>
        <w:t>Euterpe edulis</w:t>
      </w:r>
      <w:r w:rsidRPr="0069310A">
        <w:rPr>
          <w:rStyle w:val="NormalDestaque"/>
          <w:rFonts w:cs="Arial"/>
          <w:b w:val="0"/>
          <w:color w:val="auto"/>
        </w:rPr>
        <w:t>), juntamente com espécies de potencial madeireiro como cedro (</w:t>
      </w:r>
      <w:r w:rsidRPr="0069310A">
        <w:rPr>
          <w:rStyle w:val="NormalDestaque"/>
          <w:rFonts w:cs="Arial"/>
          <w:b w:val="0"/>
          <w:i/>
          <w:color w:val="auto"/>
        </w:rPr>
        <w:t>Cedrela odorata</w:t>
      </w:r>
      <w:r w:rsidRPr="0069310A">
        <w:rPr>
          <w:rStyle w:val="NormalDestaque"/>
          <w:rFonts w:cs="Arial"/>
          <w:b w:val="0"/>
          <w:color w:val="auto"/>
        </w:rPr>
        <w:t>). Quando existente, o sub-bosque foi representado por jovens regenerantes do dossel e espécies herbáceo arbustivas, predominando aquelas típicas de ambientes úmidos e ciliares, correspondentes às famílias Piperaceae (</w:t>
      </w:r>
      <w:r w:rsidRPr="0069310A">
        <w:rPr>
          <w:rStyle w:val="NormalDestaque"/>
          <w:rFonts w:cs="Arial"/>
          <w:b w:val="0"/>
          <w:i/>
          <w:color w:val="auto"/>
        </w:rPr>
        <w:t>Piper</w:t>
      </w:r>
      <w:r w:rsidRPr="0069310A">
        <w:rPr>
          <w:rStyle w:val="NormalDestaque"/>
          <w:rFonts w:cs="Arial"/>
          <w:b w:val="0"/>
          <w:color w:val="auto"/>
        </w:rPr>
        <w:t xml:space="preserve"> spp.), Rubiaceae (</w:t>
      </w:r>
      <w:r w:rsidRPr="0069310A">
        <w:rPr>
          <w:rStyle w:val="NormalDestaque"/>
          <w:rFonts w:cs="Arial"/>
          <w:b w:val="0"/>
          <w:i/>
          <w:color w:val="auto"/>
        </w:rPr>
        <w:t>Psychotria</w:t>
      </w:r>
      <w:r w:rsidRPr="0069310A">
        <w:rPr>
          <w:rStyle w:val="NormalDestaque"/>
          <w:rFonts w:cs="Arial"/>
          <w:b w:val="0"/>
          <w:color w:val="auto"/>
        </w:rPr>
        <w:t xml:space="preserve"> spp.); além de espécies de Myrtaceae (</w:t>
      </w:r>
      <w:r w:rsidRPr="0069310A">
        <w:rPr>
          <w:rStyle w:val="NormalDestaque"/>
          <w:rFonts w:cs="Arial"/>
          <w:b w:val="0"/>
          <w:i/>
          <w:color w:val="auto"/>
        </w:rPr>
        <w:t xml:space="preserve">Myrcia </w:t>
      </w:r>
      <w:r w:rsidRPr="0069310A">
        <w:rPr>
          <w:rStyle w:val="NormalDestaque"/>
          <w:rFonts w:cs="Arial"/>
          <w:b w:val="0"/>
          <w:color w:val="auto"/>
        </w:rPr>
        <w:t>spp.,</w:t>
      </w:r>
      <w:r w:rsidRPr="0069310A">
        <w:rPr>
          <w:rStyle w:val="NormalDestaque"/>
          <w:rFonts w:cs="Arial"/>
          <w:b w:val="0"/>
          <w:i/>
          <w:color w:val="auto"/>
        </w:rPr>
        <w:t xml:space="preserve"> Eugenia </w:t>
      </w:r>
      <w:r w:rsidRPr="0069310A">
        <w:rPr>
          <w:rStyle w:val="NormalDestaque"/>
          <w:rFonts w:cs="Arial"/>
          <w:b w:val="0"/>
          <w:color w:val="auto"/>
        </w:rPr>
        <w:t>spp.,</w:t>
      </w:r>
      <w:r w:rsidRPr="0069310A">
        <w:rPr>
          <w:rStyle w:val="NormalDestaque"/>
          <w:rFonts w:cs="Arial"/>
          <w:b w:val="0"/>
          <w:i/>
          <w:color w:val="auto"/>
        </w:rPr>
        <w:t xml:space="preserve"> Psidium </w:t>
      </w:r>
      <w:r w:rsidRPr="0069310A">
        <w:rPr>
          <w:rStyle w:val="NormalDestaque"/>
          <w:rFonts w:cs="Arial"/>
          <w:b w:val="0"/>
          <w:color w:val="auto"/>
        </w:rPr>
        <w:t>spp.). Cipós ocorreram em pontos mais alterados e, entre as epífitas, sobressaíram-se as Bromeliaceae (</w:t>
      </w:r>
      <w:r w:rsidRPr="0069310A">
        <w:rPr>
          <w:rStyle w:val="NormalDestaque"/>
          <w:rFonts w:cs="Arial"/>
          <w:b w:val="0"/>
          <w:i/>
          <w:color w:val="auto"/>
        </w:rPr>
        <w:t xml:space="preserve">Tillandsia </w:t>
      </w:r>
      <w:r w:rsidRPr="0069310A">
        <w:rPr>
          <w:rStyle w:val="NormalDestaque"/>
          <w:rFonts w:cs="Arial"/>
          <w:b w:val="0"/>
          <w:color w:val="auto"/>
        </w:rPr>
        <w:t>spp.</w:t>
      </w:r>
      <w:r w:rsidRPr="0069310A">
        <w:rPr>
          <w:rStyle w:val="NormalDestaque"/>
          <w:rFonts w:cs="Arial"/>
          <w:b w:val="0"/>
          <w:i/>
          <w:color w:val="auto"/>
        </w:rPr>
        <w:t xml:space="preserve">, Aechmea </w:t>
      </w:r>
      <w:r w:rsidRPr="0069310A">
        <w:rPr>
          <w:rStyle w:val="NormalDestaque"/>
          <w:rFonts w:cs="Arial"/>
          <w:b w:val="0"/>
          <w:color w:val="auto"/>
        </w:rPr>
        <w:t xml:space="preserve">spp., </w:t>
      </w:r>
      <w:r w:rsidRPr="0069310A">
        <w:rPr>
          <w:rStyle w:val="NormalDestaque"/>
          <w:rFonts w:cs="Arial"/>
          <w:b w:val="0"/>
          <w:i/>
          <w:color w:val="auto"/>
        </w:rPr>
        <w:t>Vriesea</w:t>
      </w:r>
      <w:r w:rsidRPr="0069310A">
        <w:rPr>
          <w:rStyle w:val="NormalDestaque"/>
          <w:rFonts w:cs="Arial"/>
          <w:b w:val="0"/>
          <w:color w:val="auto"/>
        </w:rPr>
        <w:t xml:space="preserve"> spp.), Cactaceae (</w:t>
      </w:r>
      <w:r w:rsidRPr="0069310A">
        <w:rPr>
          <w:rStyle w:val="NormalDestaque"/>
          <w:rFonts w:cs="Arial"/>
          <w:b w:val="0"/>
          <w:i/>
          <w:color w:val="auto"/>
        </w:rPr>
        <w:t xml:space="preserve">Rhipsalis </w:t>
      </w:r>
      <w:r w:rsidRPr="0069310A">
        <w:rPr>
          <w:rStyle w:val="NormalDestaque"/>
          <w:rFonts w:cs="Arial"/>
          <w:b w:val="0"/>
          <w:color w:val="auto"/>
        </w:rPr>
        <w:t>spp.), Araceae (</w:t>
      </w:r>
      <w:r w:rsidRPr="0069310A">
        <w:rPr>
          <w:rStyle w:val="NormalDestaque"/>
          <w:rFonts w:cs="Arial"/>
          <w:b w:val="0"/>
          <w:i/>
          <w:color w:val="auto"/>
        </w:rPr>
        <w:t xml:space="preserve">Philodendron </w:t>
      </w:r>
      <w:r w:rsidRPr="0069310A">
        <w:rPr>
          <w:rStyle w:val="NormalDestaque"/>
          <w:rFonts w:cs="Arial"/>
          <w:b w:val="0"/>
          <w:color w:val="auto"/>
        </w:rPr>
        <w:t>spp.), Polypodiaceae (</w:t>
      </w:r>
      <w:r w:rsidRPr="0069310A">
        <w:rPr>
          <w:rStyle w:val="NormalDestaque"/>
          <w:rFonts w:cs="Arial"/>
          <w:b w:val="0"/>
          <w:i/>
          <w:color w:val="auto"/>
        </w:rPr>
        <w:t>Polypodium</w:t>
      </w:r>
      <w:r w:rsidRPr="0069310A">
        <w:rPr>
          <w:rStyle w:val="NormalDestaque"/>
          <w:rFonts w:cs="Arial"/>
          <w:b w:val="0"/>
          <w:color w:val="auto"/>
        </w:rPr>
        <w:t xml:space="preserve"> spp. </w:t>
      </w:r>
      <w:r w:rsidRPr="0069310A">
        <w:rPr>
          <w:rStyle w:val="NormalDestaque"/>
          <w:rFonts w:cs="Arial"/>
          <w:b w:val="0"/>
          <w:i/>
          <w:color w:val="auto"/>
        </w:rPr>
        <w:t>Micrograma</w:t>
      </w:r>
      <w:r w:rsidRPr="0069310A">
        <w:rPr>
          <w:rStyle w:val="NormalDestaque"/>
          <w:rFonts w:cs="Arial"/>
          <w:b w:val="0"/>
          <w:color w:val="auto"/>
        </w:rPr>
        <w:t xml:space="preserve"> spp.) e as Orchydaceae (</w:t>
      </w:r>
      <w:r w:rsidRPr="0069310A">
        <w:rPr>
          <w:rStyle w:val="NormalDestaque"/>
          <w:rFonts w:cs="Arial"/>
          <w:b w:val="0"/>
          <w:i/>
          <w:color w:val="auto"/>
        </w:rPr>
        <w:t>Oncidium</w:t>
      </w:r>
      <w:r w:rsidRPr="0069310A">
        <w:rPr>
          <w:rStyle w:val="NormalDestaque"/>
          <w:rFonts w:cs="Arial"/>
          <w:b w:val="0"/>
          <w:color w:val="auto"/>
        </w:rPr>
        <w:t xml:space="preserve"> spp., </w:t>
      </w:r>
      <w:r w:rsidRPr="0069310A">
        <w:rPr>
          <w:rStyle w:val="NormalDestaque"/>
          <w:rFonts w:cs="Arial"/>
          <w:b w:val="0"/>
          <w:i/>
          <w:color w:val="auto"/>
        </w:rPr>
        <w:t>Catasetum</w:t>
      </w:r>
      <w:r w:rsidRPr="0069310A">
        <w:rPr>
          <w:rStyle w:val="NormalDestaque"/>
          <w:rFonts w:cs="Arial"/>
          <w:b w:val="0"/>
          <w:color w:val="auto"/>
        </w:rPr>
        <w:t xml:space="preserve"> sp.), muitas das quais alvo de coleta predatória devido ao seu valor ornamental. </w:t>
      </w:r>
    </w:p>
    <w:tbl>
      <w:tblPr>
        <w:tblStyle w:val="Tabelacomgrade"/>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4673"/>
        <w:gridCol w:w="4678"/>
      </w:tblGrid>
      <w:tr w:rsidR="00D9475A" w:rsidRPr="0069310A" w:rsidTr="00C023A0">
        <w:tc>
          <w:tcPr>
            <w:tcW w:w="4673" w:type="dxa"/>
            <w:vAlign w:val="center"/>
          </w:tcPr>
          <w:p w:rsidR="00D9475A" w:rsidRPr="0069310A" w:rsidRDefault="00D9475A" w:rsidP="00365780">
            <w:pPr>
              <w:tabs>
                <w:tab w:val="left" w:pos="720"/>
                <w:tab w:val="left" w:pos="1080"/>
                <w:tab w:val="left" w:pos="3175"/>
              </w:tabs>
              <w:spacing w:after="0"/>
              <w:jc w:val="center"/>
              <w:rPr>
                <w:rStyle w:val="NormalDestaque"/>
                <w:rFonts w:cs="Arial"/>
                <w:b w:val="0"/>
              </w:rPr>
            </w:pPr>
            <w:r w:rsidRPr="0069310A">
              <w:rPr>
                <w:rStyle w:val="NormalDestaque"/>
                <w:rFonts w:cs="Arial"/>
                <w:b w:val="0"/>
                <w:noProof/>
              </w:rPr>
              <w:lastRenderedPageBreak/>
              <w:drawing>
                <wp:inline distT="0" distB="0" distL="0" distR="0" wp14:anchorId="11B89878" wp14:editId="71BE0064">
                  <wp:extent cx="2870200" cy="2152650"/>
                  <wp:effectExtent l="0" t="0" r="6350" b="0"/>
                  <wp:docPr id="65" name="Imagem 65" descr="G:\CLARISSA  Imagens\2014 - 9 - Campo Jaguari\139MSDCF\DSC07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CLARISSA  Imagens\2014 - 9 - Campo Jaguari\139MSDCF\DSC07406.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70870" cy="2153153"/>
                          </a:xfrm>
                          <a:prstGeom prst="rect">
                            <a:avLst/>
                          </a:prstGeom>
                          <a:noFill/>
                          <a:ln>
                            <a:noFill/>
                          </a:ln>
                        </pic:spPr>
                      </pic:pic>
                    </a:graphicData>
                  </a:graphic>
                </wp:inline>
              </w:drawing>
            </w:r>
          </w:p>
        </w:tc>
        <w:tc>
          <w:tcPr>
            <w:tcW w:w="4678" w:type="dxa"/>
            <w:vAlign w:val="center"/>
          </w:tcPr>
          <w:p w:rsidR="00D9475A" w:rsidRPr="0069310A" w:rsidRDefault="00D9475A" w:rsidP="00365780">
            <w:pPr>
              <w:tabs>
                <w:tab w:val="left" w:pos="720"/>
                <w:tab w:val="left" w:pos="1080"/>
                <w:tab w:val="left" w:pos="3175"/>
              </w:tabs>
              <w:spacing w:after="0"/>
              <w:jc w:val="center"/>
              <w:rPr>
                <w:rStyle w:val="NormalDestaque"/>
                <w:rFonts w:cs="Arial"/>
                <w:b w:val="0"/>
              </w:rPr>
            </w:pPr>
            <w:r w:rsidRPr="0069310A">
              <w:rPr>
                <w:rStyle w:val="NormalDestaque"/>
                <w:rFonts w:cs="Arial"/>
                <w:b w:val="0"/>
                <w:noProof/>
              </w:rPr>
              <w:drawing>
                <wp:inline distT="0" distB="0" distL="0" distR="0" wp14:anchorId="21220380" wp14:editId="30ED130D">
                  <wp:extent cx="2878667" cy="2159000"/>
                  <wp:effectExtent l="0" t="0" r="0" b="0"/>
                  <wp:docPr id="68" name="Imagem 68" descr="G:\CLARISSA  Imagens\2014 - 9 - Campo Jaguari\139MSDCF\DSC07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CLARISSA  Imagens\2014 - 9 - Campo Jaguari\139MSDCF\DSC07348.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628" cy="2160471"/>
                          </a:xfrm>
                          <a:prstGeom prst="rect">
                            <a:avLst/>
                          </a:prstGeom>
                          <a:noFill/>
                          <a:ln>
                            <a:noFill/>
                          </a:ln>
                        </pic:spPr>
                      </pic:pic>
                    </a:graphicData>
                  </a:graphic>
                </wp:inline>
              </w:drawing>
            </w:r>
          </w:p>
        </w:tc>
      </w:tr>
      <w:tr w:rsidR="00D9475A" w:rsidRPr="0069310A" w:rsidTr="00C023A0">
        <w:tc>
          <w:tcPr>
            <w:tcW w:w="4673" w:type="dxa"/>
            <w:vAlign w:val="center"/>
          </w:tcPr>
          <w:p w:rsidR="00D9475A" w:rsidRPr="0069310A" w:rsidRDefault="00D9475A" w:rsidP="00365780">
            <w:pPr>
              <w:tabs>
                <w:tab w:val="left" w:pos="720"/>
                <w:tab w:val="left" w:pos="1080"/>
                <w:tab w:val="left" w:pos="3175"/>
              </w:tabs>
              <w:spacing w:after="0"/>
              <w:rPr>
                <w:rStyle w:val="NormalDestaque"/>
                <w:rFonts w:cs="Arial"/>
                <w:b w:val="0"/>
                <w:color w:val="auto"/>
                <w:sz w:val="16"/>
                <w:szCs w:val="16"/>
              </w:rPr>
            </w:pPr>
            <w:r w:rsidRPr="0069310A">
              <w:rPr>
                <w:rStyle w:val="NormalDestaque"/>
                <w:rFonts w:cs="Arial"/>
                <w:b w:val="0"/>
                <w:color w:val="auto"/>
                <w:sz w:val="16"/>
                <w:szCs w:val="16"/>
              </w:rPr>
              <w:t>Vegetação típica de brejo seguida por vegetação ciliar, em AID, lado direito do traçado, sentido reservatório Atibainha. Km 5,6.</w:t>
            </w:r>
          </w:p>
        </w:tc>
        <w:tc>
          <w:tcPr>
            <w:tcW w:w="4678" w:type="dxa"/>
            <w:vAlign w:val="center"/>
          </w:tcPr>
          <w:p w:rsidR="00D9475A" w:rsidRPr="0069310A" w:rsidRDefault="00D9475A" w:rsidP="00365780">
            <w:pPr>
              <w:tabs>
                <w:tab w:val="left" w:pos="720"/>
                <w:tab w:val="left" w:pos="1080"/>
                <w:tab w:val="left" w:pos="3175"/>
              </w:tabs>
              <w:spacing w:after="0"/>
              <w:rPr>
                <w:rStyle w:val="NormalDestaque"/>
                <w:rFonts w:cs="Arial"/>
                <w:b w:val="0"/>
                <w:color w:val="auto"/>
                <w:sz w:val="16"/>
                <w:szCs w:val="16"/>
              </w:rPr>
            </w:pPr>
            <w:r w:rsidRPr="0069310A">
              <w:rPr>
                <w:rStyle w:val="NormalDestaque"/>
                <w:rFonts w:cs="Arial"/>
                <w:b w:val="0"/>
                <w:color w:val="auto"/>
                <w:sz w:val="16"/>
                <w:szCs w:val="16"/>
              </w:rPr>
              <w:t xml:space="preserve">Vegetação ciliar, em ADA da adutora, com ocorrência de </w:t>
            </w:r>
            <w:r w:rsidRPr="00932A67">
              <w:rPr>
                <w:rStyle w:val="NormalDestaque"/>
                <w:rFonts w:cs="Arial"/>
                <w:b w:val="0"/>
                <w:i/>
                <w:color w:val="auto"/>
                <w:sz w:val="16"/>
                <w:szCs w:val="16"/>
              </w:rPr>
              <w:t>Euterpe edulis</w:t>
            </w:r>
            <w:r w:rsidRPr="0069310A">
              <w:rPr>
                <w:rStyle w:val="NormalDestaque"/>
                <w:rFonts w:cs="Arial"/>
                <w:b w:val="0"/>
                <w:color w:val="auto"/>
                <w:sz w:val="16"/>
                <w:szCs w:val="16"/>
              </w:rPr>
              <w:t xml:space="preserve"> (palmito jussara), lado direito do traçado, sentido reservatório Atibainha. Km 4,0.</w:t>
            </w:r>
          </w:p>
        </w:tc>
      </w:tr>
    </w:tbl>
    <w:p w:rsidR="00943A4D" w:rsidRPr="0069310A" w:rsidRDefault="00943A4D" w:rsidP="00943A4D">
      <w:pPr>
        <w:rPr>
          <w:rStyle w:val="NormalDestaque"/>
          <w:rFonts w:cs="Arial"/>
          <w:b w:val="0"/>
          <w:color w:val="auto"/>
        </w:rPr>
      </w:pPr>
      <w:r>
        <w:rPr>
          <w:rStyle w:val="NormalDestaque"/>
          <w:rFonts w:cs="Arial"/>
          <w:b w:val="0"/>
          <w:color w:val="auto"/>
        </w:rPr>
        <w:t>Uma</w:t>
      </w:r>
      <w:r w:rsidRPr="0069310A">
        <w:rPr>
          <w:rStyle w:val="NormalDestaque"/>
          <w:rFonts w:cs="Arial"/>
          <w:b w:val="0"/>
          <w:color w:val="auto"/>
        </w:rPr>
        <w:t xml:space="preserve"> quantificação abrangente das diferentes formas de cobertura vegetal de ocorrência </w:t>
      </w:r>
      <w:r>
        <w:rPr>
          <w:rStyle w:val="NormalDestaque"/>
          <w:rFonts w:cs="Arial"/>
          <w:b w:val="0"/>
          <w:color w:val="auto"/>
        </w:rPr>
        <w:t>na</w:t>
      </w:r>
      <w:r w:rsidRPr="0069310A">
        <w:rPr>
          <w:rStyle w:val="NormalDestaque"/>
          <w:rFonts w:cs="Arial"/>
          <w:b w:val="0"/>
          <w:color w:val="auto"/>
        </w:rPr>
        <w:t xml:space="preserve"> AID </w:t>
      </w:r>
      <w:r>
        <w:rPr>
          <w:rStyle w:val="NormalDestaque"/>
          <w:rFonts w:cs="Arial"/>
          <w:b w:val="0"/>
          <w:color w:val="auto"/>
        </w:rPr>
        <w:t xml:space="preserve">(faixa de 500 m a cada lado do eixo) </w:t>
      </w:r>
      <w:r w:rsidRPr="0069310A">
        <w:rPr>
          <w:rStyle w:val="NormalDestaque"/>
          <w:rFonts w:cs="Arial"/>
          <w:b w:val="0"/>
          <w:color w:val="auto"/>
        </w:rPr>
        <w:t>foi realizada a partir dos dados levantados em campo, considerando-se as áreas por município (</w:t>
      </w:r>
      <w:r w:rsidRPr="00083B59">
        <w:rPr>
          <w:rStyle w:val="NormalDestaque"/>
          <w:rFonts w:cs="Arial"/>
          <w:color w:val="auto"/>
        </w:rPr>
        <w:t>Tabela 6.4.</w:t>
      </w:r>
      <w:r w:rsidR="00926285">
        <w:rPr>
          <w:rStyle w:val="NormalDestaque"/>
          <w:rFonts w:cs="Arial"/>
          <w:color w:val="auto"/>
        </w:rPr>
        <w:t>2-1</w:t>
      </w:r>
      <w:r w:rsidRPr="0069310A">
        <w:rPr>
          <w:rStyle w:val="NormalDestaque"/>
          <w:rFonts w:cs="Arial"/>
          <w:b w:val="0"/>
          <w:color w:val="auto"/>
        </w:rPr>
        <w:t xml:space="preserve">). </w:t>
      </w:r>
    </w:p>
    <w:p w:rsidR="00D9475A" w:rsidRDefault="00D9475A" w:rsidP="00D9475A">
      <w:pPr>
        <w:pStyle w:val="Quadro"/>
      </w:pPr>
      <w:r w:rsidRPr="00083B59">
        <w:t xml:space="preserve">Tabela </w:t>
      </w:r>
      <w:r w:rsidR="00083B59" w:rsidRPr="00083B59">
        <w:t>6.4.</w:t>
      </w:r>
      <w:r w:rsidR="00200A8F">
        <w:t>2-1.</w:t>
      </w:r>
      <w:r w:rsidRPr="00083B59">
        <w:t xml:space="preserve"> Cobertura </w:t>
      </w:r>
      <w:r w:rsidR="0065243B">
        <w:t>V</w:t>
      </w:r>
      <w:r w:rsidRPr="00083B59">
        <w:t xml:space="preserve">egetal </w:t>
      </w:r>
      <w:r w:rsidR="00083B59" w:rsidRPr="00083B59">
        <w:t>na</w:t>
      </w:r>
      <w:r w:rsidRPr="00083B59">
        <w:t xml:space="preserve"> AID, por município</w:t>
      </w:r>
      <w:r w:rsidR="0065243B">
        <w:t xml:space="preserve"> (ha)</w:t>
      </w:r>
    </w:p>
    <w:tbl>
      <w:tblPr>
        <w:tblW w:w="0" w:type="auto"/>
        <w:jc w:val="center"/>
        <w:tblCellMar>
          <w:left w:w="70" w:type="dxa"/>
          <w:right w:w="70" w:type="dxa"/>
        </w:tblCellMar>
        <w:tblLook w:val="04A0" w:firstRow="1" w:lastRow="0" w:firstColumn="1" w:lastColumn="0" w:noHBand="0" w:noVBand="1"/>
      </w:tblPr>
      <w:tblGrid>
        <w:gridCol w:w="2221"/>
        <w:gridCol w:w="656"/>
        <w:gridCol w:w="630"/>
        <w:gridCol w:w="656"/>
        <w:gridCol w:w="630"/>
        <w:gridCol w:w="675"/>
        <w:gridCol w:w="648"/>
        <w:gridCol w:w="763"/>
      </w:tblGrid>
      <w:tr w:rsidR="00D61336" w:rsidRPr="00D61336" w:rsidTr="00DE0557">
        <w:trPr>
          <w:cantSplit/>
          <w:trHeight w:val="300"/>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D61336" w:rsidRDefault="00D61336" w:rsidP="00D61336">
            <w:pPr>
              <w:spacing w:after="0"/>
              <w:jc w:val="center"/>
              <w:rPr>
                <w:rFonts w:eastAsia="Times New Roman" w:cs="Arial"/>
                <w:b/>
                <w:bCs/>
                <w:sz w:val="16"/>
                <w:szCs w:val="16"/>
                <w:lang w:eastAsia="pt-BR"/>
              </w:rPr>
            </w:pPr>
            <w:r>
              <w:rPr>
                <w:rFonts w:eastAsia="Times New Roman" w:cs="Arial"/>
                <w:b/>
                <w:bCs/>
                <w:sz w:val="16"/>
                <w:szCs w:val="16"/>
                <w:lang w:eastAsia="pt-BR"/>
              </w:rPr>
              <w:t xml:space="preserve">Cobertura Vegetal e Outros </w:t>
            </w:r>
          </w:p>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Uso</w:t>
            </w:r>
            <w:r>
              <w:rPr>
                <w:rFonts w:eastAsia="Times New Roman" w:cs="Arial"/>
                <w:b/>
                <w:bCs/>
                <w:sz w:val="16"/>
                <w:szCs w:val="16"/>
                <w:lang w:eastAsia="pt-BR"/>
              </w:rPr>
              <w:t>s do Solo na AID</w:t>
            </w:r>
          </w:p>
        </w:tc>
        <w:tc>
          <w:tcPr>
            <w:tcW w:w="0" w:type="auto"/>
            <w:gridSpan w:val="2"/>
            <w:tcBorders>
              <w:top w:val="single" w:sz="4" w:space="0" w:color="auto"/>
              <w:left w:val="nil"/>
              <w:bottom w:val="single" w:sz="4" w:space="0" w:color="auto"/>
              <w:right w:val="single" w:sz="4" w:space="0" w:color="000000"/>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Santa Isabel</w:t>
            </w:r>
          </w:p>
        </w:tc>
        <w:tc>
          <w:tcPr>
            <w:tcW w:w="0" w:type="auto"/>
            <w:gridSpan w:val="2"/>
            <w:tcBorders>
              <w:top w:val="single" w:sz="4" w:space="0" w:color="auto"/>
              <w:left w:val="nil"/>
              <w:bottom w:val="single" w:sz="4" w:space="0" w:color="auto"/>
              <w:right w:val="single" w:sz="4" w:space="0" w:color="000000"/>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Igaratá</w:t>
            </w:r>
          </w:p>
        </w:tc>
        <w:tc>
          <w:tcPr>
            <w:tcW w:w="0" w:type="auto"/>
            <w:gridSpan w:val="2"/>
            <w:tcBorders>
              <w:top w:val="single" w:sz="4" w:space="0" w:color="auto"/>
              <w:left w:val="nil"/>
              <w:bottom w:val="single" w:sz="4" w:space="0" w:color="auto"/>
              <w:right w:val="single" w:sz="4" w:space="0" w:color="000000"/>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Nazaré Paulista</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Total</w:t>
            </w:r>
            <w:r w:rsidRPr="00D61336">
              <w:rPr>
                <w:rFonts w:eastAsia="Times New Roman" w:cs="Arial"/>
                <w:b/>
                <w:bCs/>
                <w:sz w:val="16"/>
                <w:szCs w:val="16"/>
                <w:lang w:eastAsia="pt-BR"/>
              </w:rPr>
              <w:br/>
              <w:t>(ha)</w:t>
            </w:r>
          </w:p>
        </w:tc>
      </w:tr>
      <w:tr w:rsidR="00D61336" w:rsidRPr="00D61336" w:rsidTr="00DE0557">
        <w:trPr>
          <w:cantSplit/>
          <w:trHeight w:val="300"/>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61336" w:rsidRPr="00D61336" w:rsidRDefault="00D61336" w:rsidP="00D61336">
            <w:pPr>
              <w:spacing w:after="0"/>
              <w:jc w:val="center"/>
              <w:rPr>
                <w:rFonts w:eastAsia="Times New Roman" w:cs="Arial"/>
                <w:b/>
                <w:bCs/>
                <w:sz w:val="16"/>
                <w:szCs w:val="16"/>
                <w:lang w:eastAsia="pt-BR"/>
              </w:rPr>
            </w:pPr>
          </w:p>
        </w:tc>
        <w:tc>
          <w:tcPr>
            <w:tcW w:w="0" w:type="auto"/>
            <w:gridSpan w:val="2"/>
            <w:tcBorders>
              <w:top w:val="single" w:sz="4" w:space="0" w:color="auto"/>
              <w:left w:val="nil"/>
              <w:bottom w:val="single" w:sz="4" w:space="0" w:color="auto"/>
              <w:right w:val="nil"/>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color w:val="000000"/>
                <w:sz w:val="16"/>
                <w:szCs w:val="16"/>
                <w:lang w:eastAsia="pt-BR"/>
              </w:rPr>
            </w:pPr>
            <w:r w:rsidRPr="00D61336">
              <w:rPr>
                <w:rFonts w:eastAsia="Times New Roman" w:cs="Arial"/>
                <w:b/>
                <w:bCs/>
                <w:color w:val="000000"/>
                <w:sz w:val="16"/>
                <w:szCs w:val="16"/>
                <w:lang w:eastAsia="pt-BR"/>
              </w:rPr>
              <w:t>Situação APP</w:t>
            </w:r>
          </w:p>
        </w:tc>
        <w:tc>
          <w:tcPr>
            <w:tcW w:w="0" w:type="auto"/>
            <w:gridSpan w:val="2"/>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color w:val="000000"/>
                <w:sz w:val="16"/>
                <w:szCs w:val="16"/>
                <w:lang w:eastAsia="pt-BR"/>
              </w:rPr>
            </w:pPr>
            <w:r w:rsidRPr="00D61336">
              <w:rPr>
                <w:rFonts w:eastAsia="Times New Roman" w:cs="Arial"/>
                <w:b/>
                <w:bCs/>
                <w:color w:val="000000"/>
                <w:sz w:val="16"/>
                <w:szCs w:val="16"/>
                <w:lang w:eastAsia="pt-BR"/>
              </w:rPr>
              <w:t>Situação APP</w:t>
            </w:r>
          </w:p>
        </w:tc>
        <w:tc>
          <w:tcPr>
            <w:tcW w:w="0" w:type="auto"/>
            <w:gridSpan w:val="2"/>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color w:val="000000"/>
                <w:sz w:val="16"/>
                <w:szCs w:val="16"/>
                <w:lang w:eastAsia="pt-BR"/>
              </w:rPr>
            </w:pPr>
            <w:r w:rsidRPr="00D61336">
              <w:rPr>
                <w:rFonts w:eastAsia="Times New Roman" w:cs="Arial"/>
                <w:b/>
                <w:bCs/>
                <w:color w:val="000000"/>
                <w:sz w:val="16"/>
                <w:szCs w:val="16"/>
                <w:lang w:eastAsia="pt-BR"/>
              </w:rPr>
              <w:t>Situação APP</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61336" w:rsidRPr="00D61336" w:rsidRDefault="00D61336" w:rsidP="00D61336">
            <w:pPr>
              <w:spacing w:after="0"/>
              <w:jc w:val="center"/>
              <w:rPr>
                <w:rFonts w:eastAsia="Times New Roman" w:cs="Arial"/>
                <w:b/>
                <w:bCs/>
                <w:sz w:val="16"/>
                <w:szCs w:val="16"/>
                <w:lang w:eastAsia="pt-BR"/>
              </w:rPr>
            </w:pPr>
          </w:p>
        </w:tc>
      </w:tr>
      <w:tr w:rsidR="00D61336" w:rsidRPr="00D61336" w:rsidTr="00DE0557">
        <w:trPr>
          <w:cantSplit/>
          <w:trHeight w:val="300"/>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61336" w:rsidRPr="00D61336" w:rsidRDefault="00D61336" w:rsidP="00D61336">
            <w:pPr>
              <w:spacing w:after="0"/>
              <w:jc w:val="center"/>
              <w:rPr>
                <w:rFonts w:eastAsia="Times New Roman" w:cs="Arial"/>
                <w:b/>
                <w:bCs/>
                <w:sz w:val="16"/>
                <w:szCs w:val="16"/>
                <w:lang w:eastAsia="pt-BR"/>
              </w:rPr>
            </w:pP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Dentro</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Fora</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Dentro</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Fora</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Dentro</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Fora</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61336" w:rsidRPr="00D61336" w:rsidRDefault="00D61336" w:rsidP="00D61336">
            <w:pPr>
              <w:spacing w:after="0"/>
              <w:jc w:val="center"/>
              <w:rPr>
                <w:rFonts w:eastAsia="Times New Roman" w:cs="Arial"/>
                <w:b/>
                <w:bCs/>
                <w:sz w:val="16"/>
                <w:szCs w:val="16"/>
                <w:lang w:eastAsia="pt-BR"/>
              </w:rPr>
            </w:pP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Estágio Avançado</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22,99</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48,31</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85,20</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117,98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274,48</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Estágio Médio</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28,42</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22,08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30,44</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33,71</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32,24</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25,21</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172,11</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Estágio Inicial</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9,24</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9,19</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23,18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26,58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3,47</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2,22</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73,88</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Estágio Pioneiro</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4,07</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3,09</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9,41</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13,83</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0,24</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0,17</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30,82</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Várzea/ Brejo</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1,41</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0,00</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17,48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2,95</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1,38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0,12</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23,33</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Vegetação Antropizada</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0,82</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2,01</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8,13</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11,50</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1,38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1,00</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24,84</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Reflorestamento</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16,90</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64,37</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24,90</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151,32</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39,14</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120,60</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417,23</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Agrupamento/ Cerca Viva</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0,08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0,38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0,98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0,51</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0,28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2,24</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Campo Antrópico</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31,44</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63,76</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90,42</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224,41</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33,35</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54,52</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497,89</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Pastagem</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21,95</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69,23</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42,84</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165,81</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1,31</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5,14</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306,29</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Chácaras</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0,34</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6,84</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12,18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46,79</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2,19</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2,58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70,92</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Cultivo</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0,12</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2,46</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0,05</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2,73</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0,02</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1,27</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6,65</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Solo Exposto</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1,03</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4,19</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3,72</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9,88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2,57</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4,70</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26,10</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Área Urbanizada</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1,29</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4,91</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6,20</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Equipamentos</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1,69</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3,31</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0,22</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5,21</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Edificação</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0,08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0,67</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1,10</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5,18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0,45</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0,80</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8,29</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Agroindústria</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0,12</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0,54</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0,67</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Via Pavimentada</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0,33</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0,45</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0,65</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3,28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4,71</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Via Não Pavimentada</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0,59</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4,12</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4,16</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11,56</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3,08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2,46</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25,97</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Reservatório</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0,88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0,01</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13,38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4,68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1,11</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0,08</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20,14</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61336" w:rsidRPr="00D61336" w:rsidRDefault="00D61336" w:rsidP="00D61336">
            <w:pPr>
              <w:spacing w:after="0"/>
              <w:jc w:val="left"/>
              <w:rPr>
                <w:rFonts w:eastAsia="Times New Roman" w:cs="Arial"/>
                <w:sz w:val="16"/>
                <w:szCs w:val="16"/>
                <w:lang w:eastAsia="pt-BR"/>
              </w:rPr>
            </w:pPr>
            <w:r w:rsidRPr="00D61336">
              <w:rPr>
                <w:rFonts w:eastAsia="Times New Roman" w:cs="Arial"/>
                <w:sz w:val="16"/>
                <w:szCs w:val="16"/>
                <w:lang w:eastAsia="pt-BR"/>
              </w:rPr>
              <w:t>Lago/Açude</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41,72</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14,06</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Pr>
                <w:rFonts w:eastAsia="Times New Roman" w:cs="Arial"/>
                <w:sz w:val="16"/>
                <w:szCs w:val="16"/>
                <w:lang w:eastAsia="pt-BR"/>
              </w:rPr>
              <w:t>-</w:t>
            </w:r>
          </w:p>
        </w:tc>
        <w:tc>
          <w:tcPr>
            <w:tcW w:w="0" w:type="auto"/>
            <w:tcBorders>
              <w:top w:val="nil"/>
              <w:left w:val="nil"/>
              <w:bottom w:val="single" w:sz="4" w:space="0" w:color="auto"/>
              <w:right w:val="single" w:sz="4" w:space="0" w:color="auto"/>
            </w:tcBorders>
            <w:shd w:val="clear" w:color="auto" w:fill="auto"/>
            <w:noWrap/>
            <w:vAlign w:val="center"/>
            <w:hideMark/>
          </w:tcPr>
          <w:p w:rsidR="00D61336" w:rsidRPr="00D61336" w:rsidRDefault="00D61336" w:rsidP="00D61336">
            <w:pPr>
              <w:spacing w:after="0"/>
              <w:jc w:val="center"/>
              <w:rPr>
                <w:rFonts w:eastAsia="Times New Roman" w:cs="Arial"/>
                <w:sz w:val="16"/>
                <w:szCs w:val="16"/>
                <w:lang w:eastAsia="pt-BR"/>
              </w:rPr>
            </w:pPr>
            <w:r w:rsidRPr="00D61336">
              <w:rPr>
                <w:rFonts w:eastAsia="Times New Roman" w:cs="Arial"/>
                <w:sz w:val="16"/>
                <w:szCs w:val="16"/>
                <w:lang w:eastAsia="pt-BR"/>
              </w:rPr>
              <w:t>55,78</w:t>
            </w:r>
          </w:p>
        </w:tc>
      </w:tr>
      <w:tr w:rsidR="00D61336" w:rsidRPr="00D61336" w:rsidTr="00DE0557">
        <w:trPr>
          <w:cantSplit/>
          <w:trHeight w:val="300"/>
          <w:jc w:val="center"/>
        </w:trPr>
        <w:tc>
          <w:tcPr>
            <w:tcW w:w="0" w:type="auto"/>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Total</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161,04</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255,88</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306,82</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769,17</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221,71</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339,13</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D61336" w:rsidRPr="00D61336" w:rsidRDefault="00D61336" w:rsidP="00D61336">
            <w:pPr>
              <w:spacing w:after="0"/>
              <w:jc w:val="center"/>
              <w:rPr>
                <w:rFonts w:eastAsia="Times New Roman" w:cs="Arial"/>
                <w:b/>
                <w:bCs/>
                <w:sz w:val="16"/>
                <w:szCs w:val="16"/>
                <w:lang w:eastAsia="pt-BR"/>
              </w:rPr>
            </w:pPr>
            <w:r w:rsidRPr="00D61336">
              <w:rPr>
                <w:rFonts w:eastAsia="Times New Roman" w:cs="Arial"/>
                <w:b/>
                <w:bCs/>
                <w:sz w:val="16"/>
                <w:szCs w:val="16"/>
                <w:lang w:eastAsia="pt-BR"/>
              </w:rPr>
              <w:t>2.053,75</w:t>
            </w:r>
          </w:p>
        </w:tc>
      </w:tr>
    </w:tbl>
    <w:p w:rsidR="00D9475A" w:rsidRPr="0069310A" w:rsidRDefault="00D9475A" w:rsidP="00B13BF5">
      <w:pPr>
        <w:ind w:left="708" w:firstLine="708"/>
        <w:rPr>
          <w:rFonts w:cs="Arial"/>
          <w:sz w:val="16"/>
          <w:szCs w:val="16"/>
        </w:rPr>
      </w:pPr>
      <w:r w:rsidRPr="0069310A">
        <w:rPr>
          <w:rFonts w:cs="Arial"/>
          <w:b/>
          <w:sz w:val="16"/>
          <w:szCs w:val="16"/>
        </w:rPr>
        <w:t>Fonte:</w:t>
      </w:r>
      <w:r w:rsidR="00B1313A">
        <w:rPr>
          <w:rFonts w:cs="Arial"/>
          <w:sz w:val="16"/>
          <w:szCs w:val="16"/>
        </w:rPr>
        <w:t xml:space="preserve"> PRIME (2014)</w:t>
      </w:r>
    </w:p>
    <w:p w:rsidR="00D9475A" w:rsidRPr="0069310A" w:rsidRDefault="00D9475A" w:rsidP="00811787">
      <w:pPr>
        <w:pStyle w:val="Ttulo4"/>
      </w:pPr>
      <w:bookmarkStart w:id="63" w:name="_Toc411871198"/>
      <w:r w:rsidRPr="0069310A">
        <w:lastRenderedPageBreak/>
        <w:t>Levantamentos Florísticos</w:t>
      </w:r>
      <w:bookmarkEnd w:id="63"/>
    </w:p>
    <w:p w:rsidR="00943A4D" w:rsidRPr="0069310A" w:rsidRDefault="00943A4D" w:rsidP="00943A4D">
      <w:pPr>
        <w:rPr>
          <w:rStyle w:val="NormalDestaque"/>
          <w:rFonts w:cs="Arial"/>
          <w:b w:val="0"/>
          <w:color w:val="auto"/>
        </w:rPr>
      </w:pPr>
      <w:r w:rsidRPr="0069310A">
        <w:rPr>
          <w:rStyle w:val="NormalDestaque"/>
          <w:rFonts w:cs="Arial"/>
          <w:b w:val="0"/>
          <w:color w:val="auto"/>
        </w:rPr>
        <w:t xml:space="preserve">Os levantamentos florísticos realizados na AID da Interligação Jaguari Atibainha buscaram cobrir as diferentes formações vegetais existentes, priorizando áreas significativas em extensão e representativas das diferentes formações vegetacionais. </w:t>
      </w:r>
    </w:p>
    <w:p w:rsidR="00943A4D" w:rsidRPr="0069310A" w:rsidRDefault="00943A4D" w:rsidP="00943A4D">
      <w:pPr>
        <w:rPr>
          <w:rStyle w:val="NormalDestaque"/>
          <w:rFonts w:cs="Arial"/>
          <w:b w:val="0"/>
          <w:color w:val="auto"/>
        </w:rPr>
      </w:pPr>
      <w:r w:rsidRPr="0069310A">
        <w:rPr>
          <w:rStyle w:val="NormalDestaque"/>
          <w:rFonts w:cs="Arial"/>
          <w:b w:val="0"/>
          <w:color w:val="auto"/>
        </w:rPr>
        <w:t xml:space="preserve">A avaliação mais detalhada da vegetação remanescente ocorreu em seis </w:t>
      </w:r>
      <w:r>
        <w:rPr>
          <w:rStyle w:val="NormalDestaque"/>
          <w:rFonts w:cs="Arial"/>
          <w:b w:val="0"/>
          <w:color w:val="auto"/>
        </w:rPr>
        <w:t>áreas amostrais (F3, F8, F24, F</w:t>
      </w:r>
      <w:r w:rsidRPr="0069310A">
        <w:rPr>
          <w:rStyle w:val="NormalDestaque"/>
          <w:rFonts w:cs="Arial"/>
          <w:b w:val="0"/>
          <w:color w:val="auto"/>
        </w:rPr>
        <w:t>28, F33 e F37) representadas por fragmentos ou contínuos representativos em função do tamanho e do grau de preservação. Estas áreas foram distribuídas junto a captação na represa Jaguari, ao longo do traçado da adutora e vias de acesso, bom como no desemboque junto a represa Atibainha.</w:t>
      </w:r>
      <w:r w:rsidR="00C023A0">
        <w:rPr>
          <w:rStyle w:val="NormalDestaque"/>
          <w:rFonts w:cs="Arial"/>
          <w:b w:val="0"/>
          <w:color w:val="auto"/>
        </w:rPr>
        <w:t xml:space="preserve"> </w:t>
      </w:r>
      <w:r w:rsidRPr="0069310A">
        <w:rPr>
          <w:rStyle w:val="NormalDestaque"/>
          <w:rFonts w:cs="Arial"/>
          <w:b w:val="0"/>
          <w:color w:val="auto"/>
        </w:rPr>
        <w:t xml:space="preserve">Para a amostragem, procurou-se priorizar, nos fragmentos, os trechos </w:t>
      </w:r>
      <w:r>
        <w:rPr>
          <w:rStyle w:val="NormalDestaque"/>
          <w:rFonts w:cs="Arial"/>
          <w:b w:val="0"/>
          <w:color w:val="auto"/>
        </w:rPr>
        <w:t>mais próximos da</w:t>
      </w:r>
      <w:r w:rsidRPr="0069310A">
        <w:rPr>
          <w:rStyle w:val="NormalDestaque"/>
          <w:rFonts w:cs="Arial"/>
          <w:b w:val="0"/>
          <w:color w:val="auto"/>
        </w:rPr>
        <w:t xml:space="preserve"> ADA, ou sujeitos a maior interferência em virtude de sua localização junto a vias de acesso. Porém, trechos localizados em AID foram também amostrados objetivando maior detalhamento na caracterização de cada fragmento, bem como fornecer subsídios para os estudos da fauna.</w:t>
      </w:r>
    </w:p>
    <w:p w:rsidR="00943A4D" w:rsidRPr="00360632" w:rsidRDefault="00943A4D" w:rsidP="00943A4D">
      <w:pPr>
        <w:rPr>
          <w:rStyle w:val="NormalDestaque"/>
          <w:rFonts w:cs="Arial"/>
          <w:b w:val="0"/>
          <w:color w:val="auto"/>
        </w:rPr>
      </w:pPr>
      <w:r w:rsidRPr="00360632">
        <w:rPr>
          <w:rStyle w:val="NormalDestaque"/>
          <w:rFonts w:cs="Arial"/>
          <w:b w:val="0"/>
          <w:color w:val="auto"/>
        </w:rPr>
        <w:t>Com base nas características fitofisionômicas e florísticas observadas durante os estudos de campo, e considerando-se o histórico de interferência antrópica destes locais, pode-se classificar a vegetação nativa presente nas áreas avaliadas como Floresta Ombrófila secundária, com características de mosaico, predominantemente em estágio médio de sucessão, com trechos variando entre os estágios inicial a avançado (Deliberação Normativa nº 73, 08/9/2004 e Resolução CONAMA 1, 31/01/94).</w:t>
      </w:r>
    </w:p>
    <w:p w:rsidR="00943A4D" w:rsidRDefault="00943A4D" w:rsidP="00943A4D">
      <w:pPr>
        <w:rPr>
          <w:highlight w:val="yellow"/>
        </w:rPr>
      </w:pPr>
      <w:r>
        <w:t>O</w:t>
      </w:r>
      <w:r w:rsidRPr="00AD5A02">
        <w:t xml:space="preserve">s levantamentos realizados </w:t>
      </w:r>
      <w:r>
        <w:t xml:space="preserve">nas diferentes fitofisionomias percorridas ao longo do traçado </w:t>
      </w:r>
      <w:r w:rsidRPr="00F64724">
        <w:t xml:space="preserve">resultaram na amostragem de </w:t>
      </w:r>
      <w:r w:rsidRPr="00F64724">
        <w:rPr>
          <w:b/>
        </w:rPr>
        <w:t>365</w:t>
      </w:r>
      <w:r w:rsidRPr="00F64724">
        <w:t xml:space="preserve"> espécies botânicas, algumas das quais com ampla</w:t>
      </w:r>
      <w:r w:rsidRPr="00605A80">
        <w:t xml:space="preserve"> distribuição nos ambientes </w:t>
      </w:r>
      <w:r>
        <w:t>avaliad</w:t>
      </w:r>
      <w:r w:rsidRPr="00605A80">
        <w:t>os. Dentre estas</w:t>
      </w:r>
      <w:r>
        <w:t>, apresentam ocorrência constante nos fragmentos remanescentes</w:t>
      </w:r>
      <w:r w:rsidRPr="00DD7E6E">
        <w:rPr>
          <w:i/>
        </w:rPr>
        <w:t xml:space="preserve"> </w:t>
      </w:r>
      <w:r w:rsidRPr="00DD7E6E">
        <w:t>espécies características de ambientes em regeneração</w:t>
      </w:r>
      <w:r>
        <w:t>,</w:t>
      </w:r>
      <w:r>
        <w:rPr>
          <w:i/>
        </w:rPr>
        <w:t xml:space="preserve"> </w:t>
      </w:r>
      <w:r w:rsidRPr="00DD7E6E">
        <w:t>a exemplo de</w:t>
      </w:r>
      <w:r>
        <w:rPr>
          <w:i/>
        </w:rPr>
        <w:t xml:space="preserve"> </w:t>
      </w:r>
      <w:r w:rsidRPr="00DD7E6E">
        <w:rPr>
          <w:i/>
        </w:rPr>
        <w:t>Cupania vernalis</w:t>
      </w:r>
      <w:r>
        <w:rPr>
          <w:i/>
        </w:rPr>
        <w:t xml:space="preserve"> </w:t>
      </w:r>
      <w:r w:rsidRPr="00DD7E6E">
        <w:t>(camboatã),</w:t>
      </w:r>
      <w:r w:rsidRPr="00DD7E6E">
        <w:rPr>
          <w:i/>
        </w:rPr>
        <w:t xml:space="preserve"> Alchornea</w:t>
      </w:r>
      <w:r w:rsidRPr="00605A80">
        <w:t xml:space="preserve"> spp.</w:t>
      </w:r>
      <w:r>
        <w:t xml:space="preserve"> (tapiá)</w:t>
      </w:r>
      <w:r w:rsidRPr="00605A80">
        <w:t xml:space="preserve">, </w:t>
      </w:r>
      <w:r w:rsidRPr="00DD7E6E">
        <w:rPr>
          <w:i/>
        </w:rPr>
        <w:t>Vernoranthura</w:t>
      </w:r>
      <w:r w:rsidRPr="00605A80">
        <w:t xml:space="preserve"> spp.</w:t>
      </w:r>
      <w:r>
        <w:t xml:space="preserve"> (vassourão)</w:t>
      </w:r>
      <w:r w:rsidRPr="00605A80">
        <w:t xml:space="preserve">, </w:t>
      </w:r>
      <w:r w:rsidRPr="00DD7E6E">
        <w:rPr>
          <w:i/>
        </w:rPr>
        <w:t>Sapium glandulatum</w:t>
      </w:r>
      <w:r>
        <w:rPr>
          <w:i/>
        </w:rPr>
        <w:t xml:space="preserve"> </w:t>
      </w:r>
      <w:r w:rsidRPr="00DD7E6E">
        <w:t>(leiteiro),</w:t>
      </w:r>
      <w:r w:rsidRPr="00DD7E6E">
        <w:rPr>
          <w:i/>
        </w:rPr>
        <w:t xml:space="preserve"> </w:t>
      </w:r>
      <w:r>
        <w:rPr>
          <w:i/>
        </w:rPr>
        <w:t xml:space="preserve">Croton floribundus </w:t>
      </w:r>
      <w:r w:rsidRPr="001873F5">
        <w:t>(capixingui),</w:t>
      </w:r>
      <w:r>
        <w:rPr>
          <w:i/>
        </w:rPr>
        <w:t xml:space="preserve"> Cecropia </w:t>
      </w:r>
      <w:r w:rsidRPr="00DD7E6E">
        <w:t>spp</w:t>
      </w:r>
      <w:r>
        <w:rPr>
          <w:i/>
        </w:rPr>
        <w:t xml:space="preserve">. </w:t>
      </w:r>
      <w:r w:rsidRPr="001873F5">
        <w:t>(embaúba),</w:t>
      </w:r>
      <w:r>
        <w:rPr>
          <w:i/>
        </w:rPr>
        <w:t xml:space="preserve"> Myrsine </w:t>
      </w:r>
      <w:r w:rsidRPr="00DD7E6E">
        <w:t>spp</w:t>
      </w:r>
      <w:r>
        <w:rPr>
          <w:i/>
        </w:rPr>
        <w:t xml:space="preserve">. </w:t>
      </w:r>
      <w:r w:rsidRPr="001873F5">
        <w:t xml:space="preserve">(capororoca), </w:t>
      </w:r>
      <w:r w:rsidRPr="00DD7E6E">
        <w:rPr>
          <w:i/>
        </w:rPr>
        <w:t>Syagrus romanzoffiiana</w:t>
      </w:r>
      <w:r>
        <w:rPr>
          <w:i/>
        </w:rPr>
        <w:t xml:space="preserve"> </w:t>
      </w:r>
      <w:r w:rsidRPr="001873F5">
        <w:t>(jerivá),</w:t>
      </w:r>
      <w:r>
        <w:t xml:space="preserve"> entre outras</w:t>
      </w:r>
      <w:r w:rsidRPr="00605A80">
        <w:t xml:space="preserve">, </w:t>
      </w:r>
      <w:r>
        <w:t>evidenciando a condição secundária das formações percorridas.</w:t>
      </w:r>
    </w:p>
    <w:p w:rsidR="00943A4D" w:rsidRPr="00C023A0" w:rsidRDefault="00943A4D" w:rsidP="00943A4D">
      <w:pPr>
        <w:rPr>
          <w:highlight w:val="yellow"/>
        </w:rPr>
      </w:pPr>
      <w:r w:rsidRPr="001873F5">
        <w:t>Out</w:t>
      </w:r>
      <w:r>
        <w:t xml:space="preserve">ras espécies com ampla distribuição, mas que já denotam maior grau de preservação </w:t>
      </w:r>
      <w:r w:rsidRPr="00B03305">
        <w:t xml:space="preserve">foram </w:t>
      </w:r>
      <w:r w:rsidRPr="00B03305">
        <w:rPr>
          <w:i/>
        </w:rPr>
        <w:t>Machaerium</w:t>
      </w:r>
      <w:r w:rsidRPr="00B03305">
        <w:t xml:space="preserve"> spp. (bico de pato), </w:t>
      </w:r>
      <w:r w:rsidRPr="00B03305">
        <w:rPr>
          <w:i/>
        </w:rPr>
        <w:t>Anadenanthera colubrina</w:t>
      </w:r>
      <w:r w:rsidRPr="00B03305">
        <w:t xml:space="preserve"> (angico), </w:t>
      </w:r>
      <w:r w:rsidRPr="00B03305">
        <w:rPr>
          <w:i/>
        </w:rPr>
        <w:t>Protium heptaphyllum</w:t>
      </w:r>
      <w:r>
        <w:t xml:space="preserve"> (almecega), </w:t>
      </w:r>
      <w:r w:rsidRPr="0078263D">
        <w:rPr>
          <w:i/>
        </w:rPr>
        <w:t>Guarea</w:t>
      </w:r>
      <w:r>
        <w:t xml:space="preserve"> spp. (marinheiro), </w:t>
      </w:r>
      <w:r w:rsidRPr="0078263D">
        <w:rPr>
          <w:i/>
        </w:rPr>
        <w:t>Cupania</w:t>
      </w:r>
      <w:r>
        <w:t xml:space="preserve"> spp. e Matayba spp. (camboatã), </w:t>
      </w:r>
      <w:r w:rsidRPr="003A3EE6">
        <w:rPr>
          <w:i/>
        </w:rPr>
        <w:t>Dalbergia brasiliensis</w:t>
      </w:r>
      <w:r>
        <w:t xml:space="preserve"> (jacarandá branco), </w:t>
      </w:r>
      <w:r w:rsidRPr="00DD7E6E">
        <w:rPr>
          <w:i/>
        </w:rPr>
        <w:t>Cedrela</w:t>
      </w:r>
      <w:r>
        <w:t xml:space="preserve"> spp. (cedro), esta última representada tanto por </w:t>
      </w:r>
      <w:r w:rsidRPr="001873F5">
        <w:rPr>
          <w:i/>
        </w:rPr>
        <w:t>Cedrela fissilis</w:t>
      </w:r>
      <w:r>
        <w:t xml:space="preserve"> (cedro rosa) quanto por </w:t>
      </w:r>
      <w:r w:rsidRPr="001873F5">
        <w:rPr>
          <w:i/>
        </w:rPr>
        <w:t>Cedrela odorata</w:t>
      </w:r>
      <w:r>
        <w:t xml:space="preserve"> (cedrinho), coexistentes.</w:t>
      </w:r>
      <w:r w:rsidR="00C023A0">
        <w:t xml:space="preserve"> </w:t>
      </w:r>
      <w:r w:rsidRPr="001B7E50">
        <w:t>Destaca-se,</w:t>
      </w:r>
      <w:r>
        <w:t xml:space="preserve"> ainda, a representatividade da família Melastomataceae, com elevado número de indivíduos e de espécies, entre as quais </w:t>
      </w:r>
      <w:r w:rsidRPr="00896D47">
        <w:rPr>
          <w:i/>
        </w:rPr>
        <w:t>Tibouchina</w:t>
      </w:r>
      <w:r>
        <w:t xml:space="preserve"> spp. (manacá), </w:t>
      </w:r>
      <w:r w:rsidRPr="00896D47">
        <w:rPr>
          <w:i/>
        </w:rPr>
        <w:t>Miconia</w:t>
      </w:r>
      <w:r>
        <w:t xml:space="preserve"> spp. (jacatirão) e Leandra spp. (pixirica).</w:t>
      </w:r>
    </w:p>
    <w:p w:rsidR="00943A4D" w:rsidRDefault="00943A4D" w:rsidP="00943A4D">
      <w:r w:rsidRPr="00DD7E6E">
        <w:t xml:space="preserve">Espécies </w:t>
      </w:r>
      <w:r>
        <w:t xml:space="preserve">típicas de estágios mais avançados foram observadas em locais de difícil acesso, íngremes, bem como nos fragmentos de maior extensão. Notadamente na região mais próxima à represa Atibainha. Nestes locais, foram registradas </w:t>
      </w:r>
      <w:r w:rsidRPr="001873F5">
        <w:rPr>
          <w:i/>
        </w:rPr>
        <w:t>Hymenaea courbaril</w:t>
      </w:r>
      <w:r>
        <w:t xml:space="preserve"> (jatobá), </w:t>
      </w:r>
      <w:r w:rsidRPr="00207A4E">
        <w:rPr>
          <w:i/>
        </w:rPr>
        <w:t>Myrocarpus frondosus</w:t>
      </w:r>
      <w:r w:rsidRPr="00207A4E">
        <w:t xml:space="preserve"> </w:t>
      </w:r>
      <w:r>
        <w:t xml:space="preserve">(cabrúva), </w:t>
      </w:r>
      <w:r w:rsidRPr="00207A4E">
        <w:rPr>
          <w:i/>
        </w:rPr>
        <w:t>Nectandra</w:t>
      </w:r>
      <w:r>
        <w:t xml:space="preserve"> spp., </w:t>
      </w:r>
      <w:r w:rsidRPr="00873909">
        <w:rPr>
          <w:i/>
        </w:rPr>
        <w:t>Cinnamomum</w:t>
      </w:r>
      <w:r>
        <w:t xml:space="preserve"> sp. e </w:t>
      </w:r>
      <w:r w:rsidRPr="00207A4E">
        <w:rPr>
          <w:i/>
        </w:rPr>
        <w:t>Ocotea</w:t>
      </w:r>
      <w:r>
        <w:t xml:space="preserve"> spp., incluindo </w:t>
      </w:r>
      <w:r w:rsidRPr="00873909">
        <w:rPr>
          <w:i/>
        </w:rPr>
        <w:t>Ocotea odorifera</w:t>
      </w:r>
      <w:r>
        <w:t xml:space="preserve"> (canelas), </w:t>
      </w:r>
      <w:r w:rsidRPr="001837E3">
        <w:rPr>
          <w:i/>
        </w:rPr>
        <w:t>Machaerium villosum</w:t>
      </w:r>
      <w:r>
        <w:rPr>
          <w:i/>
        </w:rPr>
        <w:t xml:space="preserve"> </w:t>
      </w:r>
      <w:r>
        <w:t>(jacarandá paulista), entre outras.</w:t>
      </w:r>
      <w:r w:rsidRPr="00207A4E">
        <w:t xml:space="preserve"> </w:t>
      </w:r>
      <w:r>
        <w:t xml:space="preserve">Além destas, </w:t>
      </w:r>
      <w:r w:rsidRPr="001B7E50">
        <w:t>salienta-se a ocorrência de</w:t>
      </w:r>
      <w:r>
        <w:t xml:space="preserve"> </w:t>
      </w:r>
      <w:r w:rsidRPr="001873F5">
        <w:rPr>
          <w:i/>
        </w:rPr>
        <w:t>Euterpe edulis</w:t>
      </w:r>
      <w:r>
        <w:t xml:space="preserve"> (palmiteiro), geralmente observado em áreas mais preservadas, formando aglomerados de indivíduos.</w:t>
      </w:r>
    </w:p>
    <w:p w:rsidR="00943A4D" w:rsidRDefault="00943A4D" w:rsidP="00943A4D">
      <w:r>
        <w:t xml:space="preserve">Espécies arbustivas, epífitas e fetos arborescentes predominaram </w:t>
      </w:r>
      <w:r w:rsidRPr="00777459">
        <w:t>em sub</w:t>
      </w:r>
      <w:r>
        <w:t>-</w:t>
      </w:r>
      <w:r w:rsidRPr="00777459">
        <w:t>bosque</w:t>
      </w:r>
      <w:r>
        <w:t xml:space="preserve"> nos fragmentos de estágio sucessional mais avançado. Também foi observado que </w:t>
      </w:r>
      <w:r w:rsidRPr="002571A1">
        <w:t>estes</w:t>
      </w:r>
      <w:r>
        <w:t xml:space="preserve"> grupos apresentaram ocorrência e distribuição relacionadas ao grau de umidade de solo, assim, locais próximos a cursos d´água registram maior riqueza e densidade sobretudo de espécies das famílias Myrtaceae (</w:t>
      </w:r>
      <w:r w:rsidRPr="00777459">
        <w:rPr>
          <w:i/>
        </w:rPr>
        <w:t>Myrcia, Eugenia, Psidium, Calyptrantes</w:t>
      </w:r>
      <w:r>
        <w:t>), Rubiaceae (</w:t>
      </w:r>
      <w:r w:rsidRPr="00777459">
        <w:rPr>
          <w:i/>
        </w:rPr>
        <w:t>Psychotria, Palicourea, Randia</w:t>
      </w:r>
      <w:r>
        <w:t>), Piperaceae (</w:t>
      </w:r>
      <w:r w:rsidRPr="00777459">
        <w:rPr>
          <w:i/>
        </w:rPr>
        <w:t>Piper, Peperomia</w:t>
      </w:r>
      <w:r>
        <w:t>), Orchidaceae (</w:t>
      </w:r>
      <w:r w:rsidRPr="00777459">
        <w:rPr>
          <w:i/>
        </w:rPr>
        <w:t>Campylocentrum, Oncidium, Catasetum, Vanilla</w:t>
      </w:r>
      <w:r>
        <w:t>) e Bromeliaceae (</w:t>
      </w:r>
      <w:r w:rsidRPr="00777459">
        <w:rPr>
          <w:i/>
        </w:rPr>
        <w:t>Vriesea, Aechmea, Canistrum, Tillandsia</w:t>
      </w:r>
      <w:r>
        <w:t xml:space="preserve">). </w:t>
      </w:r>
    </w:p>
    <w:p w:rsidR="00943A4D" w:rsidRDefault="00943A4D" w:rsidP="00943A4D">
      <w:r>
        <w:t xml:space="preserve">Pteridófitas tiveram alta representatividade em sub-bosque, destacando-se ampla ocorrência de </w:t>
      </w:r>
      <w:r w:rsidRPr="009862E5">
        <w:rPr>
          <w:i/>
        </w:rPr>
        <w:t>Cyathea</w:t>
      </w:r>
      <w:r>
        <w:rPr>
          <w:i/>
        </w:rPr>
        <w:t xml:space="preserve"> spp. </w:t>
      </w:r>
      <w:r w:rsidRPr="00D640B8">
        <w:t>(samambaiaçu),</w:t>
      </w:r>
      <w:r>
        <w:t xml:space="preserve"> </w:t>
      </w:r>
      <w:r w:rsidRPr="00D640B8">
        <w:rPr>
          <w:i/>
        </w:rPr>
        <w:t>Pteridium</w:t>
      </w:r>
      <w:r>
        <w:t xml:space="preserve"> sp. e </w:t>
      </w:r>
      <w:r w:rsidRPr="00D640B8">
        <w:rPr>
          <w:i/>
        </w:rPr>
        <w:t>Blechnum</w:t>
      </w:r>
      <w:r>
        <w:t xml:space="preserve"> sp.</w:t>
      </w:r>
    </w:p>
    <w:p w:rsidR="00943A4D" w:rsidRPr="00AD5A02" w:rsidRDefault="00943A4D" w:rsidP="00943A4D">
      <w:r>
        <w:lastRenderedPageBreak/>
        <w:t xml:space="preserve">Já as lianas apresentaram tendência de maior ocupação em locais com histórico de perturbação e nas áreas de borda dos fragmentos. De modo geral, no entanto, não foi observado grande excesso populacional de lianas, as quais, em áreas mais preservadas apresentaram alta riqueza de espécies em baixo número de indivíduos. Destacando-se </w:t>
      </w:r>
      <w:r w:rsidRPr="0092059D">
        <w:rPr>
          <w:i/>
        </w:rPr>
        <w:t>Anchietia salutaris</w:t>
      </w:r>
      <w:r>
        <w:t xml:space="preserve"> (Violaceae), </w:t>
      </w:r>
      <w:r w:rsidRPr="0092059D">
        <w:rPr>
          <w:i/>
        </w:rPr>
        <w:t>Manettia</w:t>
      </w:r>
      <w:r w:rsidRPr="0083411F">
        <w:t xml:space="preserve"> sp.</w:t>
      </w:r>
      <w:r>
        <w:t xml:space="preserve"> (Rubiaceae), </w:t>
      </w:r>
      <w:r w:rsidRPr="0092059D">
        <w:rPr>
          <w:i/>
        </w:rPr>
        <w:t>Serjania</w:t>
      </w:r>
      <w:r>
        <w:t xml:space="preserve"> sp. (Sapindaceae), </w:t>
      </w:r>
      <w:r w:rsidRPr="0092059D">
        <w:rPr>
          <w:i/>
        </w:rPr>
        <w:t>Cleobulia multiflora</w:t>
      </w:r>
      <w:r>
        <w:t xml:space="preserve"> (Fabaceae), </w:t>
      </w:r>
      <w:r w:rsidRPr="0092059D">
        <w:rPr>
          <w:i/>
        </w:rPr>
        <w:t>Pyrostegia venusta</w:t>
      </w:r>
      <w:r w:rsidRPr="0083411F">
        <w:t xml:space="preserve"> </w:t>
      </w:r>
      <w:r>
        <w:t xml:space="preserve">e </w:t>
      </w:r>
      <w:r w:rsidRPr="0092059D">
        <w:rPr>
          <w:i/>
        </w:rPr>
        <w:t xml:space="preserve">Pithecoctenium </w:t>
      </w:r>
      <w:r>
        <w:t>sp. (Bignoniaceae), entre outras.</w:t>
      </w:r>
    </w:p>
    <w:p w:rsidR="00943A4D" w:rsidRPr="00627CCB" w:rsidRDefault="00943A4D" w:rsidP="00943A4D">
      <w:r w:rsidRPr="00627CCB">
        <w:t xml:space="preserve">Do total de espécies amostradas ao longo do traçado, 3 estão citadas nas listas oficiais do IBAMA e SMA, com grau de ameaça de extinção. </w:t>
      </w:r>
      <w:r w:rsidRPr="00627CCB">
        <w:rPr>
          <w:i/>
          <w:iCs/>
        </w:rPr>
        <w:t>Ocotea odorifera</w:t>
      </w:r>
      <w:r w:rsidRPr="00627CCB">
        <w:t xml:space="preserve"> (canela-sassafrás), </w:t>
      </w:r>
      <w:r w:rsidRPr="00627CCB">
        <w:rPr>
          <w:i/>
          <w:iCs/>
        </w:rPr>
        <w:t>Euterpe edulis</w:t>
      </w:r>
      <w:r w:rsidRPr="00627CCB">
        <w:t xml:space="preserve"> (palmito jussara), </w:t>
      </w:r>
      <w:r w:rsidRPr="00627CCB">
        <w:rPr>
          <w:i/>
          <w:iCs/>
        </w:rPr>
        <w:t>Araucaria angustifolia</w:t>
      </w:r>
      <w:r w:rsidRPr="00627CCB">
        <w:t xml:space="preserve"> (pinheiro-d</w:t>
      </w:r>
      <w:r>
        <w:t>o-Paraná)</w:t>
      </w:r>
      <w:r w:rsidRPr="00627CCB">
        <w:t xml:space="preserve"> são citadas como ameçadas de extinção no Estado de São Paulo, pela Instrução Normativa IBAMA nº 6 de 2008. A exceção de </w:t>
      </w:r>
      <w:r w:rsidRPr="00627CCB">
        <w:rPr>
          <w:i/>
          <w:iCs/>
        </w:rPr>
        <w:t xml:space="preserve">Ocotea odorifera, </w:t>
      </w:r>
      <w:r w:rsidRPr="00627CCB">
        <w:t>estas espécies também aparecem na listagem da Resolução SMA 48 de 2004, classificadas como vulneráveis.</w:t>
      </w:r>
    </w:p>
    <w:p w:rsidR="00943A4D" w:rsidRPr="0018138E" w:rsidRDefault="00943A4D" w:rsidP="00943A4D">
      <w:r w:rsidRPr="002853C4">
        <w:t xml:space="preserve">Quanto à distribuição destas espécies, observou-se que </w:t>
      </w:r>
      <w:r w:rsidRPr="002853C4">
        <w:rPr>
          <w:i/>
          <w:iCs/>
        </w:rPr>
        <w:t>Euterpe edulis</w:t>
      </w:r>
      <w:r w:rsidRPr="002853C4">
        <w:t xml:space="preserve"> (palmito jussara), teve </w:t>
      </w:r>
      <w:r>
        <w:t>maior o</w:t>
      </w:r>
      <w:r w:rsidRPr="002853C4">
        <w:t xml:space="preserve">corrência </w:t>
      </w:r>
      <w:r>
        <w:t xml:space="preserve">nas proximidades da represa Atibainha, </w:t>
      </w:r>
      <w:r w:rsidRPr="002853C4">
        <w:t xml:space="preserve">formando populações densas nas áreas mais preservadas, especialmente em locais de maior umidade do solo. </w:t>
      </w:r>
      <w:r w:rsidRPr="002853C4">
        <w:rPr>
          <w:i/>
          <w:iCs/>
        </w:rPr>
        <w:t>Araucaria angustifolia</w:t>
      </w:r>
      <w:r>
        <w:t xml:space="preserve"> (pinheiro-do-Paraná)</w:t>
      </w:r>
      <w:r w:rsidRPr="002853C4">
        <w:t xml:space="preserve"> apresentou registro de </w:t>
      </w:r>
      <w:r>
        <w:t>modera</w:t>
      </w:r>
      <w:r w:rsidRPr="002853C4">
        <w:t xml:space="preserve">do número de indivíduos, especialmente junto ao traçado da </w:t>
      </w:r>
      <w:r>
        <w:t>a</w:t>
      </w:r>
      <w:r w:rsidRPr="002853C4">
        <w:t>du</w:t>
      </w:r>
      <w:r>
        <w:t>tora, origi</w:t>
      </w:r>
      <w:r w:rsidRPr="002853C4">
        <w:t xml:space="preserve">nários de plantios feitos predominantemente em áreas lindeiras às estradas; de forma pouco expressiva, também foram observados indivíduos isolados em fragmentos remanescentes. </w:t>
      </w:r>
      <w:r>
        <w:t>Enquanto para</w:t>
      </w:r>
      <w:r w:rsidRPr="00C02928">
        <w:t xml:space="preserve"> </w:t>
      </w:r>
      <w:r w:rsidRPr="0018138E">
        <w:rPr>
          <w:i/>
          <w:iCs/>
        </w:rPr>
        <w:t>Ocotea odorifera</w:t>
      </w:r>
      <w:r w:rsidRPr="0018138E">
        <w:t xml:space="preserve"> (canela-sassafrás) foram identificados poucos indivíduos, apenas </w:t>
      </w:r>
      <w:r>
        <w:t xml:space="preserve">em </w:t>
      </w:r>
      <w:r w:rsidRPr="0018138E">
        <w:t>locais com maior grau de preservação no interior de fragmentos.</w:t>
      </w:r>
    </w:p>
    <w:p w:rsidR="00943A4D" w:rsidRDefault="00943A4D" w:rsidP="00943A4D">
      <w:r w:rsidRPr="0018138E">
        <w:t xml:space="preserve">Vale ressaltar que houve uma estreita semelhança florística entre </w:t>
      </w:r>
      <w:r>
        <w:t xml:space="preserve">a </w:t>
      </w:r>
      <w:r w:rsidRPr="0018138E">
        <w:t>AID</w:t>
      </w:r>
      <w:r>
        <w:t xml:space="preserve"> e as áreas lindeiras ao traçado</w:t>
      </w:r>
      <w:r w:rsidRPr="0018138E">
        <w:t xml:space="preserve">, reflexo do bom grau de preservação dos fragmentos naturais na região de estudo bem como da proximidade entre esses compartimentos, uma vez que a maior parte do trajeto </w:t>
      </w:r>
      <w:r>
        <w:t xml:space="preserve">da adutora </w:t>
      </w:r>
      <w:r w:rsidRPr="0018138E">
        <w:t>localiza</w:t>
      </w:r>
      <w:r>
        <w:t>-se</w:t>
      </w:r>
      <w:r w:rsidRPr="0018138E">
        <w:t xml:space="preserve"> em vias de acesso</w:t>
      </w:r>
      <w:r w:rsidRPr="002571A1">
        <w:t>, atingindo principalmente</w:t>
      </w:r>
      <w:r w:rsidRPr="0018138E">
        <w:t xml:space="preserve"> as bordas de fragmentos remanescentes. </w:t>
      </w:r>
    </w:p>
    <w:p w:rsidR="00943A4D" w:rsidRDefault="00943A4D" w:rsidP="00943A4D">
      <w:r w:rsidRPr="005A3F39">
        <w:rPr>
          <w:bCs/>
        </w:rPr>
        <w:t>O</w:t>
      </w:r>
      <w:r w:rsidRPr="005A3F39">
        <w:rPr>
          <w:b/>
          <w:bCs/>
        </w:rPr>
        <w:t xml:space="preserve"> Anexo 1.2 </w:t>
      </w:r>
      <w:r w:rsidRPr="005A3F39">
        <w:rPr>
          <w:bCs/>
        </w:rPr>
        <w:t>apresenta os dados</w:t>
      </w:r>
      <w:r w:rsidRPr="005A3F39">
        <w:rPr>
          <w:rStyle w:val="NormalDestaque"/>
          <w:rFonts w:ascii="Verdana" w:hAnsi="Verdana" w:cs="Tahoma"/>
        </w:rPr>
        <w:t xml:space="preserve"> </w:t>
      </w:r>
      <w:r w:rsidRPr="005A3F39">
        <w:rPr>
          <w:bCs/>
        </w:rPr>
        <w:t>florísticos</w:t>
      </w:r>
      <w:r w:rsidRPr="005A3F39">
        <w:rPr>
          <w:b/>
          <w:bCs/>
        </w:rPr>
        <w:t xml:space="preserve"> </w:t>
      </w:r>
      <w:r w:rsidRPr="005A3F39">
        <w:t>registrados nas diferentes formações vegetais</w:t>
      </w:r>
      <w:r w:rsidRPr="00B6450D">
        <w:t xml:space="preserve"> amostradas</w:t>
      </w:r>
      <w:r>
        <w:t xml:space="preserve">. Salienta-se que, para espécies correspondentes a grupos taxonômicos que necessitam de material fértil para confirmação da espécie, mas este não se encontrava disponível, foi utilizada a partícula </w:t>
      </w:r>
      <w:r w:rsidRPr="0078795A">
        <w:rPr>
          <w:i/>
        </w:rPr>
        <w:t>cf</w:t>
      </w:r>
      <w:r>
        <w:rPr>
          <w:i/>
        </w:rPr>
        <w:t>.</w:t>
      </w:r>
      <w:r w:rsidRPr="00473A2F">
        <w:t xml:space="preserve"> (confers = comparar com)</w:t>
      </w:r>
      <w:r>
        <w:t xml:space="preserve">, ou foram mantidos apenas os níveis de gênero e família. O </w:t>
      </w:r>
      <w:r w:rsidRPr="003A709F">
        <w:rPr>
          <w:b/>
        </w:rPr>
        <w:t>Anexo 1.2</w:t>
      </w:r>
      <w:r>
        <w:t xml:space="preserve"> fornece também informações comparativas quanto a formas de vida, ocorrência e classes sucessionais das espécies amostradas nas diferentes fitofisionomias percorridas; junto com as coordenadas geográficas dos trechos de amostragem dentro de cada área.</w:t>
      </w:r>
    </w:p>
    <w:p w:rsidR="00943A4D" w:rsidRPr="003A709F" w:rsidRDefault="00943A4D" w:rsidP="00943A4D">
      <w:r w:rsidRPr="003A709F">
        <w:rPr>
          <w:bCs/>
        </w:rPr>
        <w:t xml:space="preserve">São descritos, a seguir, resultados do levantamento realizado nas </w:t>
      </w:r>
      <w:r w:rsidRPr="003A709F">
        <w:t xml:space="preserve">áreas amostrais F3, F8, F24, F28, F33 e F37, junto com informações sobre as </w:t>
      </w:r>
      <w:r w:rsidRPr="003A709F">
        <w:rPr>
          <w:bCs/>
        </w:rPr>
        <w:t>características gerais</w:t>
      </w:r>
      <w:r w:rsidRPr="003A709F">
        <w:t xml:space="preserve"> destas áreas. </w:t>
      </w:r>
    </w:p>
    <w:p w:rsidR="00943A4D" w:rsidRPr="003A709F" w:rsidRDefault="00943A4D" w:rsidP="00943A4D">
      <w:r>
        <w:rPr>
          <w:b/>
        </w:rPr>
        <w:t xml:space="preserve">Área </w:t>
      </w:r>
      <w:r w:rsidRPr="000A481A">
        <w:rPr>
          <w:b/>
        </w:rPr>
        <w:t>F3</w:t>
      </w:r>
      <w:r w:rsidRPr="003A709F">
        <w:t xml:space="preserve"> - Área amostral situada no município de </w:t>
      </w:r>
      <w:r>
        <w:t>Santa Isabel</w:t>
      </w:r>
      <w:r w:rsidRPr="003A709F">
        <w:t xml:space="preserve">, nas proximidades do local de captação na represa </w:t>
      </w:r>
      <w:r>
        <w:t xml:space="preserve">Jaguari </w:t>
      </w:r>
      <w:r w:rsidRPr="003A709F">
        <w:t xml:space="preserve">e de passagem da </w:t>
      </w:r>
      <w:r>
        <w:t>a</w:t>
      </w:r>
      <w:r w:rsidRPr="003A709F">
        <w:t>dutora.</w:t>
      </w:r>
    </w:p>
    <w:p w:rsidR="00943A4D" w:rsidRPr="003A709F" w:rsidRDefault="00943A4D" w:rsidP="00943A4D">
      <w:r w:rsidRPr="003A709F">
        <w:t>Os trechos percorridos para levantamento florístico foram correspondentes a Floresta Ombrófila em estágio sucessional inicial a médio de regeneração natural</w:t>
      </w:r>
      <w:r>
        <w:t>,</w:t>
      </w:r>
      <w:r w:rsidRPr="003A709F">
        <w:t xml:space="preserve"> </w:t>
      </w:r>
      <w:r>
        <w:t>s</w:t>
      </w:r>
      <w:r w:rsidRPr="003A709F">
        <w:t>endo seu entorno representado por pastagens e plantio de Eucalyptus.</w:t>
      </w:r>
    </w:p>
    <w:p w:rsidR="00943A4D" w:rsidRPr="003A709F" w:rsidRDefault="00943A4D" w:rsidP="00943A4D">
      <w:r w:rsidRPr="003A709F">
        <w:t xml:space="preserve">Nesse fragmento o dossel é predominantemente contínuo, com indivíduos arbóreos com altura entre 7 e 9 m, havendo emergentes de até 14 metros de altura. O sub-bosque é pouco estratificado, com predomínio de Piperaceae. A ocorrência de lianas é moderada, predominando em áreas de borda. </w:t>
      </w:r>
      <w:r>
        <w:t>R</w:t>
      </w:r>
      <w:r w:rsidRPr="003A709F">
        <w:t>egistra</w:t>
      </w:r>
      <w:r>
        <w:t>-se</w:t>
      </w:r>
      <w:r w:rsidRPr="003A709F">
        <w:t xml:space="preserve"> baixa ocorrência de epífitas, com presença de </w:t>
      </w:r>
      <w:r w:rsidRPr="003A709F">
        <w:rPr>
          <w:i/>
        </w:rPr>
        <w:t>Tillandsia sp</w:t>
      </w:r>
      <w:r w:rsidRPr="003A709F">
        <w:t>. (Bromeliaceae).</w:t>
      </w:r>
    </w:p>
    <w:p w:rsidR="00943A4D" w:rsidRDefault="00943A4D" w:rsidP="00943A4D">
      <w:r>
        <w:t>As e</w:t>
      </w:r>
      <w:r w:rsidRPr="003A709F">
        <w:t xml:space="preserve">spécies arbóreas predominantes são </w:t>
      </w:r>
      <w:r w:rsidRPr="003A709F">
        <w:rPr>
          <w:i/>
        </w:rPr>
        <w:t>Tetrorchidium rubrivenium</w:t>
      </w:r>
      <w:r w:rsidRPr="003A709F">
        <w:t xml:space="preserve">, </w:t>
      </w:r>
      <w:r w:rsidRPr="003A709F">
        <w:rPr>
          <w:i/>
        </w:rPr>
        <w:t>Alchornea spp</w:t>
      </w:r>
      <w:r w:rsidRPr="003A709F">
        <w:t xml:space="preserve">., </w:t>
      </w:r>
      <w:r w:rsidRPr="003A709F">
        <w:rPr>
          <w:i/>
        </w:rPr>
        <w:t>Endlicheria paniculata</w:t>
      </w:r>
      <w:r w:rsidRPr="003A709F">
        <w:t xml:space="preserve">, </w:t>
      </w:r>
      <w:r w:rsidRPr="003A709F">
        <w:rPr>
          <w:i/>
        </w:rPr>
        <w:t>Casearia sylvestris</w:t>
      </w:r>
      <w:r w:rsidRPr="003A709F">
        <w:t xml:space="preserve">, </w:t>
      </w:r>
      <w:r w:rsidRPr="003A709F">
        <w:rPr>
          <w:i/>
        </w:rPr>
        <w:t>Cupania vernalis</w:t>
      </w:r>
      <w:r w:rsidRPr="003A709F">
        <w:t xml:space="preserve">, </w:t>
      </w:r>
      <w:r w:rsidRPr="003A709F">
        <w:rPr>
          <w:i/>
        </w:rPr>
        <w:t>Myrcia splendens</w:t>
      </w:r>
      <w:r w:rsidRPr="003A709F">
        <w:t xml:space="preserve">, </w:t>
      </w:r>
      <w:r w:rsidRPr="003A709F">
        <w:rPr>
          <w:i/>
        </w:rPr>
        <w:t>Ficus insipida</w:t>
      </w:r>
      <w:r w:rsidRPr="003A709F">
        <w:t xml:space="preserve">, </w:t>
      </w:r>
      <w:r w:rsidRPr="003A709F">
        <w:rPr>
          <w:i/>
        </w:rPr>
        <w:t>Vernonanthura divaricata</w:t>
      </w:r>
      <w:r w:rsidRPr="003A709F">
        <w:t xml:space="preserve">, </w:t>
      </w:r>
      <w:r w:rsidRPr="003A709F">
        <w:rPr>
          <w:i/>
        </w:rPr>
        <w:t>Syagrus romanzoffiiana</w:t>
      </w:r>
      <w:r w:rsidRPr="003A709F">
        <w:t xml:space="preserve">, </w:t>
      </w:r>
      <w:r w:rsidRPr="003A709F">
        <w:rPr>
          <w:i/>
        </w:rPr>
        <w:t>Sapium glandulosum</w:t>
      </w:r>
      <w:r w:rsidRPr="003A709F">
        <w:t xml:space="preserve">, </w:t>
      </w:r>
      <w:r w:rsidRPr="003A709F">
        <w:rPr>
          <w:i/>
        </w:rPr>
        <w:t>Piptadenia gonoacantha</w:t>
      </w:r>
      <w:r>
        <w:t>,</w:t>
      </w:r>
      <w:r w:rsidRPr="003A709F">
        <w:t xml:space="preserve"> </w:t>
      </w:r>
      <w:r>
        <w:t>c</w:t>
      </w:r>
      <w:r w:rsidRPr="003A709F">
        <w:t xml:space="preserve">om ocorrência de </w:t>
      </w:r>
      <w:r w:rsidRPr="003A709F">
        <w:rPr>
          <w:i/>
        </w:rPr>
        <w:t>Machaerium villosum</w:t>
      </w:r>
      <w:r w:rsidRPr="003A709F">
        <w:t>.</w:t>
      </w:r>
    </w:p>
    <w:tbl>
      <w:tblPr>
        <w:tblStyle w:val="Tabelacomgrade"/>
        <w:tblW w:w="9781" w:type="dxa"/>
        <w:tblInd w:w="51" w:type="dxa"/>
        <w:tblLayout w:type="fixed"/>
        <w:tblLook w:val="04A0" w:firstRow="1" w:lastRow="0" w:firstColumn="1" w:lastColumn="0" w:noHBand="0" w:noVBand="1"/>
      </w:tblPr>
      <w:tblGrid>
        <w:gridCol w:w="4962"/>
        <w:gridCol w:w="4819"/>
      </w:tblGrid>
      <w:tr w:rsidR="00C023A0" w:rsidRPr="005C7E13" w:rsidTr="00C023A0">
        <w:tc>
          <w:tcPr>
            <w:tcW w:w="9781" w:type="dxa"/>
            <w:gridSpan w:val="2"/>
            <w:tcBorders>
              <w:top w:val="nil"/>
              <w:left w:val="nil"/>
              <w:bottom w:val="nil"/>
              <w:right w:val="nil"/>
            </w:tcBorders>
          </w:tcPr>
          <w:p w:rsidR="00C023A0" w:rsidRPr="00C023A0" w:rsidRDefault="00C023A0" w:rsidP="00200A8F">
            <w:pPr>
              <w:pStyle w:val="Quadro"/>
              <w:rPr>
                <w:bCs/>
              </w:rPr>
            </w:pPr>
            <w:r w:rsidRPr="00C023A0">
              <w:rPr>
                <w:b w:val="0"/>
                <w:bCs/>
              </w:rPr>
              <w:lastRenderedPageBreak/>
              <w:t>Figura 6.4.2</w:t>
            </w:r>
            <w:r w:rsidR="00200A8F">
              <w:rPr>
                <w:b w:val="0"/>
                <w:bCs/>
              </w:rPr>
              <w:t>-1.</w:t>
            </w:r>
            <w:r w:rsidRPr="00C023A0">
              <w:rPr>
                <w:bCs/>
              </w:rPr>
              <w:t xml:space="preserve"> </w:t>
            </w:r>
            <w:r w:rsidR="008B5745">
              <w:rPr>
                <w:bCs/>
              </w:rPr>
              <w:t>T</w:t>
            </w:r>
            <w:r w:rsidRPr="00C023A0">
              <w:rPr>
                <w:bCs/>
              </w:rPr>
              <w:t>ranseções percorridas para realização do leva</w:t>
            </w:r>
            <w:r w:rsidR="00200A8F">
              <w:rPr>
                <w:bCs/>
              </w:rPr>
              <w:t xml:space="preserve">ntamento florístico na área F3 </w:t>
            </w:r>
            <w:r w:rsidR="008B5745">
              <w:rPr>
                <w:bCs/>
              </w:rPr>
              <w:t>(em amarelo)</w:t>
            </w:r>
          </w:p>
        </w:tc>
      </w:tr>
      <w:tr w:rsidR="00943A4D" w:rsidRPr="005C7E13" w:rsidTr="00C023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PrEx>
        <w:tc>
          <w:tcPr>
            <w:tcW w:w="9781" w:type="dxa"/>
            <w:gridSpan w:val="2"/>
          </w:tcPr>
          <w:p w:rsidR="00943A4D" w:rsidRPr="005C7E13" w:rsidRDefault="00056696" w:rsidP="003F2023">
            <w:pPr>
              <w:tabs>
                <w:tab w:val="left" w:pos="720"/>
                <w:tab w:val="left" w:pos="1080"/>
                <w:tab w:val="left" w:pos="3175"/>
              </w:tabs>
              <w:jc w:val="center"/>
              <w:rPr>
                <w:rStyle w:val="NormalDestaque"/>
                <w:rFonts w:ascii="Verdana" w:hAnsi="Verdana" w:cs="Tahoma"/>
                <w:sz w:val="22"/>
                <w:szCs w:val="22"/>
              </w:rPr>
            </w:pPr>
            <w:r>
              <w:rPr>
                <w:noProof/>
              </w:rPr>
              <mc:AlternateContent>
                <mc:Choice Requires="wps">
                  <w:drawing>
                    <wp:anchor distT="0" distB="0" distL="114300" distR="114300" simplePos="0" relativeHeight="251677696" behindDoc="0" locked="0" layoutInCell="1" allowOverlap="1" wp14:anchorId="1200B37D" wp14:editId="3FF28D1D">
                      <wp:simplePos x="0" y="0"/>
                      <wp:positionH relativeFrom="column">
                        <wp:posOffset>2620010</wp:posOffset>
                      </wp:positionH>
                      <wp:positionV relativeFrom="paragraph">
                        <wp:posOffset>293370</wp:posOffset>
                      </wp:positionV>
                      <wp:extent cx="278130" cy="236855"/>
                      <wp:effectExtent l="38100" t="0" r="26670" b="29845"/>
                      <wp:wrapNone/>
                      <wp:docPr id="219" name="AutoShap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8130" cy="236855"/>
                              </a:xfrm>
                              <a:prstGeom prst="wedgeRectCallout">
                                <a:avLst>
                                  <a:gd name="adj1" fmla="val -50227"/>
                                  <a:gd name="adj2" fmla="val 51875"/>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F2964" w:rsidRPr="00B63931" w:rsidRDefault="000F2964" w:rsidP="00943A4D">
                                  <w:pPr>
                                    <w:rPr>
                                      <w:color w:val="FFFF00"/>
                                    </w:rPr>
                                  </w:pPr>
                                  <w:r>
                                    <w:rPr>
                                      <w:color w:val="FFFF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00B37D"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12" o:spid="_x0000_s1026" type="#_x0000_t61" style="position:absolute;left:0;text-align:left;margin-left:206.3pt;margin-top:23.1pt;width:21.9pt;height:18.6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obqQIAAGcFAAAOAAAAZHJzL2Uyb0RvYy54bWysVNuO0zAQfUfiHyy/dxNnk16ipqtVLwhp&#10;gRULH+DGTmNw7GC7TRfEvzN20tKyLwiRh8SOx2fmzJyZ+d2xkejAjRVaFZjcxBhxVWom1K7Anz9t&#10;RlOMrKOKUakVL/Azt/hu8frVvGtznuhaS8YNAhBl864tcO1cm0eRLWveUHujW67gsNKmoQ62Zhcx&#10;QztAb2SUxPE46rRhrdEltxb+rvpDvAj4VcVL96GqLHdIFhhic+Ftwnvr39FiTvOdoW0tyiEM+g9R&#10;NFQocHqGWlFH0d6IF1CNKI22unI3pW4iXVWi5IEDsCHxH2yeatrywAWSY9tzmuz/gy3fHx4NEqzA&#10;CZlhpGgDRbrfOx18I0ISn6KutTlYPrWPxpO07YMuv1qk9LKmasfvjdFdzSmDwIi3j64u+I2Fq2jb&#10;vdMM8Cngh2wdK9N4QMgDOoaiPJ+Lwo8OlfAzmUzJLZSuhKPkdjzNsuCB5qfLrbHuDdcN8osCd5zt&#10;+Eco/JJKqfcuOKKHB+tCfdjAkbIvBKOqkVDuA5VolMVJMhn0cGGUXBplZDo5uR8gI5qfAvD4Sm+E&#10;lEFVUqGuwLMsyUIIVkvB/GHIoNltl9Ig8AyEwzOwujJrhIPukKIp8PRsRHOf6rViwYujQvZriEQq&#10;Dw6ZG9j6HAYV/pjFs/V0PU1HaTJej9J4tRrdb5bpaLwhk2x1u1ouV+Snj5OkeS0Y48qHeuoIkv6d&#10;4obe7LV87okrSvaS+SY8L5lH12GAoAKr0zewCxrzsurl6Y7b46DUrWbPoDaj+26H6QSLWpvvGHXQ&#10;6QW23/bUcIzkWwWKnZE09aMhbNJsksDGXJ5sL0+oKgGqwA6jfrl0/TjZt0bsavBEQrmV9l1UCXdq&#10;hz6qoTegmwOZYfL4cXG5D1a/5+PiFwAAAP//AwBQSwMEFAAGAAgAAAAhAN+k1zrfAAAACQEAAA8A&#10;AABkcnMvZG93bnJldi54bWxMj8FOwzAMhu9IvENkJG4sWemqqWs6TUggBBc2hrhmjddWa5yqybrC&#10;02NOcLPlT7+/v1hPrhMjDqH1pGE+UyCQKm9bqjXs3x/vliBCNGRN5wk1fGGAdXl9VZjc+gttcdzF&#10;WnAIhdxoaGLscylD1aAzYeZ7JL4d/eBM5HWopR3MhcNdJxOlMulMS/yhMT0+NFiddmen4WN82quU&#10;8HN4e8XnTfxWL308aX17M21WICJO8Q+GX31Wh5KdDv5MNohOQzpPMkZ5yBIQDKSLLAVx0LC8X4As&#10;C/m/QfkDAAD//wMAUEsBAi0AFAAGAAgAAAAhALaDOJL+AAAA4QEAABMAAAAAAAAAAAAAAAAAAAAA&#10;AFtDb250ZW50X1R5cGVzXS54bWxQSwECLQAUAAYACAAAACEAOP0h/9YAAACUAQAACwAAAAAAAAAA&#10;AAAAAAAvAQAAX3JlbHMvLnJlbHNQSwECLQAUAAYACAAAACEA1P7KG6kCAABnBQAADgAAAAAAAAAA&#10;AAAAAAAuAgAAZHJzL2Uyb0RvYy54bWxQSwECLQAUAAYACAAAACEA36TXOt8AAAAJAQAADwAAAAAA&#10;AAAAAAAAAAADBQAAZHJzL2Rvd25yZXYueG1sUEsFBgAAAAAEAAQA8wAAAA8GAAAAAA==&#10;" adj="-49,22005" filled="f">
                      <v:textbox>
                        <w:txbxContent>
                          <w:p w:rsidR="000F2964" w:rsidRPr="00B63931" w:rsidRDefault="000F2964" w:rsidP="00943A4D">
                            <w:pPr>
                              <w:rPr>
                                <w:color w:val="FFFF00"/>
                              </w:rPr>
                            </w:pPr>
                            <w:r>
                              <w:rPr>
                                <w:color w:val="FFFF00"/>
                              </w:rPr>
                              <w:t>2</w:t>
                            </w:r>
                          </w:p>
                        </w:txbxContent>
                      </v:textbox>
                    </v:shape>
                  </w:pict>
                </mc:Fallback>
              </mc:AlternateContent>
            </w:r>
            <w:r>
              <w:rPr>
                <w:noProof/>
              </w:rPr>
              <mc:AlternateContent>
                <mc:Choice Requires="wps">
                  <w:drawing>
                    <wp:anchor distT="0" distB="0" distL="114300" distR="114300" simplePos="0" relativeHeight="251676672" behindDoc="0" locked="0" layoutInCell="1" allowOverlap="1" wp14:anchorId="571C6F0B" wp14:editId="78DCED35">
                      <wp:simplePos x="0" y="0"/>
                      <wp:positionH relativeFrom="column">
                        <wp:posOffset>2985770</wp:posOffset>
                      </wp:positionH>
                      <wp:positionV relativeFrom="paragraph">
                        <wp:posOffset>974090</wp:posOffset>
                      </wp:positionV>
                      <wp:extent cx="263525" cy="219075"/>
                      <wp:effectExtent l="0" t="0" r="22225" b="161925"/>
                      <wp:wrapNone/>
                      <wp:docPr id="218" name="AutoShap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3525" cy="219075"/>
                              </a:xfrm>
                              <a:prstGeom prst="wedgeRectCallout">
                                <a:avLst>
                                  <a:gd name="adj1" fmla="val -42046"/>
                                  <a:gd name="adj2" fmla="val 96667"/>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F2964" w:rsidRPr="00B63931" w:rsidRDefault="000F2964" w:rsidP="00943A4D">
                                  <w:pPr>
                                    <w:rPr>
                                      <w:color w:val="FFFF00"/>
                                    </w:rPr>
                                  </w:pPr>
                                  <w:r w:rsidRPr="00B63931">
                                    <w:rPr>
                                      <w:color w:val="FFFF0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1C6F0B" id="AutoShape 111" o:spid="_x0000_s1027" type="#_x0000_t61" style="position:absolute;left:0;text-align:left;margin-left:235.1pt;margin-top:76.7pt;width:20.75pt;height:17.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BhDqgIAAG4FAAAOAAAAZHJzL2Uyb0RvYy54bWysVNuO0zAQfUfiHyy/d3PZNG2jTVertEVI&#10;C6xY+AA3dhKDYwfbbbog/p2xk5Ys+4IQeUg88fjMnJkzvrk9tQIdmTZcyRxHVyFGTJaKclnn+POn&#10;3WyJkbFEUiKUZDl+Ygbfrl+/uum7jMWqUYIyjQBEmqzvctxY22VBYMqGtcRcqY5J2KyUbokFU9cB&#10;1aQH9FYEcRimQa807bQqmTHwdzNs4rXHrypW2g9VZZhFIseQm/Vv7d979w7WNySrNekaXo5pkH/I&#10;oiVcQtAL1IZYgg6av4BqeamVUZW9KlUbqKriJfMcgE0U/sHmsSEd81ygOKa7lMn8P9jy/fFBI05z&#10;HEfQKklaaNLdwSofG0VR5ErUdyYDz8fuQTuSprtX5VeDpCoaImt2p7XqG0YoJOb9g2cHnGHgKNr3&#10;7xQFfAL4vlqnSrcOEOqATr4pT5emsJNFJfyM0+t5PMeohK04WoWLucsoINn5cKeNfcNUi9wixz2j&#10;NfsIjS+IEOpgfSByvDfW94eOHAn9EmFUtQLafSQCzZI4TNJRDxOneOq0StN0MYYfISGRcwIOX6od&#10;F8KrSkjU53jlkvdFU4JTt+kNXe8LoRFEBsL+GWHN1K3lFqZD8DbHy4sTyVypt5L6KJZwMawhEyEd&#10;OFRuZOtq6FX4YxWutsvtMgGa6XaWhJvN7G5XJLN0Fy3mm+tNUWyiny7PKMkaTimTLtXzRETJ3ylu&#10;nM1By5eZeEbJTJnv/POSefA8Dd9u4HL+enZeY05WgzztaX/yOr4Idq/oE4hOq2Ho4ZKCRaP0d4x6&#10;GPgcm28HohlG4q0E4a6iJHE3hDeS+SIGQ0939tMdIkuAyrHFaFgWdrhVDp3mdQORIt91qdwwVdw6&#10;zbpBGLIaDRhqz2m8gNytMbW91+9rcv0LAAD//wMAUEsDBBQABgAIAAAAIQCGTjJs4AAAAAsBAAAP&#10;AAAAZHJzL2Rvd25yZXYueG1sTI/BToQwEIbvJr5DMyZejFtgQRApGzXx5EF313juwgjEdkpol0Wf&#10;3vGkx5n/yz/fVJvFGjHj5AdHCuJVBAKpce1AnYK3/dN1AcIHTa02jlDBF3rY1OdnlS5bd6ItzrvQ&#10;CS4hX2oFfQhjKaVverTar9yIxNmHm6wOPE6dbCd94nJrZBJFN9LqgfhCr0d87LH53B2tgmT/Kq/M&#10;nG274nmdmvCdjC8P70pdXiz3dyACLuEPhl99VoeanQ7uSK0XRkGaRwmjHGTrFAQTWRznIA68KfJb&#10;kHUl//9Q/wAAAP//AwBQSwECLQAUAAYACAAAACEAtoM4kv4AAADhAQAAEwAAAAAAAAAAAAAAAAAA&#10;AAAAW0NvbnRlbnRfVHlwZXNdLnhtbFBLAQItABQABgAIAAAAIQA4/SH/1gAAAJQBAAALAAAAAAAA&#10;AAAAAAAAAC8BAABfcmVscy8ucmVsc1BLAQItABQABgAIAAAAIQCGuBhDqgIAAG4FAAAOAAAAAAAA&#10;AAAAAAAAAC4CAABkcnMvZTJvRG9jLnhtbFBLAQItABQABgAIAAAAIQCGTjJs4AAAAAsBAAAPAAAA&#10;AAAAAAAAAAAAAAQFAABkcnMvZG93bnJldi54bWxQSwUGAAAAAAQABADzAAAAEQYAAAAA&#10;" adj="1718,31680" filled="f">
                      <v:textbox>
                        <w:txbxContent>
                          <w:p w:rsidR="000F2964" w:rsidRPr="00B63931" w:rsidRDefault="000F2964" w:rsidP="00943A4D">
                            <w:pPr>
                              <w:rPr>
                                <w:color w:val="FFFF00"/>
                              </w:rPr>
                            </w:pPr>
                            <w:r w:rsidRPr="00B63931">
                              <w:rPr>
                                <w:color w:val="FFFF00"/>
                              </w:rPr>
                              <w:t>1</w:t>
                            </w:r>
                          </w:p>
                        </w:txbxContent>
                      </v:textbox>
                    </v:shape>
                  </w:pict>
                </mc:Fallback>
              </mc:AlternateContent>
            </w:r>
            <w:r w:rsidR="00943A4D" w:rsidRPr="005C7E13">
              <w:rPr>
                <w:rStyle w:val="NormalDestaque"/>
                <w:rFonts w:ascii="Verdana" w:hAnsi="Verdana" w:cs="Tahoma"/>
                <w:noProof/>
              </w:rPr>
              <w:drawing>
                <wp:inline distT="0" distB="0" distL="0" distR="0" wp14:anchorId="4E84FFE4" wp14:editId="5F59AE8F">
                  <wp:extent cx="5779008" cy="2699385"/>
                  <wp:effectExtent l="0" t="0" r="0" b="0"/>
                  <wp:docPr id="127" name="Imagem 127" descr="C:\Users\clarissa\Documents\F3 amostrag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arissa\Documents\F3 amostragem.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87865" cy="2703522"/>
                          </a:xfrm>
                          <a:prstGeom prst="rect">
                            <a:avLst/>
                          </a:prstGeom>
                          <a:noFill/>
                          <a:ln>
                            <a:noFill/>
                          </a:ln>
                        </pic:spPr>
                      </pic:pic>
                    </a:graphicData>
                  </a:graphic>
                </wp:inline>
              </w:drawing>
            </w:r>
          </w:p>
        </w:tc>
      </w:tr>
      <w:tr w:rsidR="00943A4D" w:rsidRPr="005C7E13" w:rsidTr="00C023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PrEx>
        <w:tc>
          <w:tcPr>
            <w:tcW w:w="4962" w:type="dxa"/>
          </w:tcPr>
          <w:p w:rsidR="00943A4D" w:rsidRPr="005C7E13" w:rsidRDefault="00943A4D" w:rsidP="003F2023">
            <w:pPr>
              <w:tabs>
                <w:tab w:val="left" w:pos="720"/>
                <w:tab w:val="left" w:pos="1080"/>
                <w:tab w:val="left" w:pos="3175"/>
              </w:tabs>
              <w:jc w:val="center"/>
              <w:rPr>
                <w:rStyle w:val="NormalDestaque"/>
                <w:rFonts w:ascii="Verdana" w:hAnsi="Verdana" w:cs="Tahoma"/>
                <w:sz w:val="22"/>
                <w:szCs w:val="22"/>
              </w:rPr>
            </w:pPr>
            <w:r w:rsidRPr="005C7E13">
              <w:rPr>
                <w:rStyle w:val="NormalDestaque"/>
                <w:rFonts w:ascii="Verdana" w:hAnsi="Verdana" w:cs="Tahoma"/>
                <w:noProof/>
              </w:rPr>
              <w:drawing>
                <wp:inline distT="0" distB="0" distL="0" distR="0" wp14:anchorId="0E8A90E6" wp14:editId="74E57F13">
                  <wp:extent cx="3017520" cy="2158365"/>
                  <wp:effectExtent l="0" t="0" r="0" b="0"/>
                  <wp:docPr id="128" name="Imagem 128" descr="G:\CLARISSA  Imagens\2014 - 9 - Campo Jaguari\139MSDCF\DSC06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CLARISSA  Imagens\2014 - 9 - Campo Jaguari\139MSDCF\DSC06246.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24398" cy="2163285"/>
                          </a:xfrm>
                          <a:prstGeom prst="rect">
                            <a:avLst/>
                          </a:prstGeom>
                          <a:noFill/>
                          <a:ln>
                            <a:noFill/>
                          </a:ln>
                        </pic:spPr>
                      </pic:pic>
                    </a:graphicData>
                  </a:graphic>
                </wp:inline>
              </w:drawing>
            </w:r>
          </w:p>
        </w:tc>
        <w:tc>
          <w:tcPr>
            <w:tcW w:w="4819" w:type="dxa"/>
          </w:tcPr>
          <w:p w:rsidR="00943A4D" w:rsidRPr="005C7E13" w:rsidRDefault="00943A4D" w:rsidP="003F2023">
            <w:pPr>
              <w:tabs>
                <w:tab w:val="left" w:pos="720"/>
                <w:tab w:val="left" w:pos="1080"/>
                <w:tab w:val="left" w:pos="3175"/>
              </w:tabs>
              <w:jc w:val="center"/>
              <w:rPr>
                <w:rStyle w:val="NormalDestaque"/>
                <w:rFonts w:ascii="Verdana" w:hAnsi="Verdana" w:cs="Tahoma"/>
                <w:sz w:val="22"/>
                <w:szCs w:val="22"/>
              </w:rPr>
            </w:pPr>
            <w:r w:rsidRPr="005C7E13">
              <w:rPr>
                <w:rStyle w:val="NormalDestaque"/>
                <w:rFonts w:ascii="Verdana" w:hAnsi="Verdana" w:cs="Tahoma"/>
                <w:noProof/>
              </w:rPr>
              <w:drawing>
                <wp:inline distT="0" distB="0" distL="0" distR="0" wp14:anchorId="2348EC99" wp14:editId="3FA96440">
                  <wp:extent cx="2924433" cy="2159522"/>
                  <wp:effectExtent l="0" t="0" r="0" b="0"/>
                  <wp:docPr id="129" name="Imagem 129" descr="G:\CLARISSA  Imagens\2014 - 9 - Campo Jaguari\139MSDCF\DSC06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CLARISSA  Imagens\2014 - 9 - Campo Jaguari\139MSDCF\DSC0636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8579" cy="2162584"/>
                          </a:xfrm>
                          <a:prstGeom prst="rect">
                            <a:avLst/>
                          </a:prstGeom>
                          <a:noFill/>
                          <a:ln>
                            <a:noFill/>
                          </a:ln>
                        </pic:spPr>
                      </pic:pic>
                    </a:graphicData>
                  </a:graphic>
                </wp:inline>
              </w:drawing>
            </w:r>
          </w:p>
        </w:tc>
      </w:tr>
      <w:tr w:rsidR="00943A4D" w:rsidRPr="00062D27" w:rsidTr="00C023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PrEx>
        <w:tc>
          <w:tcPr>
            <w:tcW w:w="4962" w:type="dxa"/>
          </w:tcPr>
          <w:p w:rsidR="00943A4D" w:rsidRPr="000E20D5" w:rsidRDefault="00943A4D" w:rsidP="003F2023">
            <w:pPr>
              <w:rPr>
                <w:rStyle w:val="NormalDestaque"/>
                <w:rFonts w:cs="Arial"/>
                <w:b w:val="0"/>
                <w:color w:val="auto"/>
                <w:sz w:val="18"/>
                <w:szCs w:val="18"/>
              </w:rPr>
            </w:pPr>
            <w:r w:rsidRPr="000E20D5">
              <w:rPr>
                <w:rStyle w:val="NormalDestaque"/>
                <w:rFonts w:cs="Arial"/>
                <w:b w:val="0"/>
                <w:color w:val="auto"/>
                <w:sz w:val="18"/>
                <w:szCs w:val="18"/>
              </w:rPr>
              <w:t>Vista geral de fragmento correspondente a área F3 de amostragem. Trecho 1.</w:t>
            </w:r>
          </w:p>
        </w:tc>
        <w:tc>
          <w:tcPr>
            <w:tcW w:w="4819" w:type="dxa"/>
          </w:tcPr>
          <w:p w:rsidR="00943A4D" w:rsidRPr="000E20D5" w:rsidRDefault="00943A4D" w:rsidP="003F2023">
            <w:pPr>
              <w:rPr>
                <w:rStyle w:val="NormalDestaque"/>
                <w:rFonts w:cs="Arial"/>
                <w:b w:val="0"/>
                <w:color w:val="auto"/>
                <w:sz w:val="18"/>
                <w:szCs w:val="18"/>
              </w:rPr>
            </w:pPr>
            <w:r w:rsidRPr="000E20D5">
              <w:rPr>
                <w:rStyle w:val="NormalDestaque"/>
                <w:rFonts w:cs="Arial"/>
                <w:b w:val="0"/>
                <w:color w:val="auto"/>
                <w:sz w:val="18"/>
                <w:szCs w:val="18"/>
              </w:rPr>
              <w:t>Vista interna de fragmento correspondente a área F3 de amostragem. Trecho 2.</w:t>
            </w:r>
          </w:p>
        </w:tc>
      </w:tr>
    </w:tbl>
    <w:p w:rsidR="00943A4D" w:rsidRPr="000E20D5" w:rsidRDefault="00943A4D" w:rsidP="00943A4D">
      <w:pPr>
        <w:tabs>
          <w:tab w:val="left" w:pos="720"/>
          <w:tab w:val="left" w:pos="1080"/>
          <w:tab w:val="left" w:pos="3175"/>
        </w:tabs>
        <w:spacing w:before="120"/>
        <w:rPr>
          <w:rStyle w:val="NormalDestaque"/>
          <w:rFonts w:cs="Arial"/>
          <w:b w:val="0"/>
          <w:color w:val="auto"/>
        </w:rPr>
      </w:pPr>
      <w:r>
        <w:rPr>
          <w:b/>
        </w:rPr>
        <w:t xml:space="preserve">Área </w:t>
      </w:r>
      <w:r w:rsidRPr="000E20D5">
        <w:rPr>
          <w:rStyle w:val="NormalDestaque"/>
          <w:rFonts w:cs="Arial"/>
          <w:color w:val="auto"/>
        </w:rPr>
        <w:t>F8</w:t>
      </w:r>
      <w:r w:rsidRPr="000E20D5">
        <w:rPr>
          <w:rStyle w:val="NormalDestaque"/>
          <w:rFonts w:cs="Arial"/>
          <w:b w:val="0"/>
          <w:color w:val="auto"/>
        </w:rPr>
        <w:t xml:space="preserve"> - Área amostral situada no município de Igaratá, local de passagem da </w:t>
      </w:r>
      <w:r>
        <w:rPr>
          <w:rStyle w:val="NormalDestaque"/>
          <w:rFonts w:cs="Arial"/>
          <w:b w:val="0"/>
          <w:color w:val="auto"/>
        </w:rPr>
        <w:t>a</w:t>
      </w:r>
      <w:r w:rsidRPr="000E20D5">
        <w:rPr>
          <w:rStyle w:val="NormalDestaque"/>
          <w:rFonts w:cs="Arial"/>
          <w:b w:val="0"/>
          <w:color w:val="auto"/>
        </w:rPr>
        <w:t xml:space="preserve">dutora. Os trechos percorridos para levantamento florístico foram correspondentes a Floresta Ombrófila em estágio sucessional inicial a médio (trecho 1), e médio a avançado (trecho 2) de regeneração natural. </w:t>
      </w:r>
      <w:r>
        <w:rPr>
          <w:rStyle w:val="NormalDestaque"/>
          <w:rFonts w:cs="Arial"/>
          <w:b w:val="0"/>
          <w:color w:val="auto"/>
        </w:rPr>
        <w:t>S</w:t>
      </w:r>
      <w:r w:rsidRPr="000E20D5">
        <w:rPr>
          <w:rStyle w:val="NormalDestaque"/>
          <w:rFonts w:cs="Arial"/>
          <w:b w:val="0"/>
          <w:color w:val="auto"/>
        </w:rPr>
        <w:t xml:space="preserve">eu entorno </w:t>
      </w:r>
      <w:r>
        <w:rPr>
          <w:rStyle w:val="NormalDestaque"/>
          <w:rFonts w:cs="Arial"/>
          <w:b w:val="0"/>
          <w:color w:val="auto"/>
        </w:rPr>
        <w:t xml:space="preserve">é </w:t>
      </w:r>
      <w:r w:rsidRPr="000E20D5">
        <w:rPr>
          <w:rStyle w:val="NormalDestaque"/>
          <w:rFonts w:cs="Arial"/>
          <w:b w:val="0"/>
          <w:color w:val="auto"/>
        </w:rPr>
        <w:t xml:space="preserve">representado por plantio de </w:t>
      </w:r>
      <w:r w:rsidRPr="000E20D5">
        <w:rPr>
          <w:rStyle w:val="NormalDestaque"/>
          <w:rFonts w:cs="Arial"/>
          <w:b w:val="0"/>
          <w:i/>
          <w:color w:val="auto"/>
        </w:rPr>
        <w:t>Eucalyptus</w:t>
      </w:r>
      <w:r w:rsidRPr="000E20D5">
        <w:rPr>
          <w:rStyle w:val="NormalDestaque"/>
          <w:rFonts w:cs="Arial"/>
          <w:b w:val="0"/>
          <w:color w:val="auto"/>
        </w:rPr>
        <w:t>, residências e fragmentos remanescentes.</w:t>
      </w:r>
    </w:p>
    <w:p w:rsidR="00943A4D" w:rsidRPr="000E20D5" w:rsidRDefault="00943A4D" w:rsidP="00943A4D">
      <w:pPr>
        <w:tabs>
          <w:tab w:val="left" w:pos="720"/>
          <w:tab w:val="left" w:pos="1080"/>
          <w:tab w:val="left" w:pos="3175"/>
        </w:tabs>
        <w:rPr>
          <w:rStyle w:val="NormalDestaque"/>
          <w:rFonts w:cs="Arial"/>
          <w:b w:val="0"/>
          <w:color w:val="auto"/>
        </w:rPr>
      </w:pPr>
      <w:r w:rsidRPr="000E20D5">
        <w:rPr>
          <w:rStyle w:val="NormalDestaque"/>
          <w:rFonts w:cs="Arial"/>
          <w:b w:val="0"/>
          <w:color w:val="auto"/>
        </w:rPr>
        <w:t>Nesse fragmento o dossel é predominantemente contínuo, com indivíduos arbóreos com altura entre 6 e 8 m, havendo emergentes de até 12 metros de altura. O sub-bosque é estratificado, com ocorrência de Piperaceae (</w:t>
      </w:r>
      <w:r w:rsidRPr="000E20D5">
        <w:rPr>
          <w:rStyle w:val="NormalDestaque"/>
          <w:rFonts w:cs="Arial"/>
          <w:b w:val="0"/>
          <w:i/>
          <w:color w:val="auto"/>
        </w:rPr>
        <w:t>Piper</w:t>
      </w:r>
      <w:r w:rsidRPr="000E20D5">
        <w:rPr>
          <w:rStyle w:val="NormalDestaque"/>
          <w:rFonts w:cs="Arial"/>
          <w:b w:val="0"/>
          <w:color w:val="auto"/>
        </w:rPr>
        <w:t xml:space="preserve"> spp.), </w:t>
      </w:r>
      <w:r w:rsidRPr="000E20D5">
        <w:rPr>
          <w:rStyle w:val="NormalDestaque"/>
          <w:rFonts w:cs="Arial"/>
          <w:b w:val="0"/>
          <w:i/>
          <w:color w:val="auto"/>
        </w:rPr>
        <w:t>Cyathea cf. atrovirens</w:t>
      </w:r>
      <w:r w:rsidRPr="000E20D5">
        <w:rPr>
          <w:rStyle w:val="NormalDestaque"/>
          <w:rFonts w:cs="Arial"/>
          <w:b w:val="0"/>
          <w:color w:val="auto"/>
        </w:rPr>
        <w:t xml:space="preserve"> e predomínio de Rubiaceae (</w:t>
      </w:r>
      <w:r w:rsidRPr="000E20D5">
        <w:rPr>
          <w:rStyle w:val="NormalDestaque"/>
          <w:rFonts w:cs="Arial"/>
          <w:b w:val="0"/>
          <w:i/>
          <w:color w:val="auto"/>
        </w:rPr>
        <w:t>Psychotria</w:t>
      </w:r>
      <w:r w:rsidRPr="000E20D5">
        <w:rPr>
          <w:rStyle w:val="NormalDestaque"/>
          <w:rFonts w:cs="Arial"/>
          <w:b w:val="0"/>
          <w:color w:val="auto"/>
        </w:rPr>
        <w:t xml:space="preserve"> spp.) e Melastomataceae (</w:t>
      </w:r>
      <w:r w:rsidRPr="000E20D5">
        <w:rPr>
          <w:rStyle w:val="NormalDestaque"/>
          <w:rFonts w:cs="Arial"/>
          <w:b w:val="0"/>
          <w:i/>
          <w:color w:val="auto"/>
        </w:rPr>
        <w:t>Leandra</w:t>
      </w:r>
      <w:r w:rsidRPr="000E20D5">
        <w:rPr>
          <w:rStyle w:val="NormalDestaque"/>
          <w:rFonts w:cs="Arial"/>
          <w:b w:val="0"/>
          <w:color w:val="auto"/>
        </w:rPr>
        <w:t xml:space="preserve"> spp.). A ocorrência de lianas é moderada, predominando em áreas de borda. </w:t>
      </w:r>
      <w:r>
        <w:rPr>
          <w:rStyle w:val="NormalDestaque"/>
          <w:rFonts w:cs="Arial"/>
          <w:b w:val="0"/>
          <w:color w:val="auto"/>
        </w:rPr>
        <w:t>R</w:t>
      </w:r>
      <w:r w:rsidRPr="000E20D5">
        <w:rPr>
          <w:rStyle w:val="NormalDestaque"/>
          <w:rFonts w:cs="Arial"/>
          <w:b w:val="0"/>
          <w:color w:val="auto"/>
        </w:rPr>
        <w:t>egistra</w:t>
      </w:r>
      <w:r>
        <w:rPr>
          <w:rStyle w:val="NormalDestaque"/>
          <w:rFonts w:cs="Arial"/>
          <w:b w:val="0"/>
          <w:color w:val="auto"/>
        </w:rPr>
        <w:t>-se</w:t>
      </w:r>
      <w:r w:rsidRPr="000E20D5">
        <w:rPr>
          <w:rStyle w:val="NormalDestaque"/>
          <w:rFonts w:cs="Arial"/>
          <w:b w:val="0"/>
          <w:color w:val="auto"/>
        </w:rPr>
        <w:t xml:space="preserve"> moderada ocorrência de epífitas, com presença de </w:t>
      </w:r>
      <w:r w:rsidRPr="000E20D5">
        <w:rPr>
          <w:rStyle w:val="NormalDestaque"/>
          <w:rFonts w:cs="Arial"/>
          <w:b w:val="0"/>
          <w:i/>
          <w:color w:val="auto"/>
        </w:rPr>
        <w:t>Tillandsia</w:t>
      </w:r>
      <w:r w:rsidRPr="000E20D5">
        <w:rPr>
          <w:rStyle w:val="NormalDestaque"/>
          <w:rFonts w:cs="Arial"/>
          <w:b w:val="0"/>
          <w:color w:val="auto"/>
        </w:rPr>
        <w:t xml:space="preserve"> sp., </w:t>
      </w:r>
      <w:r w:rsidRPr="000E20D5">
        <w:rPr>
          <w:rStyle w:val="NormalDestaque"/>
          <w:rFonts w:cs="Arial"/>
          <w:b w:val="0"/>
          <w:i/>
          <w:color w:val="auto"/>
        </w:rPr>
        <w:t>Aechmea</w:t>
      </w:r>
      <w:r w:rsidRPr="000E20D5">
        <w:rPr>
          <w:rStyle w:val="NormalDestaque"/>
          <w:rFonts w:cs="Arial"/>
          <w:b w:val="0"/>
          <w:color w:val="auto"/>
        </w:rPr>
        <w:t xml:space="preserve"> sp., </w:t>
      </w:r>
      <w:r w:rsidRPr="000E20D5">
        <w:rPr>
          <w:rStyle w:val="NormalDestaque"/>
          <w:rFonts w:cs="Arial"/>
          <w:b w:val="0"/>
          <w:i/>
          <w:color w:val="auto"/>
        </w:rPr>
        <w:t>Vriesea</w:t>
      </w:r>
      <w:r w:rsidRPr="000E20D5">
        <w:rPr>
          <w:rStyle w:val="NormalDestaque"/>
          <w:rFonts w:cs="Arial"/>
          <w:b w:val="0"/>
          <w:color w:val="auto"/>
        </w:rPr>
        <w:t xml:space="preserve"> sp. (Bromeliaceae) e </w:t>
      </w:r>
      <w:r w:rsidRPr="000E20D5">
        <w:rPr>
          <w:rStyle w:val="NormalDestaque"/>
          <w:rFonts w:cs="Arial"/>
          <w:b w:val="0"/>
          <w:i/>
          <w:color w:val="auto"/>
        </w:rPr>
        <w:t>Campylocentrum</w:t>
      </w:r>
      <w:r w:rsidRPr="000E20D5">
        <w:rPr>
          <w:rStyle w:val="NormalDestaque"/>
          <w:rFonts w:cs="Arial"/>
          <w:b w:val="0"/>
          <w:color w:val="auto"/>
        </w:rPr>
        <w:t xml:space="preserve"> sp., </w:t>
      </w:r>
      <w:r w:rsidRPr="000E20D5">
        <w:rPr>
          <w:rStyle w:val="NormalDestaque"/>
          <w:rFonts w:cs="Arial"/>
          <w:b w:val="0"/>
          <w:i/>
          <w:color w:val="auto"/>
        </w:rPr>
        <w:t>Oncidium</w:t>
      </w:r>
      <w:r w:rsidRPr="000E20D5">
        <w:rPr>
          <w:rStyle w:val="NormalDestaque"/>
          <w:rFonts w:cs="Arial"/>
          <w:b w:val="0"/>
          <w:color w:val="auto"/>
        </w:rPr>
        <w:t xml:space="preserve"> sp.</w:t>
      </w:r>
      <w:r>
        <w:rPr>
          <w:rStyle w:val="NormalDestaque"/>
          <w:rFonts w:cs="Arial"/>
          <w:b w:val="0"/>
          <w:color w:val="auto"/>
        </w:rPr>
        <w:t xml:space="preserve"> </w:t>
      </w:r>
      <w:r w:rsidRPr="000E20D5">
        <w:rPr>
          <w:rStyle w:val="NormalDestaque"/>
          <w:rFonts w:cs="Arial"/>
          <w:b w:val="0"/>
          <w:color w:val="auto"/>
        </w:rPr>
        <w:t>(Orchidaceae).</w:t>
      </w:r>
    </w:p>
    <w:p w:rsidR="00943A4D" w:rsidRPr="000E20D5" w:rsidRDefault="00943A4D" w:rsidP="00943A4D">
      <w:pPr>
        <w:tabs>
          <w:tab w:val="left" w:pos="720"/>
          <w:tab w:val="left" w:pos="1080"/>
          <w:tab w:val="left" w:pos="3175"/>
        </w:tabs>
        <w:rPr>
          <w:rStyle w:val="NormalDestaque"/>
          <w:rFonts w:cs="Arial"/>
          <w:b w:val="0"/>
          <w:color w:val="auto"/>
        </w:rPr>
      </w:pPr>
      <w:r w:rsidRPr="000E20D5">
        <w:rPr>
          <w:rStyle w:val="NormalDestaque"/>
          <w:rFonts w:cs="Arial"/>
          <w:b w:val="0"/>
          <w:color w:val="auto"/>
        </w:rPr>
        <w:t xml:space="preserve">Espécies arbóreas predominantes são </w:t>
      </w:r>
      <w:r w:rsidRPr="000E20D5">
        <w:rPr>
          <w:rStyle w:val="NormalDestaque"/>
          <w:rFonts w:cs="Arial"/>
          <w:b w:val="0"/>
          <w:i/>
          <w:color w:val="auto"/>
        </w:rPr>
        <w:t xml:space="preserve">Protium heptaphyllum, Miconia </w:t>
      </w:r>
      <w:r w:rsidRPr="000E20D5">
        <w:rPr>
          <w:rStyle w:val="NormalDestaque"/>
          <w:rFonts w:cs="Arial"/>
          <w:b w:val="0"/>
          <w:color w:val="auto"/>
        </w:rPr>
        <w:t>spp</w:t>
      </w:r>
      <w:r w:rsidRPr="000E20D5">
        <w:rPr>
          <w:rStyle w:val="NormalDestaque"/>
          <w:rFonts w:cs="Arial"/>
          <w:b w:val="0"/>
          <w:i/>
          <w:color w:val="auto"/>
        </w:rPr>
        <w:t xml:space="preserve">., Tibouchina </w:t>
      </w:r>
      <w:r w:rsidRPr="000E20D5">
        <w:rPr>
          <w:rStyle w:val="NormalDestaque"/>
          <w:rFonts w:cs="Arial"/>
          <w:b w:val="0"/>
          <w:color w:val="auto"/>
        </w:rPr>
        <w:t>spp.,</w:t>
      </w:r>
      <w:r w:rsidRPr="000E20D5">
        <w:rPr>
          <w:rStyle w:val="NormalDestaque"/>
          <w:rFonts w:cs="Arial"/>
          <w:b w:val="0"/>
          <w:i/>
          <w:color w:val="auto"/>
        </w:rPr>
        <w:t xml:space="preserve"> Cupania vernalis, Xylopia brasiliensis, Cabralea canjerana, Psychotria vellosiana, Ficus spp., Psidium cattleianum, Myrcia </w:t>
      </w:r>
      <w:r w:rsidRPr="000E20D5">
        <w:rPr>
          <w:rStyle w:val="NormalDestaque"/>
          <w:rFonts w:cs="Arial"/>
          <w:b w:val="0"/>
          <w:color w:val="auto"/>
        </w:rPr>
        <w:t>spp.,</w:t>
      </w:r>
      <w:r w:rsidRPr="000E20D5">
        <w:rPr>
          <w:rStyle w:val="NormalDestaque"/>
          <w:rFonts w:cs="Arial"/>
          <w:b w:val="0"/>
          <w:i/>
          <w:color w:val="auto"/>
        </w:rPr>
        <w:t xml:space="preserve"> Calyptranthes </w:t>
      </w:r>
      <w:r w:rsidRPr="000E20D5">
        <w:rPr>
          <w:rStyle w:val="NormalDestaque"/>
          <w:rFonts w:cs="Arial"/>
          <w:b w:val="0"/>
          <w:color w:val="auto"/>
        </w:rPr>
        <w:t>sp.,</w:t>
      </w:r>
      <w:r w:rsidRPr="000E20D5">
        <w:rPr>
          <w:rStyle w:val="NormalDestaque"/>
          <w:rFonts w:cs="Arial"/>
          <w:b w:val="0"/>
          <w:i/>
          <w:color w:val="auto"/>
        </w:rPr>
        <w:t xml:space="preserve"> Anadenanthera colubrina, Andira fraxinifolia, Croton floribundus, Myrsine </w:t>
      </w:r>
      <w:r w:rsidRPr="000E20D5">
        <w:rPr>
          <w:rStyle w:val="NormalDestaque"/>
          <w:rFonts w:cs="Arial"/>
          <w:b w:val="0"/>
          <w:color w:val="auto"/>
        </w:rPr>
        <w:t>spp.,</w:t>
      </w:r>
      <w:r w:rsidRPr="000E20D5">
        <w:rPr>
          <w:rStyle w:val="NormalDestaque"/>
          <w:rFonts w:cs="Arial"/>
          <w:b w:val="0"/>
          <w:i/>
          <w:color w:val="auto"/>
        </w:rPr>
        <w:t xml:space="preserve"> Syagrus romanzoffiiana, Alchornea </w:t>
      </w:r>
      <w:r w:rsidRPr="000E20D5">
        <w:rPr>
          <w:rStyle w:val="NormalDestaque"/>
          <w:rFonts w:cs="Arial"/>
          <w:b w:val="0"/>
          <w:color w:val="auto"/>
        </w:rPr>
        <w:t>spp.,</w:t>
      </w:r>
      <w:r w:rsidRPr="000E20D5">
        <w:rPr>
          <w:rStyle w:val="NormalDestaque"/>
          <w:rFonts w:cs="Arial"/>
          <w:b w:val="0"/>
          <w:i/>
          <w:color w:val="auto"/>
        </w:rPr>
        <w:t xml:space="preserve"> Aegiphyla sellowiana</w:t>
      </w:r>
      <w:r w:rsidRPr="000E20D5">
        <w:rPr>
          <w:rStyle w:val="NormalDestaque"/>
          <w:rFonts w:cs="Arial"/>
          <w:b w:val="0"/>
          <w:color w:val="auto"/>
        </w:rPr>
        <w:t>.</w:t>
      </w:r>
    </w:p>
    <w:p w:rsidR="00943A4D" w:rsidRPr="008B5745" w:rsidRDefault="008B5745" w:rsidP="008B5745">
      <w:pPr>
        <w:pStyle w:val="Quadro"/>
      </w:pPr>
      <w:r w:rsidRPr="008B5745">
        <w:lastRenderedPageBreak/>
        <w:t>Figura 6.4.</w:t>
      </w:r>
      <w:r w:rsidR="00200A8F">
        <w:t>2-</w:t>
      </w:r>
      <w:r w:rsidR="00F74E6C">
        <w:t>2</w:t>
      </w:r>
      <w:r w:rsidR="00200A8F">
        <w:t>.</w:t>
      </w:r>
      <w:r w:rsidRPr="008B5745">
        <w:t xml:space="preserve"> </w:t>
      </w:r>
      <w:r>
        <w:t>T</w:t>
      </w:r>
      <w:r w:rsidRPr="008B5745">
        <w:t>ranseções percorridas para realização do levantamento florístico na área F8</w:t>
      </w:r>
      <w:r w:rsidR="00200A8F">
        <w:t xml:space="preserve"> (e</w:t>
      </w:r>
      <w:r>
        <w:t>m amarelo)</w:t>
      </w:r>
    </w:p>
    <w:tbl>
      <w:tblPr>
        <w:tblStyle w:val="Tabelacomgrade"/>
        <w:tblW w:w="9781" w:type="dxa"/>
        <w:tblLayout w:type="fixed"/>
        <w:tblCellMar>
          <w:left w:w="57" w:type="dxa"/>
          <w:right w:w="57" w:type="dxa"/>
        </w:tblCellMar>
        <w:tblLook w:val="04A0" w:firstRow="1" w:lastRow="0" w:firstColumn="1" w:lastColumn="0" w:noHBand="0" w:noVBand="1"/>
      </w:tblPr>
      <w:tblGrid>
        <w:gridCol w:w="4962"/>
        <w:gridCol w:w="4819"/>
      </w:tblGrid>
      <w:tr w:rsidR="00943A4D" w:rsidRPr="005C7E13" w:rsidTr="008B5745">
        <w:tc>
          <w:tcPr>
            <w:tcW w:w="9781" w:type="dxa"/>
            <w:gridSpan w:val="2"/>
            <w:tcBorders>
              <w:top w:val="nil"/>
              <w:left w:val="nil"/>
              <w:bottom w:val="nil"/>
              <w:right w:val="nil"/>
            </w:tcBorders>
          </w:tcPr>
          <w:p w:rsidR="00943A4D" w:rsidRPr="005C7E13" w:rsidRDefault="00056696" w:rsidP="003F2023">
            <w:pPr>
              <w:tabs>
                <w:tab w:val="left" w:pos="720"/>
                <w:tab w:val="left" w:pos="1080"/>
                <w:tab w:val="left" w:pos="3175"/>
              </w:tabs>
              <w:jc w:val="center"/>
              <w:rPr>
                <w:rStyle w:val="NormalDestaque"/>
                <w:rFonts w:ascii="Verdana" w:hAnsi="Verdana" w:cs="Tahoma"/>
                <w:sz w:val="22"/>
                <w:szCs w:val="22"/>
              </w:rPr>
            </w:pPr>
            <w:r>
              <w:rPr>
                <w:noProof/>
              </w:rPr>
              <mc:AlternateContent>
                <mc:Choice Requires="wps">
                  <w:drawing>
                    <wp:anchor distT="0" distB="0" distL="114300" distR="114300" simplePos="0" relativeHeight="251678720" behindDoc="0" locked="0" layoutInCell="1" allowOverlap="1" wp14:anchorId="6077CDB4" wp14:editId="6F1B6627">
                      <wp:simplePos x="0" y="0"/>
                      <wp:positionH relativeFrom="column">
                        <wp:posOffset>2868295</wp:posOffset>
                      </wp:positionH>
                      <wp:positionV relativeFrom="paragraph">
                        <wp:posOffset>1340485</wp:posOffset>
                      </wp:positionV>
                      <wp:extent cx="277495" cy="248920"/>
                      <wp:effectExtent l="0" t="0" r="27305" b="74930"/>
                      <wp:wrapNone/>
                      <wp:docPr id="217" name="AutoShap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7495" cy="248920"/>
                              </a:xfrm>
                              <a:prstGeom prst="wedgeRectCallout">
                                <a:avLst>
                                  <a:gd name="adj1" fmla="val 7667"/>
                                  <a:gd name="adj2" fmla="val 64796"/>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F2964" w:rsidRPr="00C0079C" w:rsidRDefault="000F2964" w:rsidP="00943A4D">
                                  <w:pPr>
                                    <w:rPr>
                                      <w:color w:val="FFFF00"/>
                                    </w:rPr>
                                  </w:pPr>
                                  <w:r w:rsidRPr="00C0079C">
                                    <w:rPr>
                                      <w:color w:val="FFFF0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7CDB4" id="AutoShape 113" o:spid="_x0000_s1028" type="#_x0000_t61" style="position:absolute;left:0;text-align:left;margin-left:225.85pt;margin-top:105.55pt;width:21.85pt;height:19.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zdcrQIAAGwFAAAOAAAAZHJzL2Uyb0RvYy54bWysVMGO0zAQvSPxD5bv3TTZtGmipqtV2iKk&#10;BVYsfIAbO4nBsYPtNl0Q/87YSUvLXhAih8SOx2/mzbyZ5d2xFejAtOFK5ji8mWLEZKkol3WOP3/a&#10;ThYYGUskJUJJluNnZvDd6vWrZd9lLFKNEpRpBCDSZH2X48baLgsCUzasJeZGdUzCYaV0SyxsdR1Q&#10;TXpAb0UQTafzoFeadlqVzBj4ux4O8crjVxUr7YeqMswikWOIzfq39u+dewerJclqTbqGl2MY5B+i&#10;aAmX4PQMtSaWoL3mL6BaXmplVGVvStUGqqp4yTwHYBNO/2Dz1JCOeS6QHNOd02T+H2z5/vCoEac5&#10;jsIEI0laKNL93irvG4XhrUtR35kMLJ+6R+1Imu5BlV8NkqpoiKzZvdaqbxihEFjo7IOrC25j4Cra&#10;9e8UBXwC+D5bx0q3DhDygI6+KM/norCjRSX8jJIkTmcYlXAUxYs08kULSHa63Glj3zDVIrfIcc9o&#10;zT5C4QsihNpb74gcHoz19aEjR0K/hBhVrYByH4hAyXyejGq4MIkuTeZxks49PZKNgBDGyb1Dl2rL&#10;hfCaEhL1OU5n0cwHYJTg1B36/Ol6VwiNwC/Q9c8Ie2XWcgu9IXib48XZiGQu0RtJvRdLuBjWEImQ&#10;DhzyNnJ1GfQa/JFO081is4gncTTfTOLpej253xbxZL4Nk9n6dl0U6/CnizOMs4ZTyqQL9dQPYfx3&#10;ehs7c1DyuSOuKJlL5lv/vGQeXIcBcvKsTl/PzivMiWoQpz3ujoOKHZwT3E7RZ5CcVkPLw4iCRaP0&#10;d4x6aPccm297ohlG4q0E2aZhHLv54DfxLAGVIX15srs8IbIEqBxbjIZlYYeZsu80rxvwFPqqS+Va&#10;qeL21BNDVGODQEt7TuP4cTPjcu+tfg/J1S8AAAD//wMAUEsDBBQABgAIAAAAIQBKnRxC4QAAAAsB&#10;AAAPAAAAZHJzL2Rvd25yZXYueG1sTI/BTsMwDIbvSLxDZCRuLElpNyhNJ4TExIEdKBPimLamrdY4&#10;Jcm2wtMTTnC0/en39xfr2YzsiM4PlhTIhQCG1Nh2oE7B7vXx6gaYD5paPVpCBV/oYV2enxU6b+2J&#10;XvBYhY7FEPK5VtCHMOWc+6ZHo/3CTkjx9mGd0SGOruOt06cYbkaeCLHkRg8UP/R6wocem311MAq2&#10;m6f983ftpEDpsg29fb4n1VKpy4v5/g5YwDn8wfCrH9WhjE61PVDr2aggzeQqogoSKSWwSKS3WQqs&#10;jptMXAMvC/6/Q/kDAAD//wMAUEsBAi0AFAAGAAgAAAAhALaDOJL+AAAA4QEAABMAAAAAAAAAAAAA&#10;AAAAAAAAAFtDb250ZW50X1R5cGVzXS54bWxQSwECLQAUAAYACAAAACEAOP0h/9YAAACUAQAACwAA&#10;AAAAAAAAAAAAAAAvAQAAX3JlbHMvLnJlbHNQSwECLQAUAAYACAAAACEAB5c3XK0CAABsBQAADgAA&#10;AAAAAAAAAAAAAAAuAgAAZHJzL2Uyb0RvYy54bWxQSwECLQAUAAYACAAAACEASp0cQuEAAAALAQAA&#10;DwAAAAAAAAAAAAAAAAAHBQAAZHJzL2Rvd25yZXYueG1sUEsFBgAAAAAEAAQA8wAAABUGAAAAAA==&#10;" adj="12456,24796" filled="f">
                      <v:textbox>
                        <w:txbxContent>
                          <w:p w:rsidR="000F2964" w:rsidRPr="00C0079C" w:rsidRDefault="000F2964" w:rsidP="00943A4D">
                            <w:pPr>
                              <w:rPr>
                                <w:color w:val="FFFF00"/>
                              </w:rPr>
                            </w:pPr>
                            <w:r w:rsidRPr="00C0079C">
                              <w:rPr>
                                <w:color w:val="FFFF00"/>
                              </w:rPr>
                              <w:t>1</w:t>
                            </w:r>
                          </w:p>
                        </w:txbxContent>
                      </v:textbox>
                    </v:shape>
                  </w:pict>
                </mc:Fallback>
              </mc:AlternateContent>
            </w:r>
            <w:r>
              <w:rPr>
                <w:noProof/>
              </w:rPr>
              <mc:AlternateContent>
                <mc:Choice Requires="wps">
                  <w:drawing>
                    <wp:anchor distT="0" distB="0" distL="114300" distR="114300" simplePos="0" relativeHeight="251679744" behindDoc="0" locked="0" layoutInCell="1" allowOverlap="1" wp14:anchorId="092AD85D" wp14:editId="4BBB145E">
                      <wp:simplePos x="0" y="0"/>
                      <wp:positionH relativeFrom="column">
                        <wp:posOffset>2195830</wp:posOffset>
                      </wp:positionH>
                      <wp:positionV relativeFrom="paragraph">
                        <wp:posOffset>572770</wp:posOffset>
                      </wp:positionV>
                      <wp:extent cx="314960" cy="250825"/>
                      <wp:effectExtent l="19050" t="0" r="27940" b="53975"/>
                      <wp:wrapNone/>
                      <wp:docPr id="216" name="AutoShap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960" cy="250825"/>
                              </a:xfrm>
                              <a:prstGeom prst="wedgeRectCallout">
                                <a:avLst>
                                  <a:gd name="adj1" fmla="val -43347"/>
                                  <a:gd name="adj2" fmla="val 60634"/>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F2964" w:rsidRPr="00C0079C" w:rsidRDefault="000F2964" w:rsidP="00943A4D">
                                  <w:pPr>
                                    <w:rPr>
                                      <w:color w:val="FFFF00"/>
                                    </w:rPr>
                                  </w:pPr>
                                  <w:r w:rsidRPr="00C0079C">
                                    <w:rPr>
                                      <w:color w:val="FFFF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2AD85D" id="AutoShape 114" o:spid="_x0000_s1029" type="#_x0000_t61" style="position:absolute;left:0;text-align:left;margin-left:172.9pt;margin-top:45.1pt;width:24.8pt;height:19.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HkqrwIAAG4FAAAOAAAAZHJzL2Uyb0RvYy54bWysVNuO0zAQfUfiHyy/d3Np2m2jTVerpEVI&#10;C6xY+AA3dhKDYwfbbbog/p2xk5Ys+4IQeUg88fjMnJkzvrk9tQIdmTZcyQxHVyFGTJaKclln+POn&#10;3WyFkbFEUiKUZBl+Ygbfbl6/uum7lMWqUYIyjQBEmrTvMtxY26VBYMqGtcRcqY5J2KyUbokFU9cB&#10;1aQH9FYEcRgug15p2mlVMmPgbzFs4o3HrypW2g9VZZhFIsOQm/Vv7d979w42NyStNekaXo5pkH/I&#10;oiVcQtALVEEsQQfNX0C1vNTKqMpelaoNVFXxknkOwCYK/2Dz2JCOeS5QHNNdymT+H2z5/vigEacZ&#10;jqMlRpK00KS7g1U+NoqixJWo70wKno/dg3YkTXevyq8GSZU3RNbsTmvVN4xQSCxy/sGzA84wcBTt&#10;+3eKAj4BfF+tU6VbBwh1QCfflKdLU9jJohJ+zqNkvYTWlbAVL8JVvPARSHo+3Glj3zDVIrfIcM9o&#10;zT5C43MihDpYH4gc7431/aEjR0K/RBhVrYB2H4lAs2Q+T65HPUyc4qnTMlzOfUECko6QsDon4PCl&#10;2nEhvKqERH2G1wtI2BdNCU7dpjd0vc+FRhAZCPtnZGWmbi23MB2CtxleXZxI6kq9ldRHsYSLYQ2Z&#10;COnAoXIjW1dDr8If63C9XW1XySyJl9tZEhbF7G6XJ7PlLrpeFPMiz4vop8szStKGU8qkS/U8EVHy&#10;d4obZ3PQ8mUmnlEyU+Y7/7xkHjxPAwTlWZ2/np3XmJPVIE972p+8jucOzklur+gTiE6rYejhkoJF&#10;o/R3jHoY+AybbweiGUbirQThrqMkcTeEN5LFdQyGnu7spztElgCVYYvRsMztcKscOs3rBiJFvutS&#10;uWGquD1PxZDVOCIw1J7TeAG5W2Nqe6/f1+TmFwAAAP//AwBQSwMEFAAGAAgAAAAhAPAyf/TfAAAA&#10;CgEAAA8AAABkcnMvZG93bnJldi54bWxMj8FOwzAQRO9I/IO1SNyoTdrQJsSpIkQPnFALUq9u7MZR&#10;43Vku2369ywnOK7maeZttZ7cwC4mxN6jhOeZAGaw9brHTsL31+ZpBSwmhVoNHo2Em4mwru/vKlVq&#10;f8WtuexSx6gEY6kk2JTGkvPYWuNUnPnRIGVHH5xKdIaO66CuVO4Gngnxwp3qkRasGs2bNe1pd3YS&#10;lvkmhsxu+f5DfL4X3a05rWwj5ePD1LwCS2ZKfzD86pM61OR08GfUkQ0S5ouc1JOEQmTACJgX+QLY&#10;gcisWAKvK/7/hfoHAAD//wMAUEsBAi0AFAAGAAgAAAAhALaDOJL+AAAA4QEAABMAAAAAAAAAAAAA&#10;AAAAAAAAAFtDb250ZW50X1R5cGVzXS54bWxQSwECLQAUAAYACAAAACEAOP0h/9YAAACUAQAACwAA&#10;AAAAAAAAAAAAAAAvAQAAX3JlbHMvLnJlbHNQSwECLQAUAAYACAAAACEA46R5Kq8CAABuBQAADgAA&#10;AAAAAAAAAAAAAAAuAgAAZHJzL2Uyb0RvYy54bWxQSwECLQAUAAYACAAAACEA8DJ/9N8AAAAKAQAA&#10;DwAAAAAAAAAAAAAAAAAJBQAAZHJzL2Rvd25yZXYueG1sUEsFBgAAAAAEAAQA8wAAABUGAAAAAA==&#10;" adj="1437,23897" filled="f">
                      <v:textbox>
                        <w:txbxContent>
                          <w:p w:rsidR="000F2964" w:rsidRPr="00C0079C" w:rsidRDefault="000F2964" w:rsidP="00943A4D">
                            <w:pPr>
                              <w:rPr>
                                <w:color w:val="FFFF00"/>
                              </w:rPr>
                            </w:pPr>
                            <w:r w:rsidRPr="00C0079C">
                              <w:rPr>
                                <w:color w:val="FFFF00"/>
                              </w:rPr>
                              <w:t>2</w:t>
                            </w:r>
                          </w:p>
                        </w:txbxContent>
                      </v:textbox>
                    </v:shape>
                  </w:pict>
                </mc:Fallback>
              </mc:AlternateContent>
            </w:r>
            <w:r w:rsidR="00943A4D" w:rsidRPr="00327843">
              <w:rPr>
                <w:noProof/>
              </w:rPr>
              <w:drawing>
                <wp:inline distT="0" distB="0" distL="0" distR="0" wp14:anchorId="630936E8" wp14:editId="738C5D89">
                  <wp:extent cx="5833872" cy="2699385"/>
                  <wp:effectExtent l="0" t="0" r="0" b="0"/>
                  <wp:docPr id="130" name="Imagem 130" descr="C:\Users\clarissa\Documents\F8 florist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larissa\Documents\F8 floristico.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39784" cy="2702121"/>
                          </a:xfrm>
                          <a:prstGeom prst="rect">
                            <a:avLst/>
                          </a:prstGeom>
                          <a:noFill/>
                          <a:ln>
                            <a:noFill/>
                          </a:ln>
                        </pic:spPr>
                      </pic:pic>
                    </a:graphicData>
                  </a:graphic>
                </wp:inline>
              </w:drawing>
            </w:r>
          </w:p>
        </w:tc>
      </w:tr>
      <w:tr w:rsidR="00943A4D" w:rsidRPr="005C7E13" w:rsidTr="008B5745">
        <w:tc>
          <w:tcPr>
            <w:tcW w:w="4962" w:type="dxa"/>
            <w:tcBorders>
              <w:top w:val="nil"/>
              <w:left w:val="nil"/>
              <w:bottom w:val="nil"/>
              <w:right w:val="nil"/>
            </w:tcBorders>
          </w:tcPr>
          <w:p w:rsidR="00943A4D" w:rsidRPr="005C7E13" w:rsidRDefault="00943A4D" w:rsidP="003F2023">
            <w:pPr>
              <w:tabs>
                <w:tab w:val="left" w:pos="720"/>
                <w:tab w:val="left" w:pos="1080"/>
                <w:tab w:val="left" w:pos="3175"/>
              </w:tabs>
              <w:jc w:val="center"/>
              <w:rPr>
                <w:rStyle w:val="NormalDestaque"/>
                <w:rFonts w:ascii="Verdana" w:hAnsi="Verdana" w:cs="Tahoma"/>
                <w:sz w:val="22"/>
                <w:szCs w:val="22"/>
              </w:rPr>
            </w:pPr>
            <w:r w:rsidRPr="00E46CAF">
              <w:rPr>
                <w:rStyle w:val="NormalDestaque"/>
                <w:rFonts w:ascii="Verdana" w:hAnsi="Verdana" w:cs="Tahoma"/>
                <w:noProof/>
              </w:rPr>
              <w:drawing>
                <wp:inline distT="0" distB="0" distL="0" distR="0" wp14:anchorId="6AED4940" wp14:editId="2C201F73">
                  <wp:extent cx="2880000" cy="2160000"/>
                  <wp:effectExtent l="0" t="0" r="0" b="0"/>
                  <wp:docPr id="137" name="Imagem 137" descr="G:\CLARISSA  Imagens\2014 - 9 - Campo Jaguari\139MSDCF\DSC07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CLARISSA  Imagens\2014 - 9 - Campo Jaguari\139MSDCF\DSC0752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tc>
        <w:tc>
          <w:tcPr>
            <w:tcW w:w="4819" w:type="dxa"/>
            <w:tcBorders>
              <w:top w:val="nil"/>
              <w:left w:val="nil"/>
              <w:bottom w:val="nil"/>
              <w:right w:val="nil"/>
            </w:tcBorders>
          </w:tcPr>
          <w:p w:rsidR="00943A4D" w:rsidRPr="005C7E13" w:rsidRDefault="00943A4D" w:rsidP="003F2023">
            <w:pPr>
              <w:tabs>
                <w:tab w:val="left" w:pos="720"/>
                <w:tab w:val="left" w:pos="1080"/>
                <w:tab w:val="left" w:pos="3175"/>
              </w:tabs>
              <w:jc w:val="center"/>
              <w:rPr>
                <w:rStyle w:val="NormalDestaque"/>
                <w:rFonts w:ascii="Verdana" w:hAnsi="Verdana" w:cs="Tahoma"/>
                <w:sz w:val="22"/>
                <w:szCs w:val="22"/>
              </w:rPr>
            </w:pPr>
            <w:r w:rsidRPr="00E46CAF">
              <w:rPr>
                <w:rStyle w:val="NormalDestaque"/>
                <w:rFonts w:ascii="Verdana" w:hAnsi="Verdana" w:cs="Tahoma"/>
                <w:noProof/>
              </w:rPr>
              <w:drawing>
                <wp:inline distT="0" distB="0" distL="0" distR="0" wp14:anchorId="67635AB6" wp14:editId="699BF372">
                  <wp:extent cx="2880000" cy="2160000"/>
                  <wp:effectExtent l="0" t="0" r="0" b="0"/>
                  <wp:docPr id="138" name="Imagem 138" descr="G:\CLARISSA  Imagens\2014 - 9 - Campo Jaguari\139MSDCF\DSC0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CLARISSA  Imagens\2014 - 9 - Campo Jaguari\139MSDCF\DSC0700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tc>
      </w:tr>
      <w:tr w:rsidR="00943A4D" w:rsidRPr="00062D27" w:rsidTr="008B5745">
        <w:tc>
          <w:tcPr>
            <w:tcW w:w="4962" w:type="dxa"/>
            <w:tcBorders>
              <w:top w:val="nil"/>
              <w:left w:val="nil"/>
              <w:bottom w:val="nil"/>
              <w:right w:val="nil"/>
            </w:tcBorders>
          </w:tcPr>
          <w:p w:rsidR="00943A4D" w:rsidRPr="000A481A" w:rsidRDefault="00943A4D" w:rsidP="003F2023">
            <w:pPr>
              <w:rPr>
                <w:rStyle w:val="NormalDestaque"/>
                <w:rFonts w:cs="Arial"/>
                <w:b w:val="0"/>
                <w:color w:val="auto"/>
                <w:sz w:val="18"/>
                <w:szCs w:val="18"/>
              </w:rPr>
            </w:pPr>
            <w:r w:rsidRPr="000A481A">
              <w:rPr>
                <w:rStyle w:val="NormalDestaque"/>
                <w:rFonts w:cs="Arial"/>
                <w:b w:val="0"/>
                <w:color w:val="auto"/>
                <w:sz w:val="18"/>
                <w:szCs w:val="18"/>
              </w:rPr>
              <w:t>Vista geral de fragmento correspondente a área F8 de amostragem. Trecho 1.</w:t>
            </w:r>
          </w:p>
        </w:tc>
        <w:tc>
          <w:tcPr>
            <w:tcW w:w="4819" w:type="dxa"/>
            <w:tcBorders>
              <w:top w:val="nil"/>
              <w:left w:val="nil"/>
              <w:bottom w:val="nil"/>
              <w:right w:val="nil"/>
            </w:tcBorders>
          </w:tcPr>
          <w:p w:rsidR="00943A4D" w:rsidRPr="000A481A" w:rsidRDefault="00943A4D" w:rsidP="003F2023">
            <w:pPr>
              <w:rPr>
                <w:rStyle w:val="NormalDestaque"/>
                <w:rFonts w:cs="Arial"/>
                <w:b w:val="0"/>
                <w:color w:val="auto"/>
                <w:sz w:val="18"/>
                <w:szCs w:val="18"/>
              </w:rPr>
            </w:pPr>
            <w:r w:rsidRPr="000A481A">
              <w:rPr>
                <w:rStyle w:val="NormalDestaque"/>
                <w:rFonts w:cs="Arial"/>
                <w:b w:val="0"/>
                <w:color w:val="auto"/>
                <w:sz w:val="18"/>
                <w:szCs w:val="18"/>
              </w:rPr>
              <w:t>Vista interna do dossel em fragmento correspondente a área F8 de amostragem. Trecho 2.</w:t>
            </w:r>
          </w:p>
        </w:tc>
      </w:tr>
    </w:tbl>
    <w:p w:rsidR="00943A4D" w:rsidRPr="000A481A" w:rsidRDefault="00943A4D" w:rsidP="00943A4D">
      <w:pPr>
        <w:tabs>
          <w:tab w:val="left" w:pos="720"/>
          <w:tab w:val="left" w:pos="1080"/>
          <w:tab w:val="left" w:pos="3175"/>
        </w:tabs>
        <w:spacing w:before="120"/>
        <w:rPr>
          <w:rStyle w:val="NormalDestaque"/>
          <w:rFonts w:cs="Arial"/>
          <w:b w:val="0"/>
          <w:color w:val="auto"/>
        </w:rPr>
      </w:pPr>
      <w:r w:rsidRPr="000A481A">
        <w:rPr>
          <w:rStyle w:val="NormalDestaque"/>
          <w:rFonts w:cs="Arial"/>
          <w:color w:val="auto"/>
        </w:rPr>
        <w:t>Área F24</w:t>
      </w:r>
      <w:r w:rsidRPr="000A481A">
        <w:rPr>
          <w:rStyle w:val="NormalDestaque"/>
          <w:rFonts w:cs="Arial"/>
          <w:b w:val="0"/>
          <w:color w:val="auto"/>
        </w:rPr>
        <w:t xml:space="preserve"> - Área amostral situada no município de Igaratá, local de passagem da </w:t>
      </w:r>
      <w:r>
        <w:rPr>
          <w:rStyle w:val="NormalDestaque"/>
          <w:rFonts w:cs="Arial"/>
          <w:b w:val="0"/>
          <w:color w:val="auto"/>
        </w:rPr>
        <w:t>a</w:t>
      </w:r>
      <w:r w:rsidRPr="000A481A">
        <w:rPr>
          <w:rStyle w:val="NormalDestaque"/>
          <w:rFonts w:cs="Arial"/>
          <w:b w:val="0"/>
          <w:color w:val="auto"/>
        </w:rPr>
        <w:t xml:space="preserve">dutora e </w:t>
      </w:r>
      <w:r>
        <w:rPr>
          <w:rStyle w:val="NormalDestaque"/>
          <w:rFonts w:cs="Arial"/>
          <w:b w:val="0"/>
          <w:color w:val="auto"/>
        </w:rPr>
        <w:t xml:space="preserve">próximo </w:t>
      </w:r>
      <w:r w:rsidRPr="000A481A">
        <w:rPr>
          <w:rStyle w:val="NormalDestaque"/>
          <w:rFonts w:cs="Arial"/>
          <w:b w:val="0"/>
          <w:color w:val="auto"/>
        </w:rPr>
        <w:t>d</w:t>
      </w:r>
      <w:r>
        <w:rPr>
          <w:rStyle w:val="NormalDestaque"/>
          <w:rFonts w:cs="Arial"/>
          <w:b w:val="0"/>
          <w:color w:val="auto"/>
        </w:rPr>
        <w:t>o</w:t>
      </w:r>
      <w:r w:rsidRPr="000A481A">
        <w:rPr>
          <w:rStyle w:val="NormalDestaque"/>
          <w:rFonts w:cs="Arial"/>
          <w:b w:val="0"/>
          <w:color w:val="auto"/>
        </w:rPr>
        <w:t xml:space="preserve"> emboque do túnel. Os trechos percorridos para levantamento florístico foram correspondentes a Floresta Ombrófila em estágio sucessional inicial (Trecho 1) a médio (Trecho 2)</w:t>
      </w:r>
      <w:r>
        <w:rPr>
          <w:rStyle w:val="NormalDestaque"/>
          <w:rFonts w:cs="Arial"/>
          <w:b w:val="0"/>
          <w:color w:val="auto"/>
        </w:rPr>
        <w:t xml:space="preserve"> </w:t>
      </w:r>
      <w:r w:rsidRPr="000A481A">
        <w:rPr>
          <w:rStyle w:val="NormalDestaque"/>
          <w:rFonts w:cs="Arial"/>
          <w:b w:val="0"/>
          <w:color w:val="auto"/>
        </w:rPr>
        <w:t xml:space="preserve">de regeneração natural, além de trecho correspondente </w:t>
      </w:r>
      <w:r>
        <w:rPr>
          <w:rStyle w:val="NormalDestaque"/>
          <w:rFonts w:cs="Arial"/>
          <w:b w:val="0"/>
          <w:color w:val="auto"/>
        </w:rPr>
        <w:t>a</w:t>
      </w:r>
      <w:r w:rsidRPr="000A481A">
        <w:rPr>
          <w:rStyle w:val="NormalDestaque"/>
          <w:rFonts w:cs="Arial"/>
          <w:b w:val="0"/>
          <w:color w:val="auto"/>
        </w:rPr>
        <w:t xml:space="preserve"> vegetação de várzea. Seu entorno </w:t>
      </w:r>
      <w:r>
        <w:rPr>
          <w:rStyle w:val="NormalDestaque"/>
          <w:rFonts w:cs="Arial"/>
          <w:b w:val="0"/>
          <w:color w:val="auto"/>
        </w:rPr>
        <w:t xml:space="preserve">é </w:t>
      </w:r>
      <w:r w:rsidRPr="000A481A">
        <w:rPr>
          <w:rStyle w:val="NormalDestaque"/>
          <w:rFonts w:cs="Arial"/>
          <w:b w:val="0"/>
          <w:color w:val="auto"/>
        </w:rPr>
        <w:t xml:space="preserve">representado </w:t>
      </w:r>
      <w:r>
        <w:rPr>
          <w:rStyle w:val="NormalDestaque"/>
          <w:rFonts w:cs="Arial"/>
          <w:b w:val="0"/>
          <w:color w:val="auto"/>
        </w:rPr>
        <w:t xml:space="preserve">por </w:t>
      </w:r>
      <w:r w:rsidRPr="000A481A">
        <w:rPr>
          <w:rStyle w:val="NormalDestaque"/>
          <w:rFonts w:cs="Arial"/>
          <w:b w:val="0"/>
          <w:color w:val="auto"/>
        </w:rPr>
        <w:t xml:space="preserve">plantio de </w:t>
      </w:r>
      <w:r w:rsidRPr="000A481A">
        <w:rPr>
          <w:rStyle w:val="NormalDestaque"/>
          <w:rFonts w:cs="Arial"/>
          <w:b w:val="0"/>
          <w:i/>
          <w:color w:val="auto"/>
        </w:rPr>
        <w:t>Eucalyptus</w:t>
      </w:r>
      <w:r w:rsidRPr="000A481A">
        <w:rPr>
          <w:rStyle w:val="NormalDestaque"/>
          <w:rFonts w:cs="Arial"/>
          <w:b w:val="0"/>
          <w:color w:val="auto"/>
        </w:rPr>
        <w:t xml:space="preserve"> sp. e pastagens.</w:t>
      </w:r>
    </w:p>
    <w:p w:rsidR="00943A4D" w:rsidRPr="000A481A" w:rsidRDefault="00943A4D" w:rsidP="00943A4D">
      <w:pPr>
        <w:tabs>
          <w:tab w:val="left" w:pos="720"/>
          <w:tab w:val="left" w:pos="1080"/>
          <w:tab w:val="left" w:pos="3175"/>
        </w:tabs>
        <w:rPr>
          <w:rStyle w:val="NormalDestaque"/>
          <w:rFonts w:cs="Arial"/>
          <w:b w:val="0"/>
          <w:color w:val="auto"/>
        </w:rPr>
      </w:pPr>
      <w:r w:rsidRPr="000A481A">
        <w:rPr>
          <w:rStyle w:val="NormalDestaque"/>
          <w:rFonts w:cs="Arial"/>
          <w:b w:val="0"/>
          <w:color w:val="auto"/>
        </w:rPr>
        <w:t>Nesse fragmento o dossel é predominantemente contínuo, com indivíduos arbóreos com altura entre 7 e 9 m, havendo emergentes de até 15 metros de altura. O sub-bosque é estratificado, com ocorrência de Piperaceae (</w:t>
      </w:r>
      <w:r w:rsidRPr="000A481A">
        <w:rPr>
          <w:rStyle w:val="NormalDestaque"/>
          <w:rFonts w:cs="Arial"/>
          <w:b w:val="0"/>
          <w:i/>
          <w:color w:val="auto"/>
        </w:rPr>
        <w:t>Piper</w:t>
      </w:r>
      <w:r w:rsidRPr="000A481A">
        <w:rPr>
          <w:rStyle w:val="NormalDestaque"/>
          <w:rFonts w:cs="Arial"/>
          <w:b w:val="0"/>
          <w:color w:val="auto"/>
        </w:rPr>
        <w:t xml:space="preserve"> spp.), </w:t>
      </w:r>
      <w:r w:rsidRPr="000A481A">
        <w:rPr>
          <w:rStyle w:val="NormalDestaque"/>
          <w:rFonts w:cs="Arial"/>
          <w:b w:val="0"/>
          <w:i/>
          <w:color w:val="auto"/>
        </w:rPr>
        <w:t xml:space="preserve">Cyathea </w:t>
      </w:r>
      <w:r w:rsidRPr="000A481A">
        <w:rPr>
          <w:rStyle w:val="NormalDestaque"/>
          <w:rFonts w:cs="Arial"/>
          <w:b w:val="0"/>
          <w:color w:val="auto"/>
        </w:rPr>
        <w:t>sp</w:t>
      </w:r>
      <w:r w:rsidRPr="000A481A">
        <w:rPr>
          <w:rStyle w:val="NormalDestaque"/>
          <w:rFonts w:cs="Arial"/>
          <w:b w:val="0"/>
          <w:i/>
          <w:color w:val="auto"/>
        </w:rPr>
        <w:t>.</w:t>
      </w:r>
      <w:r w:rsidRPr="000A481A">
        <w:rPr>
          <w:rStyle w:val="NormalDestaque"/>
          <w:rFonts w:cs="Arial"/>
          <w:b w:val="0"/>
          <w:color w:val="auto"/>
        </w:rPr>
        <w:t xml:space="preserve"> e predomínio de Melastomataceae (</w:t>
      </w:r>
      <w:r w:rsidRPr="000A481A">
        <w:rPr>
          <w:rStyle w:val="NormalDestaque"/>
          <w:rFonts w:cs="Arial"/>
          <w:b w:val="0"/>
          <w:i/>
          <w:color w:val="auto"/>
        </w:rPr>
        <w:t>Leandra</w:t>
      </w:r>
      <w:r w:rsidRPr="000A481A">
        <w:rPr>
          <w:rStyle w:val="NormalDestaque"/>
          <w:rFonts w:cs="Arial"/>
          <w:b w:val="0"/>
          <w:color w:val="auto"/>
        </w:rPr>
        <w:t xml:space="preserve"> spp.). A ocorrência de lianas é baixa, predominando em áreas de borda. É registrada baixa ocorrência de epífitas, com presença de </w:t>
      </w:r>
      <w:r w:rsidRPr="000A481A">
        <w:rPr>
          <w:rStyle w:val="NormalDestaque"/>
          <w:rFonts w:cs="Arial"/>
          <w:b w:val="0"/>
          <w:i/>
          <w:color w:val="auto"/>
        </w:rPr>
        <w:t>Tillandsia</w:t>
      </w:r>
      <w:r w:rsidRPr="000A481A">
        <w:rPr>
          <w:rStyle w:val="NormalDestaque"/>
          <w:rFonts w:cs="Arial"/>
          <w:b w:val="0"/>
          <w:color w:val="auto"/>
        </w:rPr>
        <w:t xml:space="preserve"> sp. (Bromeliaceae) e </w:t>
      </w:r>
      <w:r w:rsidRPr="000A481A">
        <w:rPr>
          <w:rStyle w:val="NormalDestaque"/>
          <w:rFonts w:cs="Arial"/>
          <w:b w:val="0"/>
          <w:i/>
          <w:color w:val="auto"/>
        </w:rPr>
        <w:t>Microgramma</w:t>
      </w:r>
      <w:r w:rsidRPr="000A481A">
        <w:rPr>
          <w:rStyle w:val="NormalDestaque"/>
          <w:rFonts w:cs="Arial"/>
          <w:b w:val="0"/>
          <w:color w:val="auto"/>
        </w:rPr>
        <w:t xml:space="preserve"> spp. (Polypodiaceae). Nos trechos de várzea prevalecem compósitas, gramíneas e ciperáceas.</w:t>
      </w:r>
    </w:p>
    <w:p w:rsidR="00943A4D" w:rsidRPr="000A481A" w:rsidRDefault="00943A4D" w:rsidP="00943A4D">
      <w:pPr>
        <w:tabs>
          <w:tab w:val="left" w:pos="720"/>
          <w:tab w:val="left" w:pos="1080"/>
          <w:tab w:val="left" w:pos="3175"/>
        </w:tabs>
        <w:rPr>
          <w:rStyle w:val="NormalDestaque"/>
          <w:rFonts w:cs="Arial"/>
          <w:b w:val="0"/>
          <w:color w:val="auto"/>
        </w:rPr>
      </w:pPr>
      <w:r>
        <w:rPr>
          <w:rStyle w:val="NormalDestaque"/>
          <w:rFonts w:cs="Arial"/>
          <w:b w:val="0"/>
          <w:color w:val="auto"/>
        </w:rPr>
        <w:t>As e</w:t>
      </w:r>
      <w:r w:rsidRPr="000A481A">
        <w:rPr>
          <w:rStyle w:val="NormalDestaque"/>
          <w:rFonts w:cs="Arial"/>
          <w:b w:val="0"/>
          <w:color w:val="auto"/>
        </w:rPr>
        <w:t xml:space="preserve">spécies arbóreas predominantes são </w:t>
      </w:r>
      <w:r w:rsidRPr="000A481A">
        <w:rPr>
          <w:rStyle w:val="NormalDestaque"/>
          <w:rFonts w:cs="Arial"/>
          <w:b w:val="0"/>
          <w:i/>
          <w:color w:val="auto"/>
        </w:rPr>
        <w:t xml:space="preserve">Tibouchina </w:t>
      </w:r>
      <w:r w:rsidRPr="000A481A">
        <w:rPr>
          <w:rStyle w:val="NormalDestaque"/>
          <w:rFonts w:cs="Arial"/>
          <w:b w:val="0"/>
          <w:color w:val="auto"/>
        </w:rPr>
        <w:t>spp.,</w:t>
      </w:r>
      <w:r w:rsidRPr="000A481A">
        <w:rPr>
          <w:rStyle w:val="NormalDestaque"/>
          <w:rFonts w:cs="Arial"/>
          <w:b w:val="0"/>
          <w:i/>
          <w:color w:val="auto"/>
        </w:rPr>
        <w:t xml:space="preserve"> Miconia </w:t>
      </w:r>
      <w:r w:rsidRPr="000A481A">
        <w:rPr>
          <w:rStyle w:val="NormalDestaque"/>
          <w:rFonts w:cs="Arial"/>
          <w:b w:val="0"/>
          <w:color w:val="auto"/>
        </w:rPr>
        <w:t>spp.,</w:t>
      </w:r>
      <w:r w:rsidRPr="000A481A">
        <w:rPr>
          <w:rStyle w:val="NormalDestaque"/>
          <w:rFonts w:cs="Arial"/>
          <w:b w:val="0"/>
          <w:i/>
          <w:color w:val="auto"/>
        </w:rPr>
        <w:t xml:space="preserve"> Aspidosperma cf. olivaceum, Alchornea sidifolia, Casearia sylvestris, Piptadenia gonoacantha, Sapium glandulosum, Anadenanthera colubrina, Pera glabrata, Machaerium nyctitans, Ficus sp., Cecropia spp., Croton floribundus, Vernonanthura divaricata</w:t>
      </w:r>
      <w:r>
        <w:rPr>
          <w:rStyle w:val="NormalDestaque"/>
          <w:rFonts w:cs="Arial"/>
          <w:b w:val="0"/>
          <w:color w:val="auto"/>
        </w:rPr>
        <w:t>,</w:t>
      </w:r>
      <w:r w:rsidRPr="000A481A">
        <w:rPr>
          <w:rStyle w:val="NormalDestaque"/>
          <w:rFonts w:cs="Arial"/>
          <w:b w:val="0"/>
          <w:color w:val="auto"/>
        </w:rPr>
        <w:t xml:space="preserve"> </w:t>
      </w:r>
      <w:r>
        <w:rPr>
          <w:rStyle w:val="NormalDestaque"/>
          <w:rFonts w:cs="Arial"/>
          <w:b w:val="0"/>
          <w:color w:val="auto"/>
        </w:rPr>
        <w:t>c</w:t>
      </w:r>
      <w:r w:rsidRPr="000A481A">
        <w:rPr>
          <w:rStyle w:val="NormalDestaque"/>
          <w:rFonts w:cs="Arial"/>
          <w:b w:val="0"/>
          <w:color w:val="auto"/>
        </w:rPr>
        <w:t xml:space="preserve">om ocorrência de </w:t>
      </w:r>
      <w:r w:rsidRPr="000A481A">
        <w:rPr>
          <w:rStyle w:val="NormalDestaque"/>
          <w:rFonts w:cs="Arial"/>
          <w:b w:val="0"/>
          <w:i/>
          <w:color w:val="auto"/>
        </w:rPr>
        <w:t>Euterpe edulis</w:t>
      </w:r>
      <w:r w:rsidRPr="000A481A">
        <w:rPr>
          <w:rStyle w:val="NormalDestaque"/>
          <w:rFonts w:cs="Arial"/>
          <w:b w:val="0"/>
          <w:color w:val="auto"/>
        </w:rPr>
        <w:t xml:space="preserve"> junto ao curso d´água.</w:t>
      </w:r>
    </w:p>
    <w:p w:rsidR="00943A4D" w:rsidRPr="008B5745" w:rsidRDefault="008B5745" w:rsidP="008B5745">
      <w:pPr>
        <w:pStyle w:val="Quadro"/>
        <w:rPr>
          <w:bCs/>
        </w:rPr>
      </w:pPr>
      <w:r w:rsidRPr="008B5745">
        <w:rPr>
          <w:b w:val="0"/>
          <w:bCs/>
        </w:rPr>
        <w:lastRenderedPageBreak/>
        <w:t>Figura 6.4.</w:t>
      </w:r>
      <w:r w:rsidR="00200A8F">
        <w:rPr>
          <w:b w:val="0"/>
          <w:bCs/>
        </w:rPr>
        <w:t>2-3.</w:t>
      </w:r>
      <w:r w:rsidRPr="008B5745">
        <w:rPr>
          <w:bCs/>
        </w:rPr>
        <w:t xml:space="preserve"> Transeções percorridas para realização do levantamento florístico na área F24 (em amarelo)</w:t>
      </w:r>
    </w:p>
    <w:tbl>
      <w:tblPr>
        <w:tblStyle w:val="Tabelacomgrade"/>
        <w:tblW w:w="9781" w:type="dxa"/>
        <w:tblLayout w:type="fixed"/>
        <w:tblCellMar>
          <w:left w:w="57" w:type="dxa"/>
          <w:right w:w="57" w:type="dxa"/>
        </w:tblCellMar>
        <w:tblLook w:val="04A0" w:firstRow="1" w:lastRow="0" w:firstColumn="1" w:lastColumn="0" w:noHBand="0" w:noVBand="1"/>
      </w:tblPr>
      <w:tblGrid>
        <w:gridCol w:w="4962"/>
        <w:gridCol w:w="4819"/>
      </w:tblGrid>
      <w:tr w:rsidR="00943A4D" w:rsidRPr="005C7E13" w:rsidTr="008B5745">
        <w:tc>
          <w:tcPr>
            <w:tcW w:w="9781" w:type="dxa"/>
            <w:gridSpan w:val="2"/>
            <w:tcBorders>
              <w:top w:val="nil"/>
              <w:left w:val="nil"/>
              <w:bottom w:val="nil"/>
              <w:right w:val="nil"/>
            </w:tcBorders>
          </w:tcPr>
          <w:p w:rsidR="00943A4D" w:rsidRPr="005C7E13" w:rsidRDefault="00056696" w:rsidP="003F2023">
            <w:pPr>
              <w:tabs>
                <w:tab w:val="left" w:pos="720"/>
                <w:tab w:val="left" w:pos="1080"/>
                <w:tab w:val="left" w:pos="3175"/>
              </w:tabs>
              <w:jc w:val="center"/>
              <w:rPr>
                <w:rStyle w:val="NormalDestaque"/>
                <w:rFonts w:ascii="Verdana" w:hAnsi="Verdana" w:cs="Tahoma"/>
                <w:sz w:val="22"/>
                <w:szCs w:val="22"/>
              </w:rPr>
            </w:pPr>
            <w:r>
              <w:rPr>
                <w:noProof/>
              </w:rPr>
              <mc:AlternateContent>
                <mc:Choice Requires="wps">
                  <w:drawing>
                    <wp:anchor distT="0" distB="0" distL="114300" distR="114300" simplePos="0" relativeHeight="251681792" behindDoc="0" locked="0" layoutInCell="1" allowOverlap="1" wp14:anchorId="1ED75BDF" wp14:editId="46EC2C5D">
                      <wp:simplePos x="0" y="0"/>
                      <wp:positionH relativeFrom="column">
                        <wp:posOffset>2437765</wp:posOffset>
                      </wp:positionH>
                      <wp:positionV relativeFrom="paragraph">
                        <wp:posOffset>1536065</wp:posOffset>
                      </wp:positionV>
                      <wp:extent cx="300355" cy="234315"/>
                      <wp:effectExtent l="0" t="0" r="23495" b="51435"/>
                      <wp:wrapNone/>
                      <wp:docPr id="215" name="AutoShap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0355" cy="234315"/>
                              </a:xfrm>
                              <a:prstGeom prst="wedgeRectCallout">
                                <a:avLst>
                                  <a:gd name="adj1" fmla="val -40699"/>
                                  <a:gd name="adj2" fmla="val 62736"/>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F2964" w:rsidRPr="00B25AE5" w:rsidRDefault="000F2964" w:rsidP="00943A4D">
                                  <w:pPr>
                                    <w:rPr>
                                      <w:color w:val="FFFF00"/>
                                    </w:rPr>
                                  </w:pPr>
                                  <w:r>
                                    <w:rPr>
                                      <w:color w:val="FFFF0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D75BDF" id="AutoShape 116" o:spid="_x0000_s1030" type="#_x0000_t61" style="position:absolute;left:0;text-align:left;margin-left:191.95pt;margin-top:120.95pt;width:23.65pt;height:18.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6wJrQIAAG4FAAAOAAAAZHJzL2Uyb0RvYy54bWysVF1v0zAUfUfiP1h+7/LRtGujpdOUtAhp&#10;wMTgB7ixkxgcO9hu0w3x37l20q5lLwjRh9SOb849595zfXN7aAXaM224khmOrkKMmCwV5bLO8Ncv&#10;m8kCI2OJpEQoyTL8xAy+Xb19c9N3KYtVowRlGgGINGnfZbixtkuDwJQNa4m5Uh2TcFgp3RILW10H&#10;VJMe0FsRxGE4D3qlaadVyYyBt8VwiFcev6pYaT9VlWEWiQwDN+uf2j+37hmsbkhaa9I1vBxpkH9g&#10;0RIuIekJqiCWoJ3mr6BaXmplVGWvStUGqqp4ybwGUBOFf6h5bEjHvBYojulOZTL/D7b8uH/QiNMM&#10;x9EMI0laaNLdziqfG0XR3JWo70wKkY/dg3YiTXevyu8GSZU3RNbsTmvVN4xQIBa5+ODiA7cx8Cna&#10;9h8UBXwC+L5ah0q3DhDqgA6+KU+nprCDRSW8nIbhdAbUSjiKp8kUaLoMJD1+3Glj3zHVIrfIcM9o&#10;zT5D43MihNpZn4js7431/aGjRkK/RRhVrYB274lAkyScL5ejH86C4vOgeXw99QWB9CMkrI4EHL5U&#10;Gy6Ed5WQqM/wchbPPAWjBKfu0FdQ19tcaASZQbD/jaouwlpuYToEbzO8OAWR1JV6LanPYgkXwxqY&#10;COnAoXKjWldD78Kfy3C5XqwXySSJ52vQWhSTu02eTOab6HpWTIs8L6JfjmeUpA2nlElH9TgRUfJ3&#10;jhtnc/DyaSYuJJlz5Rv/e608uKTh2w1ajv9enfeYs9VgT3vYHryPEwfnLLdV9AlMp9Uw9HBJwaJR&#10;+hmjHgY+w+bHjmiGkXgvwbjLKEncDeE3yew6ho0+P9menxBZAlSGLUbDMrfDrbLrNK8byBT5rkvl&#10;hqni1nn2hdW4gaH2msYLyN0a53sf9XJNrn4DAAD//wMAUEsDBBQABgAIAAAAIQAe0d9l4AAAAAsB&#10;AAAPAAAAZHJzL2Rvd25yZXYueG1sTI/LTsMwEEX3SPyDNZXYUedRQRriVAgJRFk1bSW2bjxNUuJx&#10;FLtt+HuGFezmcXTnTLGabC8uOPrOkYJ4HoFAqp3pqFGw373eZyB80GR07wgVfKOHVXl7U+jcuCtV&#10;eNmGRnAI+VwraEMYcil93aLVfu4GJN4d3Wh14HZspBn1lcNtL5MoepBWd8QXWj3gS4v11/ZsFayJ&#10;NuPHm2xP+B5/7nenyizXlVJ3s+n5CUTAKfzB8KvP6lCy08GdyXjRK0izdMmogmQRc8HEIo0TEAee&#10;PGYZyLKQ/38ofwAAAP//AwBQSwECLQAUAAYACAAAACEAtoM4kv4AAADhAQAAEwAAAAAAAAAAAAAA&#10;AAAAAAAAW0NvbnRlbnRfVHlwZXNdLnhtbFBLAQItABQABgAIAAAAIQA4/SH/1gAAAJQBAAALAAAA&#10;AAAAAAAAAAAAAC8BAABfcmVscy8ucmVsc1BLAQItABQABgAIAAAAIQD0z6wJrQIAAG4FAAAOAAAA&#10;AAAAAAAAAAAAAC4CAABkcnMvZTJvRG9jLnhtbFBLAQItABQABgAIAAAAIQAe0d9l4AAAAAsBAAAP&#10;AAAAAAAAAAAAAAAAAAcFAABkcnMvZG93bnJldi54bWxQSwUGAAAAAAQABADzAAAAFAYAAAAA&#10;" adj="2009,24351" filled="f">
                      <v:textbox>
                        <w:txbxContent>
                          <w:p w:rsidR="000F2964" w:rsidRPr="00B25AE5" w:rsidRDefault="000F2964" w:rsidP="00943A4D">
                            <w:pPr>
                              <w:rPr>
                                <w:color w:val="FFFF00"/>
                              </w:rPr>
                            </w:pPr>
                            <w:r>
                              <w:rPr>
                                <w:color w:val="FFFF00"/>
                              </w:rPr>
                              <w:t>1</w:t>
                            </w:r>
                          </w:p>
                        </w:txbxContent>
                      </v:textbox>
                    </v:shape>
                  </w:pict>
                </mc:Fallback>
              </mc:AlternateContent>
            </w:r>
            <w:r>
              <w:rPr>
                <w:noProof/>
              </w:rPr>
              <mc:AlternateContent>
                <mc:Choice Requires="wps">
                  <w:drawing>
                    <wp:anchor distT="0" distB="0" distL="114300" distR="114300" simplePos="0" relativeHeight="251680768" behindDoc="0" locked="0" layoutInCell="1" allowOverlap="1" wp14:anchorId="6D6EC805" wp14:editId="4DFC58A8">
                      <wp:simplePos x="0" y="0"/>
                      <wp:positionH relativeFrom="column">
                        <wp:posOffset>2941955</wp:posOffset>
                      </wp:positionH>
                      <wp:positionV relativeFrom="paragraph">
                        <wp:posOffset>205105</wp:posOffset>
                      </wp:positionV>
                      <wp:extent cx="263525" cy="226695"/>
                      <wp:effectExtent l="38100" t="0" r="22225" b="40005"/>
                      <wp:wrapNone/>
                      <wp:docPr id="214" name="AutoShap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3525" cy="226695"/>
                              </a:xfrm>
                              <a:prstGeom prst="wedgeRectCallout">
                                <a:avLst>
                                  <a:gd name="adj1" fmla="val -45181"/>
                                  <a:gd name="adj2" fmla="val 50843"/>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F2964" w:rsidRPr="00B25AE5" w:rsidRDefault="000F2964" w:rsidP="00943A4D">
                                  <w:pPr>
                                    <w:rPr>
                                      <w:color w:val="FFFF00"/>
                                    </w:rPr>
                                  </w:pPr>
                                  <w:r>
                                    <w:rPr>
                                      <w:color w:val="FFFF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6EC805" id="AutoShape 115" o:spid="_x0000_s1031" type="#_x0000_t61" style="position:absolute;left:0;text-align:left;margin-left:231.65pt;margin-top:16.15pt;width:20.75pt;height:17.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4ftrAIAAG4FAAAOAAAAZHJzL2Uyb0RvYy54bWysVF1v0zAUfUfiP1h+7/KxtGujpdOUtAhp&#10;wMTgB7ixkxgcO9hu04H471w7aUnZC0LkIfGNr88953749u7YCnRg2nAlMxxdhRgxWSrKZZ3hz5+2&#10;syVGxhJJiVCSZfiZGXy3fv3qtu9SFqtGCco0AhBp0r7LcGNtlwaBKRvWEnOlOiZhs1K6JRZMXQdU&#10;kx7QWxHEYbgIeqVpp1XJjIG/xbCJ1x6/qlhpP1SVYRaJDAM369/av3fuHaxvSVpr0jW8HGmQf2DR&#10;Ei4h6BmqIJagveYvoFpeamVUZa9K1QaqqnjJvAZQE4V/qHlqSMe8FkiO6c5pMv8Ptnx/eNSI0wzH&#10;UYKRJC0U6X5vlY+NomjuUtR3JgXPp+5RO5Gme1DlV4Okyhsia3avteobRigQi5x/cHHAGQaOol3/&#10;TlHAJ4Dvs3WsdOsAIQ/o6IvyfC4KO1pUws94cT2P5xiVsBXHi8XKMwpIejrcaWPfMNUit8hwz2jN&#10;PkLhcyKE2lsfiBwejPX1oaNGQr9EGFWtgHIfiECzZB4tPXko4sQpnjrNw2Vy7QWSdIQEIicCDl+q&#10;LRfCd5WQqM/wypH3SVOCU7fpDV3vcqERRAbB/hlhzdSt5RamQ/A2w8uzE0ldqjeS+iiWcDGsgYmQ&#10;DhwyN6p1OfRd+GMVrjbLzTKZJfFiM0vCopjdb/NktthGN/PiusjzIvrpeEZJ2nBKmXRUTxMRJX/X&#10;ceNsDr18nokLSWaqfOufl8qDSxrQUF7V6evV+R5zbTW0pz3ujr6Pzw27U/QZmk6rYejhkoJFo/R3&#10;jHoY+Aybb3uiGUbirYTGXUVJ4m4IbyTzmxgMPd3ZTXeILAEqwxajYZnb4VbZd5rXDUSKfNWlcsNU&#10;cXuaioHVOCIw1F7TeAG5W2Nqe6/f1+T6FwAAAP//AwBQSwMEFAAGAAgAAAAhAJViEtDhAAAACQEA&#10;AA8AAABkcnMvZG93bnJldi54bWxMj8FOwzAMhu9IvENkJG4sYR3VKE0nhMaQkDhQQHBMW68tS5zS&#10;ZFt5e8wJTpblT7+/P19NzooDjqH3pOFypkAg1b7pqdXw+nJ/sQQRoqHGWE+o4RsDrIrTk9xkjT/S&#10;Mx7K2AoOoZAZDV2MQyZlqDt0Jsz8gMS3rR+dibyOrWxGc+RwZ+VcqVQ60xN/6MyAdx3Wu3LvNLx/&#10;bqr1YxU/vq4f3tZP253tN6XV+vxsur0BEXGKfzD86rM6FOxU+T01QVgNizRJGNWQzHkycKUW3KXS&#10;kC4VyCKX/xsUPwAAAP//AwBQSwECLQAUAAYACAAAACEAtoM4kv4AAADhAQAAEwAAAAAAAAAAAAAA&#10;AAAAAAAAW0NvbnRlbnRfVHlwZXNdLnhtbFBLAQItABQABgAIAAAAIQA4/SH/1gAAAJQBAAALAAAA&#10;AAAAAAAAAAAAAC8BAABfcmVscy8ucmVsc1BLAQItABQABgAIAAAAIQCoC4ftrAIAAG4FAAAOAAAA&#10;AAAAAAAAAAAAAC4CAABkcnMvZTJvRG9jLnhtbFBLAQItABQABgAIAAAAIQCVYhLQ4QAAAAkBAAAP&#10;AAAAAAAAAAAAAAAAAAYFAABkcnMvZG93bnJldi54bWxQSwUGAAAAAAQABADzAAAAFAYAAAAA&#10;" adj="1041,21782" filled="f">
                      <v:textbox>
                        <w:txbxContent>
                          <w:p w:rsidR="000F2964" w:rsidRPr="00B25AE5" w:rsidRDefault="000F2964" w:rsidP="00943A4D">
                            <w:pPr>
                              <w:rPr>
                                <w:color w:val="FFFF00"/>
                              </w:rPr>
                            </w:pPr>
                            <w:r>
                              <w:rPr>
                                <w:color w:val="FFFF00"/>
                              </w:rPr>
                              <w:t>2</w:t>
                            </w:r>
                          </w:p>
                        </w:txbxContent>
                      </v:textbox>
                    </v:shape>
                  </w:pict>
                </mc:Fallback>
              </mc:AlternateContent>
            </w:r>
            <w:r w:rsidR="00943A4D" w:rsidRPr="003C78F5">
              <w:rPr>
                <w:noProof/>
              </w:rPr>
              <w:drawing>
                <wp:inline distT="0" distB="0" distL="0" distR="0" wp14:anchorId="64E21426" wp14:editId="502BDDF4">
                  <wp:extent cx="5736566" cy="2519593"/>
                  <wp:effectExtent l="0" t="0" r="0" b="0"/>
                  <wp:docPr id="139" name="Imagem 139" descr="C:\Users\clarissa\Documents\F24 florist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larissa\Documents\F24 floristico.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52662" cy="2526663"/>
                          </a:xfrm>
                          <a:prstGeom prst="rect">
                            <a:avLst/>
                          </a:prstGeom>
                          <a:noFill/>
                          <a:ln>
                            <a:noFill/>
                          </a:ln>
                        </pic:spPr>
                      </pic:pic>
                    </a:graphicData>
                  </a:graphic>
                </wp:inline>
              </w:drawing>
            </w:r>
          </w:p>
        </w:tc>
      </w:tr>
      <w:tr w:rsidR="00943A4D" w:rsidRPr="005C7E13" w:rsidTr="008B5745">
        <w:tc>
          <w:tcPr>
            <w:tcW w:w="4962" w:type="dxa"/>
            <w:tcBorders>
              <w:top w:val="nil"/>
              <w:left w:val="nil"/>
              <w:bottom w:val="nil"/>
              <w:right w:val="nil"/>
            </w:tcBorders>
          </w:tcPr>
          <w:p w:rsidR="00943A4D" w:rsidRPr="005C7E13" w:rsidRDefault="00943A4D" w:rsidP="003F2023">
            <w:pPr>
              <w:tabs>
                <w:tab w:val="left" w:pos="720"/>
                <w:tab w:val="left" w:pos="1080"/>
                <w:tab w:val="left" w:pos="3175"/>
              </w:tabs>
              <w:jc w:val="center"/>
              <w:rPr>
                <w:rStyle w:val="NormalDestaque"/>
                <w:rFonts w:ascii="Verdana" w:hAnsi="Verdana" w:cs="Tahoma"/>
                <w:sz w:val="22"/>
                <w:szCs w:val="22"/>
              </w:rPr>
            </w:pPr>
            <w:r w:rsidRPr="00732D98">
              <w:rPr>
                <w:noProof/>
              </w:rPr>
              <w:drawing>
                <wp:inline distT="0" distB="0" distL="0" distR="0" wp14:anchorId="3DEEC5EA" wp14:editId="0C2B678B">
                  <wp:extent cx="2976113" cy="2159635"/>
                  <wp:effectExtent l="0" t="0" r="0" b="0"/>
                  <wp:docPr id="140" name="Imagem 140" descr="G:\CLARISSA  Imagens\2014 - 9 - Campo Jaguari\139MSDCF\DSC079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CLARISSA  Imagens\2014 - 9 - Campo Jaguari\139MSDCF\DSC07956.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80123" cy="2162545"/>
                          </a:xfrm>
                          <a:prstGeom prst="rect">
                            <a:avLst/>
                          </a:prstGeom>
                          <a:noFill/>
                          <a:ln>
                            <a:noFill/>
                          </a:ln>
                        </pic:spPr>
                      </pic:pic>
                    </a:graphicData>
                  </a:graphic>
                </wp:inline>
              </w:drawing>
            </w:r>
          </w:p>
        </w:tc>
        <w:tc>
          <w:tcPr>
            <w:tcW w:w="4819" w:type="dxa"/>
            <w:tcBorders>
              <w:top w:val="nil"/>
              <w:left w:val="nil"/>
              <w:bottom w:val="nil"/>
              <w:right w:val="nil"/>
            </w:tcBorders>
          </w:tcPr>
          <w:p w:rsidR="00943A4D" w:rsidRPr="005C7E13" w:rsidRDefault="00943A4D" w:rsidP="003F2023">
            <w:pPr>
              <w:tabs>
                <w:tab w:val="left" w:pos="720"/>
                <w:tab w:val="left" w:pos="1080"/>
                <w:tab w:val="left" w:pos="3175"/>
              </w:tabs>
              <w:jc w:val="center"/>
              <w:rPr>
                <w:rStyle w:val="NormalDestaque"/>
                <w:rFonts w:ascii="Verdana" w:hAnsi="Verdana" w:cs="Tahoma"/>
                <w:sz w:val="22"/>
                <w:szCs w:val="22"/>
              </w:rPr>
            </w:pPr>
            <w:r w:rsidRPr="002F32F1">
              <w:rPr>
                <w:rStyle w:val="NormalDestaque"/>
                <w:rFonts w:ascii="Verdana" w:hAnsi="Verdana" w:cs="Tahoma"/>
                <w:noProof/>
              </w:rPr>
              <w:drawing>
                <wp:inline distT="0" distB="0" distL="0" distR="0" wp14:anchorId="7830088C" wp14:editId="65C4E6E2">
                  <wp:extent cx="2880000" cy="2160000"/>
                  <wp:effectExtent l="0" t="0" r="0" b="0"/>
                  <wp:docPr id="141" name="Imagem 141" descr="G:\CLARISSA  Imagens\2014 - 9 - Campo Jaguari\139MSDCF\DSC079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CLARISSA  Imagens\2014 - 9 - Campo Jaguari\139MSDCF\DSC07974.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tc>
      </w:tr>
      <w:tr w:rsidR="00943A4D" w:rsidRPr="00062D27" w:rsidTr="008B5745">
        <w:tc>
          <w:tcPr>
            <w:tcW w:w="4962" w:type="dxa"/>
            <w:tcBorders>
              <w:top w:val="nil"/>
              <w:left w:val="nil"/>
              <w:bottom w:val="nil"/>
              <w:right w:val="nil"/>
            </w:tcBorders>
          </w:tcPr>
          <w:p w:rsidR="00943A4D" w:rsidRPr="000A481A" w:rsidRDefault="00943A4D" w:rsidP="003F2023">
            <w:pPr>
              <w:rPr>
                <w:rStyle w:val="NormalDestaque"/>
                <w:rFonts w:cs="Arial"/>
                <w:b w:val="0"/>
                <w:color w:val="auto"/>
                <w:sz w:val="18"/>
                <w:szCs w:val="18"/>
              </w:rPr>
            </w:pPr>
            <w:r w:rsidRPr="000A481A">
              <w:rPr>
                <w:rStyle w:val="NormalDestaque"/>
                <w:rFonts w:cs="Arial"/>
                <w:b w:val="0"/>
                <w:color w:val="auto"/>
                <w:sz w:val="18"/>
                <w:szCs w:val="18"/>
              </w:rPr>
              <w:t>Vista geral de fragmento correspondente a área F24 de amostragem. Trecho 2.</w:t>
            </w:r>
          </w:p>
        </w:tc>
        <w:tc>
          <w:tcPr>
            <w:tcW w:w="4819" w:type="dxa"/>
            <w:tcBorders>
              <w:top w:val="nil"/>
              <w:left w:val="nil"/>
              <w:bottom w:val="nil"/>
              <w:right w:val="nil"/>
            </w:tcBorders>
          </w:tcPr>
          <w:p w:rsidR="00943A4D" w:rsidRPr="000A481A" w:rsidRDefault="00943A4D" w:rsidP="003F2023">
            <w:pPr>
              <w:rPr>
                <w:rStyle w:val="NormalDestaque"/>
                <w:rFonts w:cs="Arial"/>
                <w:b w:val="0"/>
                <w:color w:val="auto"/>
                <w:sz w:val="18"/>
                <w:szCs w:val="18"/>
              </w:rPr>
            </w:pPr>
            <w:r w:rsidRPr="000A481A">
              <w:rPr>
                <w:rStyle w:val="NormalDestaque"/>
                <w:rFonts w:cs="Arial"/>
                <w:b w:val="0"/>
                <w:color w:val="auto"/>
                <w:sz w:val="18"/>
                <w:szCs w:val="18"/>
              </w:rPr>
              <w:t>Vista da região correspondente ao emboque de túnel na área F24 de amostragem. Próxima ao Trecho</w:t>
            </w:r>
            <w:r w:rsidR="00932A67">
              <w:rPr>
                <w:rStyle w:val="NormalDestaque"/>
                <w:rFonts w:cs="Arial"/>
                <w:b w:val="0"/>
                <w:color w:val="auto"/>
                <w:sz w:val="18"/>
                <w:szCs w:val="18"/>
              </w:rPr>
              <w:t xml:space="preserve"> </w:t>
            </w:r>
            <w:r w:rsidRPr="000A481A">
              <w:rPr>
                <w:rStyle w:val="NormalDestaque"/>
                <w:rFonts w:cs="Arial"/>
                <w:b w:val="0"/>
                <w:color w:val="auto"/>
                <w:sz w:val="18"/>
                <w:szCs w:val="18"/>
              </w:rPr>
              <w:t>1.</w:t>
            </w:r>
          </w:p>
        </w:tc>
      </w:tr>
    </w:tbl>
    <w:p w:rsidR="00943A4D" w:rsidRPr="000A481A" w:rsidRDefault="00943A4D" w:rsidP="00943A4D">
      <w:pPr>
        <w:tabs>
          <w:tab w:val="left" w:pos="720"/>
          <w:tab w:val="left" w:pos="1080"/>
          <w:tab w:val="left" w:pos="3175"/>
        </w:tabs>
        <w:spacing w:before="120"/>
        <w:rPr>
          <w:rStyle w:val="NormalDestaque"/>
          <w:rFonts w:cs="Arial"/>
          <w:b w:val="0"/>
          <w:color w:val="auto"/>
        </w:rPr>
      </w:pPr>
      <w:r w:rsidRPr="000A481A">
        <w:rPr>
          <w:rStyle w:val="NormalDestaque"/>
          <w:rFonts w:cs="Arial"/>
          <w:color w:val="auto"/>
        </w:rPr>
        <w:t>Área F28</w:t>
      </w:r>
      <w:r w:rsidRPr="000A481A">
        <w:rPr>
          <w:rStyle w:val="NormalDestaque"/>
          <w:rFonts w:cs="Arial"/>
          <w:b w:val="0"/>
          <w:color w:val="auto"/>
        </w:rPr>
        <w:t xml:space="preserve"> - Área amostral situada no município de Nazaré Paulista</w:t>
      </w:r>
      <w:r>
        <w:rPr>
          <w:rStyle w:val="NormalDestaque"/>
          <w:rFonts w:cs="Arial"/>
          <w:b w:val="0"/>
          <w:color w:val="auto"/>
        </w:rPr>
        <w:t>,</w:t>
      </w:r>
      <w:r w:rsidRPr="000A481A">
        <w:rPr>
          <w:rStyle w:val="NormalDestaque"/>
          <w:rFonts w:cs="Arial"/>
          <w:b w:val="0"/>
          <w:color w:val="auto"/>
        </w:rPr>
        <w:t xml:space="preserve"> </w:t>
      </w:r>
      <w:r>
        <w:rPr>
          <w:rStyle w:val="NormalDestaque"/>
          <w:rFonts w:cs="Arial"/>
          <w:b w:val="0"/>
          <w:color w:val="auto"/>
        </w:rPr>
        <w:t>na Serra do Rio Acima, junto a</w:t>
      </w:r>
      <w:r w:rsidRPr="0087116D">
        <w:rPr>
          <w:rStyle w:val="NormalDestaque"/>
          <w:rFonts w:cs="Arial"/>
          <w:b w:val="0"/>
          <w:color w:val="auto"/>
        </w:rPr>
        <w:t xml:space="preserve"> </w:t>
      </w:r>
      <w:r w:rsidRPr="000A481A">
        <w:rPr>
          <w:rStyle w:val="NormalDestaque"/>
          <w:rFonts w:cs="Arial"/>
          <w:b w:val="0"/>
          <w:color w:val="auto"/>
        </w:rPr>
        <w:t>via de acesso</w:t>
      </w:r>
      <w:r>
        <w:rPr>
          <w:rStyle w:val="NormalDestaque"/>
          <w:rFonts w:cs="Arial"/>
          <w:b w:val="0"/>
          <w:color w:val="auto"/>
        </w:rPr>
        <w:t xml:space="preserve"> à obra,</w:t>
      </w:r>
      <w:r w:rsidRPr="000A481A">
        <w:rPr>
          <w:rStyle w:val="NormalDestaque"/>
          <w:rFonts w:cs="Arial"/>
          <w:b w:val="0"/>
          <w:color w:val="auto"/>
        </w:rPr>
        <w:t xml:space="preserve"> e</w:t>
      </w:r>
      <w:r>
        <w:rPr>
          <w:rStyle w:val="NormalDestaque"/>
          <w:rFonts w:cs="Arial"/>
          <w:b w:val="0"/>
          <w:color w:val="auto"/>
        </w:rPr>
        <w:t>m setor</w:t>
      </w:r>
      <w:r w:rsidRPr="000A481A">
        <w:rPr>
          <w:rStyle w:val="NormalDestaque"/>
          <w:rFonts w:cs="Arial"/>
          <w:b w:val="0"/>
          <w:color w:val="auto"/>
        </w:rPr>
        <w:t xml:space="preserve"> </w:t>
      </w:r>
      <w:r>
        <w:rPr>
          <w:rStyle w:val="NormalDestaque"/>
          <w:rFonts w:cs="Arial"/>
          <w:b w:val="0"/>
          <w:color w:val="auto"/>
        </w:rPr>
        <w:t xml:space="preserve">em que a Interligação segue em </w:t>
      </w:r>
      <w:r w:rsidRPr="000A481A">
        <w:rPr>
          <w:rStyle w:val="NormalDestaque"/>
          <w:rFonts w:cs="Arial"/>
          <w:b w:val="0"/>
          <w:color w:val="auto"/>
        </w:rPr>
        <w:t xml:space="preserve">túnel. Os pontos percorridos para levantamento florístico foram correspondentes a Floresta Ombrófila em estágio sucessional médio a avançado (Trechos 1, 2 e 3) de regeneração natural. Seu entorno </w:t>
      </w:r>
      <w:r>
        <w:rPr>
          <w:rStyle w:val="NormalDestaque"/>
          <w:rFonts w:cs="Arial"/>
          <w:b w:val="0"/>
          <w:color w:val="auto"/>
        </w:rPr>
        <w:t xml:space="preserve">é </w:t>
      </w:r>
      <w:r w:rsidRPr="000A481A">
        <w:rPr>
          <w:rStyle w:val="NormalDestaque"/>
          <w:rFonts w:cs="Arial"/>
          <w:b w:val="0"/>
          <w:color w:val="auto"/>
        </w:rPr>
        <w:t xml:space="preserve">representado </w:t>
      </w:r>
      <w:r>
        <w:rPr>
          <w:rStyle w:val="NormalDestaque"/>
          <w:rFonts w:cs="Arial"/>
          <w:b w:val="0"/>
          <w:color w:val="auto"/>
        </w:rPr>
        <w:t xml:space="preserve">por </w:t>
      </w:r>
      <w:r w:rsidRPr="000A481A">
        <w:rPr>
          <w:rStyle w:val="NormalDestaque"/>
          <w:rFonts w:cs="Arial"/>
          <w:b w:val="0"/>
          <w:color w:val="auto"/>
        </w:rPr>
        <w:t xml:space="preserve">plantio de </w:t>
      </w:r>
      <w:r w:rsidRPr="000A481A">
        <w:rPr>
          <w:rStyle w:val="NormalDestaque"/>
          <w:rFonts w:cs="Arial"/>
          <w:b w:val="0"/>
          <w:i/>
          <w:color w:val="auto"/>
        </w:rPr>
        <w:t>Eucalyptus</w:t>
      </w:r>
      <w:r w:rsidRPr="000A481A">
        <w:rPr>
          <w:rStyle w:val="NormalDestaque"/>
          <w:rFonts w:cs="Arial"/>
          <w:b w:val="0"/>
          <w:color w:val="auto"/>
        </w:rPr>
        <w:t xml:space="preserve"> sp., fragmentos remanescentes e residências.</w:t>
      </w:r>
    </w:p>
    <w:p w:rsidR="00943A4D" w:rsidRPr="000A481A" w:rsidRDefault="00943A4D" w:rsidP="00943A4D">
      <w:pPr>
        <w:tabs>
          <w:tab w:val="left" w:pos="720"/>
          <w:tab w:val="left" w:pos="1080"/>
          <w:tab w:val="left" w:pos="3175"/>
        </w:tabs>
        <w:rPr>
          <w:rStyle w:val="NormalDestaque"/>
          <w:rFonts w:cs="Arial"/>
          <w:b w:val="0"/>
          <w:color w:val="auto"/>
        </w:rPr>
      </w:pPr>
      <w:r w:rsidRPr="000A481A">
        <w:rPr>
          <w:rStyle w:val="NormalDestaque"/>
          <w:rFonts w:cs="Arial"/>
          <w:b w:val="0"/>
          <w:color w:val="auto"/>
        </w:rPr>
        <w:t>Nesse fragmento o dossel é predominantemente contínuo, com indivíduos arbóreos com altura entre 8 e 10 m, havendo emergentes de até 15 metros de altura. O sub-bosque é estratificado, com ocorrência de Piperaceae (</w:t>
      </w:r>
      <w:r w:rsidRPr="000A481A">
        <w:rPr>
          <w:rStyle w:val="NormalDestaque"/>
          <w:rFonts w:cs="Arial"/>
          <w:b w:val="0"/>
          <w:i/>
          <w:color w:val="auto"/>
        </w:rPr>
        <w:t>Piper</w:t>
      </w:r>
      <w:r w:rsidRPr="000A481A">
        <w:rPr>
          <w:rStyle w:val="NormalDestaque"/>
          <w:rFonts w:cs="Arial"/>
          <w:b w:val="0"/>
          <w:color w:val="auto"/>
        </w:rPr>
        <w:t xml:space="preserve"> spp.), Rubiaceae</w:t>
      </w:r>
      <w:r w:rsidRPr="000A481A">
        <w:rPr>
          <w:rStyle w:val="NormalDestaque"/>
          <w:rFonts w:cs="Arial"/>
          <w:b w:val="0"/>
          <w:i/>
          <w:color w:val="auto"/>
        </w:rPr>
        <w:t xml:space="preserve"> (Psychotria </w:t>
      </w:r>
      <w:r w:rsidRPr="000A481A">
        <w:rPr>
          <w:rStyle w:val="NormalDestaque"/>
          <w:rFonts w:cs="Arial"/>
          <w:b w:val="0"/>
          <w:color w:val="auto"/>
        </w:rPr>
        <w:t>spp.),</w:t>
      </w:r>
      <w:r w:rsidRPr="000A481A">
        <w:rPr>
          <w:rStyle w:val="NormalDestaque"/>
          <w:rFonts w:cs="Arial"/>
          <w:b w:val="0"/>
          <w:i/>
          <w:color w:val="auto"/>
        </w:rPr>
        <w:t xml:space="preserve"> </w:t>
      </w:r>
      <w:r w:rsidRPr="000A481A">
        <w:rPr>
          <w:rStyle w:val="NormalDestaque"/>
          <w:rFonts w:cs="Arial"/>
          <w:b w:val="0"/>
          <w:color w:val="auto"/>
        </w:rPr>
        <w:t>Melastomataceae (</w:t>
      </w:r>
      <w:r w:rsidRPr="000A481A">
        <w:rPr>
          <w:rStyle w:val="NormalDestaque"/>
          <w:rFonts w:cs="Arial"/>
          <w:b w:val="0"/>
          <w:i/>
          <w:color w:val="auto"/>
        </w:rPr>
        <w:t>Leandra</w:t>
      </w:r>
      <w:r w:rsidRPr="000A481A">
        <w:rPr>
          <w:rStyle w:val="NormalDestaque"/>
          <w:rFonts w:cs="Arial"/>
          <w:b w:val="0"/>
          <w:color w:val="auto"/>
        </w:rPr>
        <w:t xml:space="preserve"> spp.) </w:t>
      </w:r>
      <w:r w:rsidRPr="000A481A">
        <w:rPr>
          <w:rStyle w:val="NormalDestaque"/>
          <w:rFonts w:cs="Arial"/>
          <w:b w:val="0"/>
          <w:i/>
          <w:color w:val="auto"/>
        </w:rPr>
        <w:t>e Cyathea cf. delgadii.</w:t>
      </w:r>
      <w:r w:rsidRPr="000A481A">
        <w:rPr>
          <w:rStyle w:val="NormalDestaque"/>
          <w:rFonts w:cs="Arial"/>
          <w:b w:val="0"/>
          <w:color w:val="auto"/>
        </w:rPr>
        <w:t xml:space="preserve"> A ocorrência de lianas é moderada, predominando em áreas de borda. </w:t>
      </w:r>
      <w:r>
        <w:rPr>
          <w:rStyle w:val="NormalDestaque"/>
          <w:rFonts w:cs="Arial"/>
          <w:b w:val="0"/>
          <w:color w:val="auto"/>
        </w:rPr>
        <w:t>R</w:t>
      </w:r>
      <w:r w:rsidRPr="000A481A">
        <w:rPr>
          <w:rStyle w:val="NormalDestaque"/>
          <w:rFonts w:cs="Arial"/>
          <w:b w:val="0"/>
          <w:color w:val="auto"/>
        </w:rPr>
        <w:t>egistra</w:t>
      </w:r>
      <w:r>
        <w:rPr>
          <w:rStyle w:val="NormalDestaque"/>
          <w:rFonts w:cs="Arial"/>
          <w:b w:val="0"/>
          <w:color w:val="auto"/>
        </w:rPr>
        <w:t>-se</w:t>
      </w:r>
      <w:r w:rsidRPr="000A481A">
        <w:rPr>
          <w:rStyle w:val="NormalDestaque"/>
          <w:rFonts w:cs="Arial"/>
          <w:b w:val="0"/>
          <w:color w:val="auto"/>
        </w:rPr>
        <w:t xml:space="preserve"> moderada ocorrência de epífitas, com presença de </w:t>
      </w:r>
      <w:r w:rsidRPr="000A481A">
        <w:rPr>
          <w:rStyle w:val="NormalDestaque"/>
          <w:rFonts w:cs="Arial"/>
          <w:b w:val="0"/>
          <w:i/>
          <w:color w:val="auto"/>
        </w:rPr>
        <w:t>Tillandsia</w:t>
      </w:r>
      <w:r w:rsidRPr="000A481A">
        <w:rPr>
          <w:rStyle w:val="NormalDestaque"/>
          <w:rFonts w:cs="Arial"/>
          <w:b w:val="0"/>
          <w:color w:val="auto"/>
        </w:rPr>
        <w:t xml:space="preserve"> sp., Vriesea spp. (Bromeliaceae) e </w:t>
      </w:r>
      <w:r w:rsidRPr="000A481A">
        <w:rPr>
          <w:rStyle w:val="NormalDestaque"/>
          <w:rFonts w:cs="Arial"/>
          <w:b w:val="0"/>
          <w:i/>
          <w:color w:val="auto"/>
        </w:rPr>
        <w:t>Microgramma</w:t>
      </w:r>
      <w:r w:rsidRPr="000A481A">
        <w:rPr>
          <w:rStyle w:val="NormalDestaque"/>
          <w:rFonts w:cs="Arial"/>
          <w:b w:val="0"/>
          <w:color w:val="auto"/>
        </w:rPr>
        <w:t xml:space="preserve"> spp. (Polypodiaceae). </w:t>
      </w:r>
    </w:p>
    <w:p w:rsidR="00943A4D" w:rsidRPr="000A481A" w:rsidRDefault="00943A4D" w:rsidP="00943A4D">
      <w:pPr>
        <w:tabs>
          <w:tab w:val="left" w:pos="720"/>
          <w:tab w:val="left" w:pos="1080"/>
          <w:tab w:val="left" w:pos="3175"/>
        </w:tabs>
        <w:rPr>
          <w:rStyle w:val="NormalDestaque"/>
          <w:rFonts w:cs="Arial"/>
          <w:b w:val="0"/>
          <w:color w:val="auto"/>
        </w:rPr>
      </w:pPr>
      <w:r>
        <w:rPr>
          <w:rStyle w:val="NormalDestaque"/>
          <w:rFonts w:cs="Arial"/>
          <w:b w:val="0"/>
          <w:color w:val="auto"/>
        </w:rPr>
        <w:t>As e</w:t>
      </w:r>
      <w:r w:rsidRPr="000A481A">
        <w:rPr>
          <w:rStyle w:val="NormalDestaque"/>
          <w:rFonts w:cs="Arial"/>
          <w:b w:val="0"/>
          <w:color w:val="auto"/>
        </w:rPr>
        <w:t xml:space="preserve">spécies arbóreas predominantes são </w:t>
      </w:r>
      <w:r w:rsidRPr="000A481A">
        <w:rPr>
          <w:rStyle w:val="NormalDestaque"/>
          <w:rFonts w:cs="Arial"/>
          <w:b w:val="0"/>
          <w:i/>
          <w:color w:val="auto"/>
        </w:rPr>
        <w:t xml:space="preserve">Miconia </w:t>
      </w:r>
      <w:r w:rsidRPr="000A481A">
        <w:rPr>
          <w:rStyle w:val="NormalDestaque"/>
          <w:rFonts w:cs="Arial"/>
          <w:b w:val="0"/>
          <w:color w:val="auto"/>
        </w:rPr>
        <w:t>spp.,</w:t>
      </w:r>
      <w:r w:rsidRPr="000A481A">
        <w:rPr>
          <w:rStyle w:val="NormalDestaque"/>
          <w:rFonts w:cs="Arial"/>
          <w:b w:val="0"/>
          <w:i/>
          <w:color w:val="auto"/>
        </w:rPr>
        <w:t xml:space="preserve"> Tibouchina </w:t>
      </w:r>
      <w:r w:rsidRPr="000A481A">
        <w:rPr>
          <w:rStyle w:val="NormalDestaque"/>
          <w:rFonts w:cs="Arial"/>
          <w:b w:val="0"/>
          <w:color w:val="auto"/>
        </w:rPr>
        <w:t>spp.,</w:t>
      </w:r>
      <w:r w:rsidRPr="000A481A">
        <w:rPr>
          <w:rStyle w:val="NormalDestaque"/>
          <w:rFonts w:cs="Arial"/>
          <w:b w:val="0"/>
          <w:i/>
          <w:color w:val="auto"/>
        </w:rPr>
        <w:t xml:space="preserve"> Cupania vernalis, Syagrus romanzoffiiana, Cedrela </w:t>
      </w:r>
      <w:r w:rsidRPr="000A481A">
        <w:rPr>
          <w:rStyle w:val="NormalDestaque"/>
          <w:rFonts w:cs="Arial"/>
          <w:b w:val="0"/>
          <w:color w:val="auto"/>
        </w:rPr>
        <w:t>spp.,</w:t>
      </w:r>
      <w:r w:rsidRPr="000A481A">
        <w:rPr>
          <w:rStyle w:val="NormalDestaque"/>
          <w:rFonts w:cs="Arial"/>
          <w:b w:val="0"/>
          <w:i/>
          <w:color w:val="auto"/>
        </w:rPr>
        <w:t xml:space="preserve"> Xylopia brasiliensis, Machaerium </w:t>
      </w:r>
      <w:r w:rsidRPr="000A481A">
        <w:rPr>
          <w:rStyle w:val="NormalDestaque"/>
          <w:rFonts w:cs="Arial"/>
          <w:b w:val="0"/>
          <w:color w:val="auto"/>
        </w:rPr>
        <w:t xml:space="preserve">spp., </w:t>
      </w:r>
      <w:r w:rsidRPr="000A481A">
        <w:rPr>
          <w:rStyle w:val="NormalDestaque"/>
          <w:rFonts w:cs="Arial"/>
          <w:b w:val="0"/>
          <w:i/>
          <w:color w:val="auto"/>
        </w:rPr>
        <w:t xml:space="preserve">Roupala montana, Myrsine </w:t>
      </w:r>
      <w:r w:rsidRPr="000A481A">
        <w:rPr>
          <w:rStyle w:val="NormalDestaque"/>
          <w:rFonts w:cs="Arial"/>
          <w:b w:val="0"/>
          <w:color w:val="auto"/>
        </w:rPr>
        <w:t>spp.</w:t>
      </w:r>
      <w:r w:rsidRPr="000A481A">
        <w:rPr>
          <w:rStyle w:val="NormalDestaque"/>
          <w:rFonts w:cs="Arial"/>
          <w:b w:val="0"/>
          <w:i/>
          <w:color w:val="auto"/>
        </w:rPr>
        <w:t xml:space="preserve">, Alchornea </w:t>
      </w:r>
      <w:r w:rsidRPr="000A481A">
        <w:rPr>
          <w:rStyle w:val="NormalDestaque"/>
          <w:rFonts w:cs="Arial"/>
          <w:b w:val="0"/>
          <w:color w:val="auto"/>
        </w:rPr>
        <w:t>spp.,</w:t>
      </w:r>
      <w:r w:rsidRPr="000A481A">
        <w:rPr>
          <w:rStyle w:val="NormalDestaque"/>
          <w:rFonts w:cs="Arial"/>
          <w:b w:val="0"/>
          <w:i/>
          <w:color w:val="auto"/>
        </w:rPr>
        <w:t xml:space="preserve"> Cabralea canjerana, Calyptranthes </w:t>
      </w:r>
      <w:r w:rsidRPr="000A481A">
        <w:rPr>
          <w:rStyle w:val="NormalDestaque"/>
          <w:rFonts w:cs="Arial"/>
          <w:b w:val="0"/>
          <w:color w:val="auto"/>
        </w:rPr>
        <w:t>sp.,</w:t>
      </w:r>
      <w:r w:rsidRPr="000A481A">
        <w:rPr>
          <w:rStyle w:val="NormalDestaque"/>
          <w:rFonts w:cs="Arial"/>
          <w:b w:val="0"/>
          <w:i/>
          <w:color w:val="auto"/>
        </w:rPr>
        <w:t xml:space="preserve"> Inga </w:t>
      </w:r>
      <w:r w:rsidRPr="000A481A">
        <w:rPr>
          <w:rStyle w:val="NormalDestaque"/>
          <w:rFonts w:cs="Arial"/>
          <w:b w:val="0"/>
          <w:color w:val="auto"/>
        </w:rPr>
        <w:t>spp.,</w:t>
      </w:r>
      <w:r w:rsidRPr="000A481A">
        <w:rPr>
          <w:rStyle w:val="NormalDestaque"/>
          <w:rFonts w:cs="Arial"/>
          <w:b w:val="0"/>
          <w:i/>
          <w:color w:val="auto"/>
        </w:rPr>
        <w:t xml:space="preserve"> Croton floribundus, Casearia sylvestris, Psidium cattleianum, Vochysia cf. magnifica</w:t>
      </w:r>
      <w:r>
        <w:rPr>
          <w:rStyle w:val="NormalDestaque"/>
          <w:rFonts w:cs="Arial"/>
          <w:b w:val="0"/>
          <w:color w:val="auto"/>
        </w:rPr>
        <w:t>,</w:t>
      </w:r>
      <w:r w:rsidRPr="000A481A">
        <w:rPr>
          <w:rStyle w:val="NormalDestaque"/>
          <w:rFonts w:cs="Arial"/>
          <w:b w:val="0"/>
          <w:color w:val="auto"/>
        </w:rPr>
        <w:t xml:space="preserve"> </w:t>
      </w:r>
      <w:r>
        <w:rPr>
          <w:rStyle w:val="NormalDestaque"/>
          <w:rFonts w:cs="Arial"/>
          <w:b w:val="0"/>
          <w:color w:val="auto"/>
        </w:rPr>
        <w:t>c</w:t>
      </w:r>
      <w:r w:rsidRPr="000A481A">
        <w:rPr>
          <w:rStyle w:val="NormalDestaque"/>
          <w:rFonts w:cs="Arial"/>
          <w:b w:val="0"/>
          <w:color w:val="auto"/>
        </w:rPr>
        <w:t xml:space="preserve">om presença de grande número de indivíduos da espécie </w:t>
      </w:r>
      <w:r w:rsidRPr="000A481A">
        <w:rPr>
          <w:rStyle w:val="NormalDestaque"/>
          <w:rFonts w:cs="Arial"/>
          <w:b w:val="0"/>
          <w:i/>
          <w:color w:val="auto"/>
        </w:rPr>
        <w:t>Euterpe edulis</w:t>
      </w:r>
      <w:r w:rsidRPr="000A481A">
        <w:rPr>
          <w:rStyle w:val="NormalDestaque"/>
          <w:rFonts w:cs="Arial"/>
          <w:b w:val="0"/>
          <w:color w:val="auto"/>
        </w:rPr>
        <w:t>.</w:t>
      </w:r>
    </w:p>
    <w:p w:rsidR="00943A4D" w:rsidRPr="008B5745" w:rsidRDefault="008B5745" w:rsidP="008B5745">
      <w:pPr>
        <w:pStyle w:val="Quadro"/>
      </w:pPr>
      <w:r w:rsidRPr="008B5745">
        <w:lastRenderedPageBreak/>
        <w:t>Figura 6.4.</w:t>
      </w:r>
      <w:r w:rsidR="00200A8F">
        <w:t>2-4.</w:t>
      </w:r>
      <w:r w:rsidRPr="008B5745">
        <w:t xml:space="preserve"> Transeções percorridas para realização do levant</w:t>
      </w:r>
      <w:r w:rsidR="00200A8F">
        <w:t>amento florístico na área F28 (e</w:t>
      </w:r>
      <w:r w:rsidRPr="008B5745">
        <w:t>m amarelo)</w:t>
      </w:r>
    </w:p>
    <w:tbl>
      <w:tblPr>
        <w:tblStyle w:val="Tabelacomgrade"/>
        <w:tblW w:w="9781" w:type="dxa"/>
        <w:tblLayout w:type="fixed"/>
        <w:tblCellMar>
          <w:left w:w="57" w:type="dxa"/>
          <w:right w:w="57" w:type="dxa"/>
        </w:tblCellMar>
        <w:tblLook w:val="04A0" w:firstRow="1" w:lastRow="0" w:firstColumn="1" w:lastColumn="0" w:noHBand="0" w:noVBand="1"/>
      </w:tblPr>
      <w:tblGrid>
        <w:gridCol w:w="4962"/>
        <w:gridCol w:w="4819"/>
      </w:tblGrid>
      <w:tr w:rsidR="00943A4D" w:rsidRPr="005C7E13" w:rsidTr="008B5745">
        <w:tc>
          <w:tcPr>
            <w:tcW w:w="9781" w:type="dxa"/>
            <w:gridSpan w:val="2"/>
            <w:tcBorders>
              <w:top w:val="nil"/>
              <w:left w:val="nil"/>
              <w:bottom w:val="nil"/>
              <w:right w:val="nil"/>
            </w:tcBorders>
          </w:tcPr>
          <w:p w:rsidR="00943A4D" w:rsidRPr="005C7E13" w:rsidRDefault="00056696" w:rsidP="003F2023">
            <w:pPr>
              <w:tabs>
                <w:tab w:val="left" w:pos="720"/>
                <w:tab w:val="left" w:pos="1080"/>
                <w:tab w:val="left" w:pos="3175"/>
              </w:tabs>
              <w:jc w:val="center"/>
              <w:rPr>
                <w:rStyle w:val="NormalDestaque"/>
                <w:rFonts w:ascii="Verdana" w:hAnsi="Verdana" w:cs="Tahoma"/>
                <w:sz w:val="22"/>
                <w:szCs w:val="22"/>
              </w:rPr>
            </w:pPr>
            <w:r>
              <w:rPr>
                <w:noProof/>
              </w:rPr>
              <mc:AlternateContent>
                <mc:Choice Requires="wps">
                  <w:drawing>
                    <wp:anchor distT="0" distB="0" distL="114300" distR="114300" simplePos="0" relativeHeight="251684864" behindDoc="0" locked="0" layoutInCell="1" allowOverlap="1" wp14:anchorId="4DDA480A" wp14:editId="4A0A7C9A">
                      <wp:simplePos x="0" y="0"/>
                      <wp:positionH relativeFrom="column">
                        <wp:posOffset>3893185</wp:posOffset>
                      </wp:positionH>
                      <wp:positionV relativeFrom="paragraph">
                        <wp:posOffset>1077595</wp:posOffset>
                      </wp:positionV>
                      <wp:extent cx="248285" cy="233680"/>
                      <wp:effectExtent l="0" t="0" r="18415" b="52070"/>
                      <wp:wrapNone/>
                      <wp:docPr id="213" name="AutoShap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285" cy="233680"/>
                              </a:xfrm>
                              <a:prstGeom prst="wedgeRectCallout">
                                <a:avLst>
                                  <a:gd name="adj1" fmla="val -44884"/>
                                  <a:gd name="adj2" fmla="val 39944"/>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F2964" w:rsidRPr="0002427F" w:rsidRDefault="000F2964" w:rsidP="00943A4D">
                                  <w:pPr>
                                    <w:rPr>
                                      <w:color w:val="FFFF00"/>
                                    </w:rPr>
                                  </w:pPr>
                                  <w:r w:rsidRPr="0002427F">
                                    <w:rPr>
                                      <w:color w:val="FFFF0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DA480A" id="AutoShape 119" o:spid="_x0000_s1032" type="#_x0000_t61" style="position:absolute;left:0;text-align:left;margin-left:306.55pt;margin-top:84.85pt;width:19.55pt;height:18.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FlFrwIAAG4FAAAOAAAAZHJzL2Uyb0RvYy54bWysVFFvmzAQfp+0/2D5PSUQkgIqqSqSTJO6&#10;rVq3H+BgA96MzWwnpJv233c2JKPryzSNB7Dx+bv77r67m9tTK9CRacOVzHF4NceIyVJRLuscf/60&#10;myUYGUskJUJJluMnZvDt+vWrm77LWKQaJSjTCECkyfoux421XRYEpmxYS8yV6piEw0rplljY6jqg&#10;mvSA3oogms9XQa807bQqmTHwdzMc4rXHrypW2g9VZZhFIscQm/Vv7d979w7WNySrNekaXo5hkH+I&#10;oiVcgtML1IZYgg6av4BqeamVUZW9KlUbqKriJfMcgE04/4PNY0M65rlAckx3SZP5f7Dl++ODRpzm&#10;OAoXGEnSQpHuDlZ53ygMU5eivjMZWD52D9qRNN29Kr8aJFXREFmzO61V3zBCIbDQ2QfPLriNgato&#10;379TFPAJ4PtsnSrdOkDIAzr5ojxdisJOFpXwM4qTKFliVMJRtFisEl+0gGTny5029g1TLXKLHPeM&#10;1uwjFL4gQqiD9Y7I8d5YXx86ciT0S4hR1Qoo95EINIvjJIlHPUyMoqnRIk1jbwPuR0hYnQNw+FLt&#10;uBBeVUKiPsfpMlr6EIwSnLpDn0Fd7wuhEXgGwv7xeYPcTs1abqE7BG9znFyMSOZSvZXUe7GEi2EN&#10;kQjpwCFzI1uXQ6/CH+k83SbbJJ7F0Wo7i+ebzexuV8Sz1S68Xm4Wm6LYhD9dnGGcNZxSJl2o544I&#10;479T3Nibg5YvPfGMkpky3/nnJfPgeRggKM/q/PXsvMacrAZ52tP+5HW8cnBOcntFn0B0Wg1ND0MK&#10;Fo3S3zHqoeFzbL4diGYYibcShJuGcewmhN/Ey+sINnp6sp+eEFkCVI4tRsOysMNUOXSa1w14Cn3V&#10;pXLNVHF77oohqrFFoKk9p3EAuakx3Xur32Ny/QsAAP//AwBQSwMEFAAGAAgAAAAhAOFAa1ngAAAA&#10;CwEAAA8AAABkcnMvZG93bnJldi54bWxMj8FOwzAQRO+V+Adrkbi1ToLqQohToQoO3CCgStzc2CQp&#10;8TqK3drw9SwnOK7maeZttU12ZGcz+8GhhHyVATPYOj1gJ+Ht9XF5A8wHhVqNDo2EL+NhW18sKlVq&#10;F/HFnJvQMSpBXyoJfQhTyblve2OVX7nJIGUfbrYq0Dl3XM8qUrkdeZFlgls1IC30ajK73rSfzclK&#10;aNI+jym+P0Xnnx92+3S0m+O3lFeX6f4OWDAp/MHwq0/qUJPTwZ1QezZKEPl1TigF4nYDjAixLgpg&#10;BwlFJtbA64r//6H+AQAA//8DAFBLAQItABQABgAIAAAAIQC2gziS/gAAAOEBAAATAAAAAAAAAAAA&#10;AAAAAAAAAABbQ29udGVudF9UeXBlc10ueG1sUEsBAi0AFAAGAAgAAAAhADj9If/WAAAAlAEAAAsA&#10;AAAAAAAAAAAAAAAALwEAAF9yZWxzLy5yZWxzUEsBAi0AFAAGAAgAAAAhAA0gWUWvAgAAbgUAAA4A&#10;AAAAAAAAAAAAAAAALgIAAGRycy9lMm9Eb2MueG1sUEsBAi0AFAAGAAgAAAAhAOFAa1ngAAAACwEA&#10;AA8AAAAAAAAAAAAAAAAACQUAAGRycy9kb3ducmV2LnhtbFBLBQYAAAAABAAEAPMAAAAWBgAAAAA=&#10;" adj="1105,19428" filled="f">
                      <v:textbox>
                        <w:txbxContent>
                          <w:p w:rsidR="000F2964" w:rsidRPr="0002427F" w:rsidRDefault="000F2964" w:rsidP="00943A4D">
                            <w:pPr>
                              <w:rPr>
                                <w:color w:val="FFFF00"/>
                              </w:rPr>
                            </w:pPr>
                            <w:r w:rsidRPr="0002427F">
                              <w:rPr>
                                <w:color w:val="FFFF00"/>
                              </w:rPr>
                              <w:t>1</w:t>
                            </w:r>
                          </w:p>
                        </w:txbxContent>
                      </v:textbox>
                    </v:shape>
                  </w:pict>
                </mc:Fallback>
              </mc:AlternateContent>
            </w:r>
            <w:r>
              <w:rPr>
                <w:noProof/>
              </w:rPr>
              <mc:AlternateContent>
                <mc:Choice Requires="wps">
                  <w:drawing>
                    <wp:anchor distT="0" distB="0" distL="114300" distR="114300" simplePos="0" relativeHeight="251683840" behindDoc="0" locked="0" layoutInCell="1" allowOverlap="1" wp14:anchorId="0F5AF90A" wp14:editId="3010A6FC">
                      <wp:simplePos x="0" y="0"/>
                      <wp:positionH relativeFrom="column">
                        <wp:posOffset>3314700</wp:posOffset>
                      </wp:positionH>
                      <wp:positionV relativeFrom="paragraph">
                        <wp:posOffset>1143000</wp:posOffset>
                      </wp:positionV>
                      <wp:extent cx="227330" cy="241300"/>
                      <wp:effectExtent l="0" t="0" r="20320" b="25400"/>
                      <wp:wrapNone/>
                      <wp:docPr id="212" name="AutoShap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330" cy="241300"/>
                              </a:xfrm>
                              <a:prstGeom prst="wedgeRectCallout">
                                <a:avLst>
                                  <a:gd name="adj1" fmla="val -23185"/>
                                  <a:gd name="adj2" fmla="val 43157"/>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F2964" w:rsidRPr="00E00C65" w:rsidRDefault="000F2964" w:rsidP="00943A4D">
                                  <w:pPr>
                                    <w:rPr>
                                      <w:color w:val="FFFF00"/>
                                    </w:rPr>
                                  </w:pPr>
                                  <w:r w:rsidRPr="00E00C65">
                                    <w:rPr>
                                      <w:color w:val="FFFF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5AF90A" id="AutoShape 118" o:spid="_x0000_s1033" type="#_x0000_t61" style="position:absolute;left:0;text-align:left;margin-left:261pt;margin-top:90pt;width:17.9pt;height:1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wFNrwIAAG4FAAAOAAAAZHJzL2Uyb0RvYy54bWysVFFv0zAQfkfiP1h+71Kn6dpGS6cpaRHS&#10;gInBD3BjpzE4drDdphviv3N20q5lLwiRh8SOz9/dd/fd3dweGon23FihVYbJ1RgjrkrNhNpm+OuX&#10;9WiOkXVUMSq14hl+4hbfLt++uenalMe61pJxgwBE2bRrM1w716ZRZMuaN9Re6ZYrOKy0aaiDrdlG&#10;zNAO0BsZxePxddRpw1qjS24t/C36Q7wM+FXFS/epqix3SGYYYnPhbcJ749/R8oamW0PbWpRDGPQf&#10;omioUOD0BFVQR9HOiFdQjSiNtrpyV6VuIl1VouSBA7Ah4z/YPNa05YELJMe2pzTZ/wdbftw/GCRY&#10;hmMSY6RoA0W62zkdfCNC5j5FXWtTsHxsH4wnadt7XX63SOm8pmrL74zRXc0pg8CIt48uLviNhato&#10;033QDPAp4IdsHSrTeEDIAzqEojydisIPDpXwM45nkwmUroSjOCGTcShaRNPj5dZY947rBvlFhjvO&#10;tvwzFD6nUuqdC47o/t66UB82cKTsG8GoaiSUe08lGsUTMp8OejgzgqS8GCUTMp0FgjQdICGQYwAe&#10;X+m1kDKoSirUZXgxjachBKulYP4wZNBsN7k0CDwD4fAMsBdmjXDQHVI0GZ6fjGjqU71SLHhxVMh+&#10;DZFI5cEhcwNbn8Ogwp+L8WI1X82TURJfr0bJuChGd+s8GV2vyWxaTIo8L8gvHydJ0lowxpUP9dgR&#10;JPk7xQ292Wv51BMXlOw583V4XjOPLsMAQQVWx29gFzTmZdXL0x02h6DjUB8vuY1mTyA6o/umhyEF&#10;i1qbZ4w6aPgM2x87ajhG8r0C4S5IkvgJETbJdBbDxpyfbM5PqCoBKsMOo36Zu36q7FojtjV4IqHq&#10;SvtmqoQ7dkUf1dAi0NSB0zCA/NQ43werlzG5/A0AAP//AwBQSwMEFAAGAAgAAAAhAML2F4PgAAAA&#10;CwEAAA8AAABkcnMvZG93bnJldi54bWxMj0FPwzAMhe9I/IfISNxYSqFQlaYTMCGQKg6MXbhljWkL&#10;iVMl2Vb49ZgT3Gy/p+f31cvZWbHHEEdPCs4XGQikzpuRegWb14ezEkRMmoy2nlDBF0ZYNsdHta6M&#10;P9AL7tepFxxCsdIKhpSmSsrYDeh0XPgJibV3H5xOvIZemqAPHO6szLPsSjo9En8Y9IT3A3af651T&#10;gI+DfW437aW/+149Xbz1qzK0H0qdnsy3NyASzunPDL/1uTo03Gnrd2SisAqKPGeWxEKZ8cCOorhm&#10;mK2CnE8gm1r+Z2h+AAAA//8DAFBLAQItABQABgAIAAAAIQC2gziS/gAAAOEBAAATAAAAAAAAAAAA&#10;AAAAAAAAAABbQ29udGVudF9UeXBlc10ueG1sUEsBAi0AFAAGAAgAAAAhADj9If/WAAAAlAEAAAsA&#10;AAAAAAAAAAAAAAAALwEAAF9yZWxzLy5yZWxzUEsBAi0AFAAGAAgAAAAhAC1bAU2vAgAAbgUAAA4A&#10;AAAAAAAAAAAAAAAALgIAAGRycy9lMm9Eb2MueG1sUEsBAi0AFAAGAAgAAAAhAML2F4PgAAAACwEA&#10;AA8AAAAAAAAAAAAAAAAACQUAAGRycy9kb3ducmV2LnhtbFBLBQYAAAAABAAEAPMAAAAWBgAAAAA=&#10;" adj="5792,20122" filled="f">
                      <v:textbox>
                        <w:txbxContent>
                          <w:p w:rsidR="000F2964" w:rsidRPr="00E00C65" w:rsidRDefault="000F2964" w:rsidP="00943A4D">
                            <w:pPr>
                              <w:rPr>
                                <w:color w:val="FFFF00"/>
                              </w:rPr>
                            </w:pPr>
                            <w:r w:rsidRPr="00E00C65">
                              <w:rPr>
                                <w:color w:val="FFFF00"/>
                              </w:rPr>
                              <w:t>2</w:t>
                            </w:r>
                          </w:p>
                        </w:txbxContent>
                      </v:textbox>
                    </v:shape>
                  </w:pict>
                </mc:Fallback>
              </mc:AlternateContent>
            </w:r>
            <w:r>
              <w:rPr>
                <w:noProof/>
              </w:rPr>
              <mc:AlternateContent>
                <mc:Choice Requires="wps">
                  <w:drawing>
                    <wp:anchor distT="0" distB="0" distL="114300" distR="114300" simplePos="0" relativeHeight="251682816" behindDoc="0" locked="0" layoutInCell="1" allowOverlap="1" wp14:anchorId="09E2EDCA" wp14:editId="61C9027F">
                      <wp:simplePos x="0" y="0"/>
                      <wp:positionH relativeFrom="column">
                        <wp:posOffset>2517775</wp:posOffset>
                      </wp:positionH>
                      <wp:positionV relativeFrom="paragraph">
                        <wp:posOffset>1223645</wp:posOffset>
                      </wp:positionV>
                      <wp:extent cx="241300" cy="233680"/>
                      <wp:effectExtent l="0" t="0" r="25400" b="52070"/>
                      <wp:wrapNone/>
                      <wp:docPr id="211" name="AutoShap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300" cy="233680"/>
                              </a:xfrm>
                              <a:prstGeom prst="wedgeRectCallout">
                                <a:avLst>
                                  <a:gd name="adj1" fmla="val -45000"/>
                                  <a:gd name="adj2" fmla="val 44023"/>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F2964" w:rsidRPr="00467394" w:rsidRDefault="000F2964" w:rsidP="00943A4D">
                                  <w:pPr>
                                    <w:rPr>
                                      <w:color w:val="FFFF00"/>
                                    </w:rPr>
                                  </w:pPr>
                                  <w:r w:rsidRPr="00467394">
                                    <w:rPr>
                                      <w:color w:val="FFFF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E2EDCA" id="AutoShape 117" o:spid="_x0000_s1034" type="#_x0000_t61" style="position:absolute;left:0;text-align:left;margin-left:198.25pt;margin-top:96.35pt;width:19pt;height:18.4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djGrgIAAG4FAAAOAAAAZHJzL2Uyb0RvYy54bWysVNuO0zAQfUfiHyy/d3Np2m2jpqtV0iKk&#10;BVYsfIAbO4nBsYPtNl0Q/87YSUvLviBEHhJPPD5zzly8uju2Ah2YNlzJDEc3IUZMlopyWWf486ft&#10;ZIGRsURSIpRkGX5mBt+tX79a9V3KYtUoQZlGACJN2ncZbqzt0iAwZcNaYm5UxyRsVkq3xIKp64Bq&#10;0gN6K4I4DOdBrzTttCqZMfC3GDbx2uNXFSvth6oyzCKRYeBm/Vv79869g/WKpLUmXcPLkQb5BxYt&#10;4RKCnqEKYgnaa/4CquWlVkZV9qZUbaCqipfMawA1UfiHmqeGdMxrgeSY7pwm8/9gy/eHR404zXAc&#10;RRhJ0kKR7vdW+dgoim5divrOpOD51D1qJ9J0D6r8apBUeUNkze61Vn3DCAVikfMPrg44w8BRtOvf&#10;KQr4BPB9to6Vbh0g5AEdfVGez0VhR4tK+Bkn0TSE0pWwFU+n84UvWkDS0+FOG/uGqRa5RYZ7Rmv2&#10;EQqfEyHU3vpA5PBgrK8PHTUS+gX0Vq2Ach+IQJNkFkKYoR8unOJLpyQJ46kXSNIREoicCDh8qbZc&#10;CI8iJOozvJzFM0/BKMGp2/QZ1PUuFxpBZBDsnxH2yq3lFqZD8DbDi7MTSV2qN5L6KJZwMayBiZAO&#10;HDI3qnU59F34YxkuN4vNIpkk8XwzScKimNxv82Qy30a3s2Ja5HkR/XQ8oyRtOKVMOqqniYiSv+u4&#10;cTaHXj7PxJUkc6l865+XyoNrGtBQXtXp69X5HnNtNbSnPe6Ovo8XDs613E7RZ2g6rYahh0sKFo3S&#10;3zHqYeAzbL7tiWYYibcSGncZQXXhhvBGMruNwdCXO7vLHSJLgMqwxWhY5na4Vfad5nUDkSJfdanc&#10;MFXcAinPeGA1GjDUXtN4Ablb49L2Xr+vyfUvAAAA//8DAFBLAwQUAAYACAAAACEAhpLKrOAAAAAL&#10;AQAADwAAAGRycy9kb3ducmV2LnhtbEyPy07DMBBF90j8gzVI7KhD+kyIUwESL4lFG/oB09jEUeNx&#10;FLtt+vcMK1jO3KM7Z4r16DpxMkNoPSm4nyQgDNVet9Qo2H293K1AhIiksfNkFFxMgHV5fVVgrv2Z&#10;tuZUxUZwCYUcFdgY+1zKUFvjMEx8b4izbz84jDwOjdQDnrncdTJNkoV02BJfsNibZ2vqQ3V0Cj6a&#10;KnGfr4e3914nu80Srd1enpS6vRkfH0BEM8Y/GH71WR1Kdtr7I+kgOgXTbDFnlIMsXYJgYjad8Wav&#10;IE2zOciykP9/KH8AAAD//wMAUEsBAi0AFAAGAAgAAAAhALaDOJL+AAAA4QEAABMAAAAAAAAAAAAA&#10;AAAAAAAAAFtDb250ZW50X1R5cGVzXS54bWxQSwECLQAUAAYACAAAACEAOP0h/9YAAACUAQAACwAA&#10;AAAAAAAAAAAAAAAvAQAAX3JlbHMvLnJlbHNQSwECLQAUAAYACAAAACEAeb3Yxq4CAABuBQAADgAA&#10;AAAAAAAAAAAAAAAuAgAAZHJzL2Uyb0RvYy54bWxQSwECLQAUAAYACAAAACEAhpLKrOAAAAALAQAA&#10;DwAAAAAAAAAAAAAAAAAIBQAAZHJzL2Rvd25yZXYueG1sUEsFBgAAAAAEAAQA8wAAABUGAAAAAA==&#10;" adj="1080,20309" filled="f">
                      <v:textbox>
                        <w:txbxContent>
                          <w:p w:rsidR="000F2964" w:rsidRPr="00467394" w:rsidRDefault="000F2964" w:rsidP="00943A4D">
                            <w:pPr>
                              <w:rPr>
                                <w:color w:val="FFFF00"/>
                              </w:rPr>
                            </w:pPr>
                            <w:r w:rsidRPr="00467394">
                              <w:rPr>
                                <w:color w:val="FFFF00"/>
                              </w:rPr>
                              <w:t>3</w:t>
                            </w:r>
                          </w:p>
                        </w:txbxContent>
                      </v:textbox>
                    </v:shape>
                  </w:pict>
                </mc:Fallback>
              </mc:AlternateContent>
            </w:r>
            <w:r w:rsidR="00943A4D" w:rsidRPr="00924E20">
              <w:rPr>
                <w:noProof/>
              </w:rPr>
              <w:drawing>
                <wp:inline distT="0" distB="0" distL="0" distR="0" wp14:anchorId="7771B11A" wp14:editId="5FA43305">
                  <wp:extent cx="5820771" cy="2519467"/>
                  <wp:effectExtent l="0" t="0" r="0" b="0"/>
                  <wp:docPr id="143" name="Imagem 143" descr="C:\Users\clarissa\Documents\F28 floríst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larissa\Documents\F28 florístico.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32200" cy="2524414"/>
                          </a:xfrm>
                          <a:prstGeom prst="rect">
                            <a:avLst/>
                          </a:prstGeom>
                          <a:noFill/>
                          <a:ln>
                            <a:noFill/>
                          </a:ln>
                        </pic:spPr>
                      </pic:pic>
                    </a:graphicData>
                  </a:graphic>
                </wp:inline>
              </w:drawing>
            </w:r>
          </w:p>
        </w:tc>
      </w:tr>
      <w:tr w:rsidR="00943A4D" w:rsidRPr="005C7E13" w:rsidTr="008B5745">
        <w:tc>
          <w:tcPr>
            <w:tcW w:w="4962" w:type="dxa"/>
            <w:tcBorders>
              <w:top w:val="nil"/>
              <w:left w:val="nil"/>
              <w:bottom w:val="nil"/>
              <w:right w:val="nil"/>
            </w:tcBorders>
          </w:tcPr>
          <w:p w:rsidR="00943A4D" w:rsidRPr="005C7E13" w:rsidRDefault="00943A4D" w:rsidP="003F2023">
            <w:pPr>
              <w:tabs>
                <w:tab w:val="left" w:pos="720"/>
                <w:tab w:val="left" w:pos="1080"/>
                <w:tab w:val="left" w:pos="3175"/>
              </w:tabs>
              <w:jc w:val="center"/>
              <w:rPr>
                <w:rStyle w:val="NormalDestaque"/>
                <w:rFonts w:ascii="Verdana" w:hAnsi="Verdana" w:cs="Tahoma"/>
                <w:sz w:val="22"/>
                <w:szCs w:val="22"/>
              </w:rPr>
            </w:pPr>
            <w:r w:rsidRPr="00924E20">
              <w:rPr>
                <w:noProof/>
              </w:rPr>
              <w:drawing>
                <wp:inline distT="0" distB="0" distL="0" distR="0" wp14:anchorId="39463B55" wp14:editId="565EF0A9">
                  <wp:extent cx="3022979" cy="2159635"/>
                  <wp:effectExtent l="0" t="0" r="0" b="0"/>
                  <wp:docPr id="144" name="Imagem 144" descr="G:\CLARISSA  Imagens\2014 - 9 - Campo Jaguari\139MSDCF\DSC08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CLARISSA  Imagens\2014 - 9 - Campo Jaguari\139MSDCF\DSC08143.JPG"/>
                          <pic:cNvPicPr>
                            <a:picLocks noChangeAspect="1" noChangeArrowheads="1"/>
                          </pic:cNvPicPr>
                        </pic:nvPicPr>
                        <pic:blipFill>
                          <a:blip r:embed="rId36" cstate="print">
                            <a:extLst>
                              <a:ext uri="{BEBA8EAE-BF5A-486C-A8C5-ECC9F3942E4B}">
                                <a14:imgProps xmlns:a14="http://schemas.microsoft.com/office/drawing/2010/main">
                                  <a14:imgLayer r:embed="rId37">
                                    <a14:imgEffect>
                                      <a14:brightnessContrast bright="14000" contrast="12000"/>
                                    </a14:imgEffect>
                                  </a14:imgLayer>
                                </a14:imgProps>
                              </a:ext>
                              <a:ext uri="{28A0092B-C50C-407E-A947-70E740481C1C}">
                                <a14:useLocalDpi xmlns:a14="http://schemas.microsoft.com/office/drawing/2010/main" val="0"/>
                              </a:ext>
                            </a:extLst>
                          </a:blip>
                          <a:srcRect/>
                          <a:stretch>
                            <a:fillRect/>
                          </a:stretch>
                        </pic:blipFill>
                        <pic:spPr bwMode="auto">
                          <a:xfrm>
                            <a:off x="0" y="0"/>
                            <a:ext cx="3025917" cy="2161734"/>
                          </a:xfrm>
                          <a:prstGeom prst="rect">
                            <a:avLst/>
                          </a:prstGeom>
                          <a:noFill/>
                          <a:ln>
                            <a:noFill/>
                          </a:ln>
                        </pic:spPr>
                      </pic:pic>
                    </a:graphicData>
                  </a:graphic>
                </wp:inline>
              </w:drawing>
            </w:r>
          </w:p>
        </w:tc>
        <w:tc>
          <w:tcPr>
            <w:tcW w:w="4819" w:type="dxa"/>
            <w:tcBorders>
              <w:top w:val="nil"/>
              <w:left w:val="nil"/>
              <w:bottom w:val="nil"/>
              <w:right w:val="nil"/>
            </w:tcBorders>
          </w:tcPr>
          <w:p w:rsidR="00943A4D" w:rsidRPr="005C7E13" w:rsidRDefault="00943A4D" w:rsidP="003F2023">
            <w:pPr>
              <w:tabs>
                <w:tab w:val="left" w:pos="720"/>
                <w:tab w:val="left" w:pos="1080"/>
                <w:tab w:val="left" w:pos="3175"/>
              </w:tabs>
              <w:jc w:val="center"/>
              <w:rPr>
                <w:rStyle w:val="NormalDestaque"/>
                <w:rFonts w:ascii="Verdana" w:hAnsi="Verdana" w:cs="Tahoma"/>
                <w:sz w:val="22"/>
                <w:szCs w:val="22"/>
              </w:rPr>
            </w:pPr>
            <w:r w:rsidRPr="0004644D">
              <w:rPr>
                <w:rStyle w:val="NormalDestaque"/>
                <w:rFonts w:ascii="Verdana" w:hAnsi="Verdana" w:cs="Tahoma"/>
                <w:noProof/>
              </w:rPr>
              <w:drawing>
                <wp:inline distT="0" distB="0" distL="0" distR="0" wp14:anchorId="134379DC" wp14:editId="1EA6A712">
                  <wp:extent cx="2920621" cy="2159346"/>
                  <wp:effectExtent l="0" t="0" r="0" b="0"/>
                  <wp:docPr id="145" name="Imagem 145" descr="G:\CLARISSA  Imagens\2014 - 9 - Campo Jaguari\139MSDCF\DSC08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CLARISSA  Imagens\2014 - 9 - Campo Jaguari\139MSDCF\DSC08314.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23121" cy="2161194"/>
                          </a:xfrm>
                          <a:prstGeom prst="rect">
                            <a:avLst/>
                          </a:prstGeom>
                          <a:noFill/>
                          <a:ln>
                            <a:noFill/>
                          </a:ln>
                        </pic:spPr>
                      </pic:pic>
                    </a:graphicData>
                  </a:graphic>
                </wp:inline>
              </w:drawing>
            </w:r>
          </w:p>
        </w:tc>
      </w:tr>
      <w:tr w:rsidR="00943A4D" w:rsidRPr="00062D27" w:rsidTr="008B5745">
        <w:tc>
          <w:tcPr>
            <w:tcW w:w="4962" w:type="dxa"/>
            <w:tcBorders>
              <w:top w:val="nil"/>
              <w:left w:val="nil"/>
              <w:bottom w:val="nil"/>
              <w:right w:val="nil"/>
            </w:tcBorders>
          </w:tcPr>
          <w:p w:rsidR="00943A4D" w:rsidRPr="0087116D" w:rsidRDefault="00943A4D" w:rsidP="003F2023">
            <w:pPr>
              <w:rPr>
                <w:rStyle w:val="NormalDestaque"/>
                <w:rFonts w:cs="Arial"/>
                <w:b w:val="0"/>
                <w:color w:val="auto"/>
                <w:sz w:val="18"/>
                <w:szCs w:val="18"/>
              </w:rPr>
            </w:pPr>
            <w:r w:rsidRPr="0087116D">
              <w:rPr>
                <w:rStyle w:val="NormalDestaque"/>
                <w:rFonts w:cs="Arial"/>
                <w:b w:val="0"/>
                <w:color w:val="auto"/>
                <w:sz w:val="18"/>
                <w:szCs w:val="18"/>
              </w:rPr>
              <w:t>Vista geral de fragmento correspondente a área F28 de amostragem, atravessado por via de acesso. Trecho 1.</w:t>
            </w:r>
          </w:p>
        </w:tc>
        <w:tc>
          <w:tcPr>
            <w:tcW w:w="4819" w:type="dxa"/>
            <w:tcBorders>
              <w:top w:val="nil"/>
              <w:left w:val="nil"/>
              <w:bottom w:val="nil"/>
              <w:right w:val="nil"/>
            </w:tcBorders>
          </w:tcPr>
          <w:p w:rsidR="00943A4D" w:rsidRPr="0087116D" w:rsidRDefault="00943A4D" w:rsidP="003F2023">
            <w:pPr>
              <w:rPr>
                <w:rStyle w:val="NormalDestaque"/>
                <w:rFonts w:cs="Arial"/>
                <w:b w:val="0"/>
                <w:color w:val="auto"/>
                <w:sz w:val="18"/>
                <w:szCs w:val="18"/>
              </w:rPr>
            </w:pPr>
            <w:r w:rsidRPr="0087116D">
              <w:rPr>
                <w:rStyle w:val="NormalDestaque"/>
                <w:rFonts w:cs="Arial"/>
                <w:b w:val="0"/>
                <w:color w:val="auto"/>
                <w:sz w:val="18"/>
                <w:szCs w:val="18"/>
              </w:rPr>
              <w:t>Vista interna do dossel em fragmento correspondente a área F8 de amostragem. Trecho 2.</w:t>
            </w:r>
          </w:p>
        </w:tc>
      </w:tr>
    </w:tbl>
    <w:p w:rsidR="00943A4D" w:rsidRPr="0087116D" w:rsidRDefault="00943A4D" w:rsidP="00943A4D">
      <w:pPr>
        <w:tabs>
          <w:tab w:val="left" w:pos="720"/>
          <w:tab w:val="left" w:pos="1080"/>
          <w:tab w:val="left" w:pos="3175"/>
        </w:tabs>
        <w:spacing w:before="120"/>
        <w:rPr>
          <w:rStyle w:val="NormalDestaque"/>
          <w:rFonts w:cs="Arial"/>
          <w:b w:val="0"/>
          <w:color w:val="auto"/>
        </w:rPr>
      </w:pPr>
      <w:r w:rsidRPr="0087116D">
        <w:rPr>
          <w:rStyle w:val="NormalDestaque"/>
          <w:rFonts w:cs="Arial"/>
          <w:color w:val="auto"/>
        </w:rPr>
        <w:t>Área F33</w:t>
      </w:r>
      <w:r w:rsidRPr="0087116D">
        <w:rPr>
          <w:rStyle w:val="NormalDestaque"/>
          <w:rFonts w:cs="Arial"/>
          <w:b w:val="0"/>
          <w:color w:val="auto"/>
        </w:rPr>
        <w:t xml:space="preserve"> - Área amostral situada no município de Nazaré Paulista, </w:t>
      </w:r>
      <w:r>
        <w:rPr>
          <w:rStyle w:val="NormalDestaque"/>
          <w:rFonts w:cs="Arial"/>
          <w:b w:val="0"/>
          <w:color w:val="auto"/>
        </w:rPr>
        <w:t>na Serra do Rio Acima, junto a</w:t>
      </w:r>
      <w:r w:rsidRPr="0087116D">
        <w:rPr>
          <w:rStyle w:val="NormalDestaque"/>
          <w:rFonts w:cs="Arial"/>
          <w:b w:val="0"/>
          <w:color w:val="auto"/>
        </w:rPr>
        <w:t xml:space="preserve"> via de acesso</w:t>
      </w:r>
      <w:r>
        <w:rPr>
          <w:rStyle w:val="NormalDestaque"/>
          <w:rFonts w:cs="Arial"/>
          <w:b w:val="0"/>
          <w:color w:val="auto"/>
        </w:rPr>
        <w:t xml:space="preserve"> à obra</w:t>
      </w:r>
      <w:r w:rsidRPr="0087116D">
        <w:rPr>
          <w:rStyle w:val="NormalDestaque"/>
          <w:rFonts w:cs="Arial"/>
          <w:b w:val="0"/>
          <w:color w:val="auto"/>
        </w:rPr>
        <w:t xml:space="preserve">. Os pontos percorridos para levantamento florístico foram correspondentes a Floresta Ombrófila em estágio sucessional médio a avançado (Trechos 1 e 2) e estágio Médio de regeneração natural (Trecho 3), além de vegetação de várzea. Seu entorno </w:t>
      </w:r>
      <w:r>
        <w:rPr>
          <w:rStyle w:val="NormalDestaque"/>
          <w:rFonts w:cs="Arial"/>
          <w:b w:val="0"/>
          <w:color w:val="auto"/>
        </w:rPr>
        <w:t xml:space="preserve">é </w:t>
      </w:r>
      <w:r w:rsidRPr="0087116D">
        <w:rPr>
          <w:rStyle w:val="NormalDestaque"/>
          <w:rFonts w:cs="Arial"/>
          <w:b w:val="0"/>
          <w:color w:val="auto"/>
        </w:rPr>
        <w:t xml:space="preserve">representado por Floresta Ombrófila. </w:t>
      </w:r>
    </w:p>
    <w:p w:rsidR="00943A4D" w:rsidRPr="0087116D" w:rsidRDefault="00943A4D" w:rsidP="00943A4D">
      <w:pPr>
        <w:tabs>
          <w:tab w:val="left" w:pos="720"/>
          <w:tab w:val="left" w:pos="1080"/>
          <w:tab w:val="left" w:pos="3175"/>
        </w:tabs>
        <w:rPr>
          <w:rStyle w:val="NormalDestaque"/>
          <w:rFonts w:cs="Arial"/>
          <w:b w:val="0"/>
          <w:color w:val="auto"/>
        </w:rPr>
      </w:pPr>
      <w:r w:rsidRPr="0087116D">
        <w:rPr>
          <w:rStyle w:val="NormalDestaque"/>
          <w:rFonts w:cs="Arial"/>
          <w:b w:val="0"/>
          <w:color w:val="auto"/>
        </w:rPr>
        <w:t>Nas áreas de mata o dossel é predominantemente contínuo, com indivíduos arbóreos com altura entre 8 e 10 m, havendo emergentes de até 15 metros de altura. O sub-bosque é estratificado, com ocorrência de Piperaceae (</w:t>
      </w:r>
      <w:r w:rsidRPr="0087116D">
        <w:rPr>
          <w:rStyle w:val="NormalDestaque"/>
          <w:rFonts w:cs="Arial"/>
          <w:b w:val="0"/>
          <w:i/>
          <w:color w:val="auto"/>
        </w:rPr>
        <w:t>Piper</w:t>
      </w:r>
      <w:r w:rsidRPr="0087116D">
        <w:rPr>
          <w:rStyle w:val="NormalDestaque"/>
          <w:rFonts w:cs="Arial"/>
          <w:b w:val="0"/>
          <w:color w:val="auto"/>
        </w:rPr>
        <w:t xml:space="preserve"> spp.), Rubiaceae</w:t>
      </w:r>
      <w:r w:rsidRPr="0087116D">
        <w:rPr>
          <w:rStyle w:val="NormalDestaque"/>
          <w:rFonts w:cs="Arial"/>
          <w:b w:val="0"/>
          <w:i/>
          <w:color w:val="auto"/>
        </w:rPr>
        <w:t xml:space="preserve"> (Psychotria </w:t>
      </w:r>
      <w:r w:rsidRPr="0087116D">
        <w:rPr>
          <w:rStyle w:val="NormalDestaque"/>
          <w:rFonts w:cs="Arial"/>
          <w:b w:val="0"/>
          <w:color w:val="auto"/>
        </w:rPr>
        <w:t>spp.),</w:t>
      </w:r>
      <w:r w:rsidRPr="0087116D">
        <w:rPr>
          <w:rStyle w:val="NormalDestaque"/>
          <w:rFonts w:cs="Arial"/>
          <w:b w:val="0"/>
          <w:i/>
          <w:color w:val="auto"/>
        </w:rPr>
        <w:t xml:space="preserve"> </w:t>
      </w:r>
      <w:r w:rsidRPr="0087116D">
        <w:rPr>
          <w:rStyle w:val="NormalDestaque"/>
          <w:rFonts w:cs="Arial"/>
          <w:b w:val="0"/>
          <w:color w:val="auto"/>
        </w:rPr>
        <w:t>Melastomataceae (</w:t>
      </w:r>
      <w:r w:rsidRPr="0087116D">
        <w:rPr>
          <w:rStyle w:val="NormalDestaque"/>
          <w:rFonts w:cs="Arial"/>
          <w:b w:val="0"/>
          <w:i/>
          <w:color w:val="auto"/>
        </w:rPr>
        <w:t>Leandra</w:t>
      </w:r>
      <w:r w:rsidRPr="0087116D">
        <w:rPr>
          <w:rStyle w:val="NormalDestaque"/>
          <w:rFonts w:cs="Arial"/>
          <w:b w:val="0"/>
          <w:color w:val="auto"/>
        </w:rPr>
        <w:t xml:space="preserve"> spp.) </w:t>
      </w:r>
      <w:r w:rsidRPr="0087116D">
        <w:rPr>
          <w:rStyle w:val="NormalDestaque"/>
          <w:rFonts w:cs="Arial"/>
          <w:b w:val="0"/>
          <w:i/>
          <w:color w:val="auto"/>
        </w:rPr>
        <w:t>e Cyathea cf. delgadii.</w:t>
      </w:r>
      <w:r w:rsidRPr="0087116D">
        <w:rPr>
          <w:rStyle w:val="NormalDestaque"/>
          <w:rFonts w:cs="Arial"/>
          <w:b w:val="0"/>
          <w:color w:val="auto"/>
        </w:rPr>
        <w:t xml:space="preserve"> A ocorrência de lianas é moderada, predominando em áreas de borda. </w:t>
      </w:r>
      <w:r>
        <w:rPr>
          <w:rStyle w:val="NormalDestaque"/>
          <w:rFonts w:cs="Arial"/>
          <w:b w:val="0"/>
          <w:color w:val="auto"/>
        </w:rPr>
        <w:t>R</w:t>
      </w:r>
      <w:r w:rsidRPr="0087116D">
        <w:rPr>
          <w:rStyle w:val="NormalDestaque"/>
          <w:rFonts w:cs="Arial"/>
          <w:b w:val="0"/>
          <w:color w:val="auto"/>
        </w:rPr>
        <w:t>egistra</w:t>
      </w:r>
      <w:r>
        <w:rPr>
          <w:rStyle w:val="NormalDestaque"/>
          <w:rFonts w:cs="Arial"/>
          <w:b w:val="0"/>
          <w:color w:val="auto"/>
        </w:rPr>
        <w:t>-se</w:t>
      </w:r>
      <w:r w:rsidRPr="0087116D">
        <w:rPr>
          <w:rStyle w:val="NormalDestaque"/>
          <w:rFonts w:cs="Arial"/>
          <w:b w:val="0"/>
          <w:color w:val="auto"/>
        </w:rPr>
        <w:t xml:space="preserve"> moderada ocorrência de epífitas, com presença de </w:t>
      </w:r>
      <w:r w:rsidRPr="0087116D">
        <w:rPr>
          <w:rStyle w:val="NormalDestaque"/>
          <w:rFonts w:cs="Arial"/>
          <w:b w:val="0"/>
          <w:i/>
          <w:color w:val="auto"/>
        </w:rPr>
        <w:t>Tillandsia</w:t>
      </w:r>
      <w:r w:rsidRPr="0087116D">
        <w:rPr>
          <w:rStyle w:val="NormalDestaque"/>
          <w:rFonts w:cs="Arial"/>
          <w:b w:val="0"/>
          <w:color w:val="auto"/>
        </w:rPr>
        <w:t xml:space="preserve"> sp., Vriesea spp., </w:t>
      </w:r>
      <w:r w:rsidRPr="0087116D">
        <w:rPr>
          <w:rStyle w:val="NormalDestaque"/>
          <w:rFonts w:cs="Arial"/>
          <w:b w:val="0"/>
          <w:i/>
          <w:color w:val="auto"/>
        </w:rPr>
        <w:t>Aechmea</w:t>
      </w:r>
      <w:r w:rsidRPr="0087116D">
        <w:rPr>
          <w:rStyle w:val="NormalDestaque"/>
          <w:rFonts w:cs="Arial"/>
          <w:b w:val="0"/>
          <w:color w:val="auto"/>
        </w:rPr>
        <w:t xml:space="preserve"> sp. (Bromeliaceae) e </w:t>
      </w:r>
      <w:r w:rsidRPr="0087116D">
        <w:rPr>
          <w:rStyle w:val="NormalDestaque"/>
          <w:rFonts w:cs="Arial"/>
          <w:b w:val="0"/>
          <w:i/>
          <w:color w:val="auto"/>
        </w:rPr>
        <w:t>Microgramma</w:t>
      </w:r>
      <w:r w:rsidRPr="0087116D">
        <w:rPr>
          <w:rStyle w:val="NormalDestaque"/>
          <w:rFonts w:cs="Arial"/>
          <w:b w:val="0"/>
          <w:color w:val="auto"/>
        </w:rPr>
        <w:t xml:space="preserve"> spp. (Polypodiaceae). A vegetação de várzea é dominada por </w:t>
      </w:r>
      <w:r w:rsidRPr="0087116D">
        <w:rPr>
          <w:rStyle w:val="NormalDestaque"/>
          <w:rFonts w:cs="Arial"/>
          <w:b w:val="0"/>
          <w:i/>
          <w:color w:val="auto"/>
        </w:rPr>
        <w:t>Schoenoplectus californicus</w:t>
      </w:r>
      <w:r w:rsidRPr="0087116D">
        <w:rPr>
          <w:rStyle w:val="NormalDestaque"/>
          <w:rFonts w:cs="Arial"/>
          <w:b w:val="0"/>
          <w:color w:val="auto"/>
        </w:rPr>
        <w:t>, gramíneas e ciperáceas.</w:t>
      </w:r>
    </w:p>
    <w:p w:rsidR="00943A4D" w:rsidRPr="0087116D" w:rsidRDefault="00943A4D" w:rsidP="00943A4D">
      <w:pPr>
        <w:tabs>
          <w:tab w:val="left" w:pos="720"/>
          <w:tab w:val="left" w:pos="1080"/>
          <w:tab w:val="left" w:pos="3175"/>
        </w:tabs>
        <w:rPr>
          <w:rStyle w:val="NormalDestaque"/>
          <w:rFonts w:cs="Arial"/>
          <w:b w:val="0"/>
          <w:color w:val="auto"/>
        </w:rPr>
      </w:pPr>
      <w:r>
        <w:rPr>
          <w:rStyle w:val="NormalDestaque"/>
          <w:rFonts w:cs="Arial"/>
          <w:b w:val="0"/>
          <w:color w:val="auto"/>
        </w:rPr>
        <w:t>As e</w:t>
      </w:r>
      <w:r w:rsidRPr="0087116D">
        <w:rPr>
          <w:rStyle w:val="NormalDestaque"/>
          <w:rFonts w:cs="Arial"/>
          <w:b w:val="0"/>
          <w:color w:val="auto"/>
        </w:rPr>
        <w:t xml:space="preserve">spécies arbóreas predominantes são </w:t>
      </w:r>
      <w:r w:rsidRPr="0087116D">
        <w:rPr>
          <w:rStyle w:val="NormalDestaque"/>
          <w:rFonts w:cs="Arial"/>
          <w:b w:val="0"/>
          <w:i/>
          <w:color w:val="auto"/>
        </w:rPr>
        <w:t xml:space="preserve">Tibouchina </w:t>
      </w:r>
      <w:r w:rsidRPr="0087116D">
        <w:rPr>
          <w:rStyle w:val="NormalDestaque"/>
          <w:rFonts w:cs="Arial"/>
          <w:b w:val="0"/>
          <w:color w:val="auto"/>
        </w:rPr>
        <w:t>spp.,</w:t>
      </w:r>
      <w:r w:rsidRPr="0087116D">
        <w:rPr>
          <w:rStyle w:val="NormalDestaque"/>
          <w:rFonts w:cs="Arial"/>
          <w:b w:val="0"/>
          <w:i/>
          <w:color w:val="auto"/>
        </w:rPr>
        <w:t xml:space="preserve"> Miconia </w:t>
      </w:r>
      <w:r w:rsidRPr="0087116D">
        <w:rPr>
          <w:rStyle w:val="NormalDestaque"/>
          <w:rFonts w:cs="Arial"/>
          <w:b w:val="0"/>
          <w:color w:val="auto"/>
        </w:rPr>
        <w:t>spp.,</w:t>
      </w:r>
      <w:r w:rsidRPr="0087116D">
        <w:rPr>
          <w:rStyle w:val="NormalDestaque"/>
          <w:rFonts w:cs="Arial"/>
          <w:b w:val="0"/>
          <w:i/>
          <w:color w:val="auto"/>
        </w:rPr>
        <w:t xml:space="preserve"> Alchornea sidifolia, Anadenanthera colubrina, Croton floribundus, Cupania vernalis, Myrsine spp., Cedrela </w:t>
      </w:r>
      <w:r w:rsidRPr="0087116D">
        <w:rPr>
          <w:rStyle w:val="NormalDestaque"/>
          <w:rFonts w:cs="Arial"/>
          <w:b w:val="0"/>
          <w:color w:val="auto"/>
        </w:rPr>
        <w:t>spp.,</w:t>
      </w:r>
      <w:r w:rsidRPr="0087116D">
        <w:rPr>
          <w:rStyle w:val="NormalDestaque"/>
          <w:rFonts w:cs="Arial"/>
          <w:b w:val="0"/>
          <w:i/>
          <w:color w:val="auto"/>
        </w:rPr>
        <w:t xml:space="preserve"> Machaerium nyctitans, Casearia sylvestris, Cecropia </w:t>
      </w:r>
      <w:r w:rsidRPr="0087116D">
        <w:rPr>
          <w:rStyle w:val="NormalDestaque"/>
          <w:rFonts w:cs="Arial"/>
          <w:b w:val="0"/>
          <w:color w:val="auto"/>
        </w:rPr>
        <w:t>spp.,</w:t>
      </w:r>
      <w:r w:rsidRPr="0087116D">
        <w:rPr>
          <w:rStyle w:val="NormalDestaque"/>
          <w:rFonts w:cs="Arial"/>
          <w:b w:val="0"/>
          <w:i/>
          <w:color w:val="auto"/>
        </w:rPr>
        <w:t xml:space="preserve"> Aspidosperma cf. olivaceum, Vernonanthura divaricata, Syagrus romanzoffiiana, Matayba spp</w:t>
      </w:r>
      <w:r>
        <w:rPr>
          <w:rStyle w:val="NormalDestaque"/>
          <w:rFonts w:cs="Arial"/>
          <w:b w:val="0"/>
          <w:i/>
          <w:color w:val="auto"/>
        </w:rPr>
        <w:t>.</w:t>
      </w:r>
      <w:r w:rsidRPr="0087116D">
        <w:rPr>
          <w:rStyle w:val="NormalDestaque"/>
          <w:rFonts w:cs="Arial"/>
          <w:b w:val="0"/>
          <w:color w:val="auto"/>
        </w:rPr>
        <w:t>, com ocorrência de</w:t>
      </w:r>
      <w:r w:rsidRPr="0087116D">
        <w:rPr>
          <w:rStyle w:val="NormalDestaque"/>
          <w:rFonts w:cs="Arial"/>
          <w:b w:val="0"/>
          <w:i/>
          <w:color w:val="auto"/>
        </w:rPr>
        <w:t xml:space="preserve"> Machaerium villosum</w:t>
      </w:r>
      <w:r w:rsidRPr="0087116D">
        <w:rPr>
          <w:rStyle w:val="NormalDestaque"/>
          <w:rFonts w:cs="Arial"/>
          <w:b w:val="0"/>
          <w:color w:val="auto"/>
        </w:rPr>
        <w:t>.</w:t>
      </w:r>
    </w:p>
    <w:p w:rsidR="00943A4D" w:rsidRPr="008B5745" w:rsidRDefault="008B5745" w:rsidP="008B5745">
      <w:pPr>
        <w:pStyle w:val="Quadro"/>
        <w:rPr>
          <w:bCs/>
        </w:rPr>
      </w:pPr>
      <w:r w:rsidRPr="008B5745">
        <w:rPr>
          <w:b w:val="0"/>
          <w:bCs/>
        </w:rPr>
        <w:lastRenderedPageBreak/>
        <w:t>Figura 6.4.</w:t>
      </w:r>
      <w:r w:rsidR="00200A8F">
        <w:rPr>
          <w:b w:val="0"/>
          <w:bCs/>
        </w:rPr>
        <w:t>2-5.</w:t>
      </w:r>
      <w:r w:rsidRPr="008B5745">
        <w:rPr>
          <w:bCs/>
        </w:rPr>
        <w:t xml:space="preserve"> Transeções percorridas para realização do levanta</w:t>
      </w:r>
      <w:r w:rsidR="00200A8F">
        <w:rPr>
          <w:bCs/>
        </w:rPr>
        <w:t>mento florístico na área F3</w:t>
      </w:r>
      <w:r w:rsidR="0026570F">
        <w:rPr>
          <w:bCs/>
        </w:rPr>
        <w:t>3</w:t>
      </w:r>
      <w:r w:rsidR="00200A8F">
        <w:rPr>
          <w:bCs/>
        </w:rPr>
        <w:t xml:space="preserve"> (e</w:t>
      </w:r>
      <w:r w:rsidRPr="008B5745">
        <w:rPr>
          <w:bCs/>
        </w:rPr>
        <w:t>m amarelo)</w:t>
      </w:r>
    </w:p>
    <w:tbl>
      <w:tblPr>
        <w:tblStyle w:val="Tabelacomgrade"/>
        <w:tblW w:w="9781" w:type="dxa"/>
        <w:tblInd w:w="108" w:type="dxa"/>
        <w:tblLayout w:type="fixed"/>
        <w:tblLook w:val="04A0" w:firstRow="1" w:lastRow="0" w:firstColumn="1" w:lastColumn="0" w:noHBand="0" w:noVBand="1"/>
      </w:tblPr>
      <w:tblGrid>
        <w:gridCol w:w="4962"/>
        <w:gridCol w:w="4819"/>
      </w:tblGrid>
      <w:tr w:rsidR="00943A4D" w:rsidRPr="005C7E13" w:rsidTr="008B5745">
        <w:tc>
          <w:tcPr>
            <w:tcW w:w="9781" w:type="dxa"/>
            <w:gridSpan w:val="2"/>
            <w:tcBorders>
              <w:top w:val="nil"/>
              <w:left w:val="nil"/>
              <w:bottom w:val="nil"/>
              <w:right w:val="nil"/>
            </w:tcBorders>
          </w:tcPr>
          <w:p w:rsidR="00943A4D" w:rsidRPr="005C7E13" w:rsidRDefault="00056696" w:rsidP="003F2023">
            <w:pPr>
              <w:tabs>
                <w:tab w:val="left" w:pos="720"/>
                <w:tab w:val="left" w:pos="1080"/>
                <w:tab w:val="left" w:pos="3175"/>
              </w:tabs>
              <w:jc w:val="center"/>
              <w:rPr>
                <w:rStyle w:val="NormalDestaque"/>
                <w:rFonts w:ascii="Verdana" w:hAnsi="Verdana" w:cs="Tahoma"/>
                <w:sz w:val="22"/>
                <w:szCs w:val="22"/>
              </w:rPr>
            </w:pPr>
            <w:r>
              <w:rPr>
                <w:noProof/>
              </w:rPr>
              <mc:AlternateContent>
                <mc:Choice Requires="wps">
                  <w:drawing>
                    <wp:anchor distT="0" distB="0" distL="114300" distR="114300" simplePos="0" relativeHeight="251691008" behindDoc="0" locked="0" layoutInCell="1" allowOverlap="1" wp14:anchorId="7A640F37" wp14:editId="6BA89B3A">
                      <wp:simplePos x="0" y="0"/>
                      <wp:positionH relativeFrom="column">
                        <wp:posOffset>1091565</wp:posOffset>
                      </wp:positionH>
                      <wp:positionV relativeFrom="paragraph">
                        <wp:posOffset>1734185</wp:posOffset>
                      </wp:positionV>
                      <wp:extent cx="241300" cy="255905"/>
                      <wp:effectExtent l="38100" t="0" r="25400" b="29845"/>
                      <wp:wrapNone/>
                      <wp:docPr id="210" name="AutoShap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300" cy="255905"/>
                              </a:xfrm>
                              <a:prstGeom prst="wedgeRectCallout">
                                <a:avLst>
                                  <a:gd name="adj1" fmla="val -43685"/>
                                  <a:gd name="adj2" fmla="val 52731"/>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F2964" w:rsidRPr="000C4471" w:rsidRDefault="000F2964" w:rsidP="00943A4D">
                                  <w:pPr>
                                    <w:rPr>
                                      <w:color w:val="FFFF00"/>
                                    </w:rPr>
                                  </w:pPr>
                                  <w:r w:rsidRPr="000C4471">
                                    <w:rPr>
                                      <w:color w:val="FFFF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640F37" id="AutoShape 125" o:spid="_x0000_s1035" type="#_x0000_t61" style="position:absolute;left:0;text-align:left;margin-left:85.95pt;margin-top:136.55pt;width:19pt;height:20.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3sergIAAG4FAAAOAAAAZHJzL2Uyb0RvYy54bWysVF1v0zAUfUfiP1h+7/LRtGujpdOUtAhp&#10;wMTgB7ixkxgcO9hu04H471w7acnYC0LkIbHj6+Nzzr3XN7enVqAj04YrmeHoKsSIyVJRLusMf/60&#10;m60wMpZISoSSLMNPzODbzetXN32Xslg1SlCmEYBIk/ZdhhtruzQITNmwlpgr1TEJi5XSLbEw1XVA&#10;NekBvRVBHIbLoFeadlqVzBj4WwyLeOPxq4qV9kNVGWaRyDBws/6t/Xvv3sHmhqS1Jl3Dy5EG+QcW&#10;LeESDr1AFcQSdND8BVTLS62MquxVqdpAVRUvmdcAaqLwDzWPDemY1wLmmO5ik/l/sOX744NGnGY4&#10;jsAfSVpI0t3BKn82iuKFs6jvTAqRj92DdiJNd6/KrwZJlTdE1uxOa9U3jFAgFrn44NkGNzGwFe37&#10;d4oCPgF879ap0q0DBB/QySfl6ZIUdrKohJ9xEs1DoFbCUrxYrEPPKCDpeXOnjX3DVIvcIMM9ozX7&#10;CInPiRDqYP1B5HhvrM8PHTUS+iXCqGoFpPtIBJol8+XKQ0MSJ0HxNGgRX88HgSQdIYHImYDDl2rH&#10;hfBVJSTqM7xegIXeNCU4dYt+out9LjSCk0Gwf7xv4O00rOUWukPwNsOrSxBJndVbSf0plnAxjIGJ&#10;kA4cnBvVOg99Ff5Yh+vtartKZkm83M6SsChmd7s8mS130fWimBd5XkQ/Hc8oSRtOKZOO6rkjouTv&#10;Km7szaGWLz3xTJKZKt/556Xy4DkNKCiv6vz16nyNubIaytOe9idfx+tzwe4VfYKi02poerikYNAo&#10;/R2jHho+w+bbgWiGkXgroXDXUZK4G8JPksV1DBM9XdlPV4gsASrDFqNhmNvhVjl0mtcNnBT5rEvl&#10;mqni9twVA6uxRaCpvabxAnK3xnTuo35fk5tfAAAA//8DAFBLAwQUAAYACAAAACEATkFUeeEAAAAL&#10;AQAADwAAAGRycy9kb3ducmV2LnhtbEyPTUvDQBCG74L/YRnBi9jNR7EmZlNKQSqKoLV43iZjEtyd&#10;XbLbNvrrHU96fGce3nmmWk7WiCOOYXCkIJ0lIJAa1w7UKdi93V/fgghRU6uNI1TwhQGW9flZpcvW&#10;negVj9vYCS6hUGoFfYy+lDI0PVodZs4j8e7DjVZHjmMn21GfuNwamSXJjbR6IL7Qa4/rHpvP7cEq&#10;WD89r/xL8mDevwu981cbwvnjRqnLi2l1ByLiFP9g+NVndajZae8O1AZhOC/SglEF2SJPQTCRJQVP&#10;9gryNJ+DrCv5/4f6BwAA//8DAFBLAQItABQABgAIAAAAIQC2gziS/gAAAOEBAAATAAAAAAAAAAAA&#10;AAAAAAAAAABbQ29udGVudF9UeXBlc10ueG1sUEsBAi0AFAAGAAgAAAAhADj9If/WAAAAlAEAAAsA&#10;AAAAAAAAAAAAAAAALwEAAF9yZWxzLy5yZWxzUEsBAi0AFAAGAAgAAAAhAGJjex6uAgAAbgUAAA4A&#10;AAAAAAAAAAAAAAAALgIAAGRycy9lMm9Eb2MueG1sUEsBAi0AFAAGAAgAAAAhAE5BVHnhAAAACwEA&#10;AA8AAAAAAAAAAAAAAAAACAUAAGRycy9kb3ducmV2LnhtbFBLBQYAAAAABAAEAPMAAAAWBgAAAAA=&#10;" adj="1364,22190" filled="f">
                      <v:textbox>
                        <w:txbxContent>
                          <w:p w:rsidR="000F2964" w:rsidRPr="000C4471" w:rsidRDefault="000F2964" w:rsidP="00943A4D">
                            <w:pPr>
                              <w:rPr>
                                <w:color w:val="FFFF00"/>
                              </w:rPr>
                            </w:pPr>
                            <w:r w:rsidRPr="000C4471">
                              <w:rPr>
                                <w:color w:val="FFFF00"/>
                              </w:rPr>
                              <w:t>3</w:t>
                            </w:r>
                          </w:p>
                        </w:txbxContent>
                      </v:textbox>
                    </v:shape>
                  </w:pict>
                </mc:Fallback>
              </mc:AlternateContent>
            </w:r>
            <w:r>
              <w:rPr>
                <w:noProof/>
              </w:rPr>
              <mc:AlternateContent>
                <mc:Choice Requires="wps">
                  <w:drawing>
                    <wp:anchor distT="0" distB="0" distL="114300" distR="114300" simplePos="0" relativeHeight="251689984" behindDoc="0" locked="0" layoutInCell="1" allowOverlap="1" wp14:anchorId="3E57EFCA" wp14:editId="4E96EBA1">
                      <wp:simplePos x="0" y="0"/>
                      <wp:positionH relativeFrom="column">
                        <wp:posOffset>3168650</wp:posOffset>
                      </wp:positionH>
                      <wp:positionV relativeFrom="paragraph">
                        <wp:posOffset>1119505</wp:posOffset>
                      </wp:positionV>
                      <wp:extent cx="263525" cy="226695"/>
                      <wp:effectExtent l="0" t="0" r="22225" b="97155"/>
                      <wp:wrapNone/>
                      <wp:docPr id="209" name="AutoShap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3525" cy="226695"/>
                              </a:xfrm>
                              <a:prstGeom prst="wedgeRectCallout">
                                <a:avLst>
                                  <a:gd name="adj1" fmla="val -43750"/>
                                  <a:gd name="adj2" fmla="val 70000"/>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F2964" w:rsidRDefault="000F2964" w:rsidP="00943A4D">
                                  <w:r w:rsidRPr="000C4471">
                                    <w:rPr>
                                      <w:color w:val="FFFF00"/>
                                    </w:rPr>
                                    <w:t>2</w:t>
                                  </w:r>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57EFCA" id="AutoShape 124" o:spid="_x0000_s1036" type="#_x0000_t61" style="position:absolute;left:0;text-align:left;margin-left:249.5pt;margin-top:88.15pt;width:20.75pt;height:17.8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jPHqwIAAG8FAAAOAAAAZHJzL2Uyb0RvYy54bWysVNuO0zAQfUfiHyy/d3PZ9BZtulolLUJa&#10;YMXCB7ixkxgcO9hu0wXx74ydtGTZF4Twg2PH4zNzZs745vbUCnRk2nAlMxxdhRgxWSrKZZ3hz592&#10;sxVGxhJJiVCSZfiJGXy7ef3qpu9SFqtGCco0AhBp0r7LcGNtlwaBKRvWEnOlOibhsFK6JRa2ug6o&#10;Jj2gtyKIw3AR9ErTTquSGQN/i+EQbzx+VbHSfqgqwywSGYbYrJ+1n/duDjY3JK016RpejmGQf4ii&#10;JVyC0wtUQSxBB81fQLW81Mqoyl6Vqg1UVfGSeQ7AJgr/YPPYkI55LpAc013SZP4fbPn++KARpxmO&#10;wzVGkrRQpLuDVd43iuLEpajvTAqWj92DdiRNd6/KrwZJlTdE1uxOa9U3jFAILHL2wbMLbmPgKtr3&#10;7xQFfAL4PlunSrcOEPKATr4oT5eisJNFJfyMF9fzeI5RCUdxvFis594DSc+XO23sG6Za5BYZ7hmt&#10;2UcofE6EUAfrHZHjvbG+PnTkSOiXCKOqFVDuIxFollwv52c9TIziqdEyhDG6HyEDkp4DcPhS7bgQ&#10;XlVCoj7Daxe8T5oSnLpDv9H1PhcagWcg7McIa6ZmLbfQHYK3GV5djEjqUr2V1HuxhIthDZEI6cAh&#10;cyNbl0Ovwh/rcL1dbVfJLIkX21kSFsXsbpcns8UuWs6L6yLPi+inizNK0oZTyqQL9dwRUfJ3iht7&#10;c9DypSeeUTJT5js/XjIPnocBgvKszl/PzmvMyWqQpz3tT17HkS+Q09xe0SdQnVZD18MrBYtG6e8Y&#10;9dDxGTbfDkQzjMRbCcpdR0ningi/SebLGDZ6erKfnhBZAlSGLUbDMrfDs3LoNK8b8BT5skvluqni&#10;9twWQ1Rjj0BXe1LjC+SejeneW/1+Jze/AAAA//8DAFBLAwQUAAYACAAAACEA+3WX6eIAAAALAQAA&#10;DwAAAGRycy9kb3ducmV2LnhtbEyPS0/DMBCE70j8B2uRuCBqt7QNDXEqHqpUcSMgIW5uvHmIeJ3G&#10;bhv+fZcTHEczmvkmW4+uE0ccQutJw3SiQCCV3rZUa/h439zegwjRkDWdJ9TwgwHW+eVFZlLrT/SG&#10;xyLWgksopEZDE2OfShnKBp0JE98jsVf5wZnIcqilHcyJy10nZ0otpTMt8UJjenxusPwuDk7D1yZ5&#10;en3ZKm/3+z7ZVlh9FjdS6+ur8fEBRMQx/oXhF5/RIWemnT+QDaLTMF+t+EtkI1negeDEYq4WIHYa&#10;ZtOZApln8v+H/AwAAP//AwBQSwECLQAUAAYACAAAACEAtoM4kv4AAADhAQAAEwAAAAAAAAAAAAAA&#10;AAAAAAAAW0NvbnRlbnRfVHlwZXNdLnhtbFBLAQItABQABgAIAAAAIQA4/SH/1gAAAJQBAAALAAAA&#10;AAAAAAAAAAAAAC8BAABfcmVscy8ucmVsc1BLAQItABQABgAIAAAAIQDOHjPHqwIAAG8FAAAOAAAA&#10;AAAAAAAAAAAAAC4CAABkcnMvZTJvRG9jLnhtbFBLAQItABQABgAIAAAAIQD7dZfp4gAAAAsBAAAP&#10;AAAAAAAAAAAAAAAAAAUFAABkcnMvZG93bnJldi54bWxQSwUGAAAAAAQABADzAAAAFAYAAAAA&#10;" filled="f">
                      <v:textbox>
                        <w:txbxContent>
                          <w:p w:rsidR="000F2964" w:rsidRDefault="000F2964" w:rsidP="00943A4D">
                            <w:r w:rsidRPr="000C4471">
                              <w:rPr>
                                <w:color w:val="FFFF00"/>
                              </w:rPr>
                              <w:t>2</w:t>
                            </w:r>
                            <w:r>
                              <w:t>2</w:t>
                            </w:r>
                          </w:p>
                        </w:txbxContent>
                      </v:textbox>
                    </v:shape>
                  </w:pict>
                </mc:Fallback>
              </mc:AlternateContent>
            </w:r>
            <w:r>
              <w:rPr>
                <w:noProof/>
              </w:rPr>
              <mc:AlternateContent>
                <mc:Choice Requires="wps">
                  <w:drawing>
                    <wp:anchor distT="0" distB="0" distL="114300" distR="114300" simplePos="0" relativeHeight="251688960" behindDoc="0" locked="0" layoutInCell="1" allowOverlap="1" wp14:anchorId="0EDA51C3" wp14:editId="687F6A3F">
                      <wp:simplePos x="0" y="0"/>
                      <wp:positionH relativeFrom="column">
                        <wp:posOffset>4471035</wp:posOffset>
                      </wp:positionH>
                      <wp:positionV relativeFrom="paragraph">
                        <wp:posOffset>790575</wp:posOffset>
                      </wp:positionV>
                      <wp:extent cx="307340" cy="219075"/>
                      <wp:effectExtent l="0" t="0" r="16510" b="104775"/>
                      <wp:wrapNone/>
                      <wp:docPr id="208" name="AutoShap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7340" cy="219075"/>
                              </a:xfrm>
                              <a:prstGeom prst="wedgeRectCallout">
                                <a:avLst>
                                  <a:gd name="adj1" fmla="val -43750"/>
                                  <a:gd name="adj2" fmla="val 70000"/>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F2964" w:rsidRPr="00D53D2D" w:rsidRDefault="000F2964" w:rsidP="00943A4D">
                                  <w:pPr>
                                    <w:rPr>
                                      <w:color w:val="FFFF00"/>
                                    </w:rPr>
                                  </w:pPr>
                                  <w:r w:rsidRPr="00D53D2D">
                                    <w:rPr>
                                      <w:color w:val="FFFF0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DA51C3" id="AutoShape 123" o:spid="_x0000_s1037" type="#_x0000_t61" style="position:absolute;left:0;text-align:left;margin-left:352.05pt;margin-top:62.25pt;width:24.2pt;height:17.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nelqwIAAG8FAAAOAAAAZHJzL2Uyb0RvYy54bWysVNuO0zAQfUfiHyy/d3Npum2jpqtV0iKk&#10;BVYsfIAbO4nBsYPtNl0Q/87YSUvLviCEHxw7Hp+ZM3PGq7tjK9CBacOVzHB0E2LEZKkol3WGP3/a&#10;ThYYGUskJUJJluFnZvDd+vWrVd+lLFaNEpRpBCDSpH2X4cbaLg0CUzasJeZGdUzCYaV0SyxsdR1Q&#10;TXpAb0UQh+Ft0CtNO61KZgz8LYZDvPb4VcVK+6GqDLNIZBhis37Wft65OVivSFpr0jW8HMMg/xBF&#10;S7gEp2eogliC9pq/gGp5qZVRlb0pVRuoquIl8xyATRT+weapIR3zXCA5pjunyfw/2PL94VEjTjMc&#10;h1AqSVoo0v3eKu8bRfHUpajvTAqWT92jdiRN96DKrwZJlTdE1uxea9U3jFAILHL2wdUFtzFwFe36&#10;d4oCPgF8n61jpVsHCHlAR1+U53NR2NGiEn5Ow/k0gdKVcBRHy3A+8x5IerrcaWPfMNUit8hwz2jN&#10;PkLhcyKE2lvviBwejPX1oSNHQr9EGFWtgHIfiECTZDqfnfRwYRRfGs1DGKP7ETIg6SkAhy/Vlgvh&#10;VSUk6jO8nMUzH4JRglN36DOo610uNALPQNiPEfbKrOUWukPwNsOLsxFJXao3knovlnAxrCESIR04&#10;ZG5k63LoVfhjGS43i80imSTx7WaShEUxud/myeR2G81nxbTI8yL66eKMkrThlDLpQj11RJT8neLG&#10;3hy0fO6JK0rmkvnWj5fMg+swQFCe1enr2XmNOVkN8rTH3dHrOPIKdJrbKfoMqtNq6Hp4pWDRKP0d&#10;ox46PsPm255ohpF4K0G5yyhxOrN+k8zmMWz05cnu8oTIEqAybDEalrkdnpV9p3ndgKfIl10q100V&#10;t6e2GKIaewS62pMaXyD3bFzuvdXvd3L9CwAA//8DAFBLAwQUAAYACAAAACEAE3BjGOEAAAALAQAA&#10;DwAAAGRycy9kb3ducmV2LnhtbEyPS0/DMBCE70j8B2uRuCBqN2oIhDgVD1WquBGQEDc33jxEvE5j&#10;tw3/nuUEt92d0ew3xXp2gzjiFHpPGpYLBQKp9ranVsP72+b6FkSIhqwZPKGGbwywLs/PCpNbf6JX&#10;PFaxFRxCITcauhjHXMpQd+hMWPgRibXGT85EXqdW2smcONwNMlHqRjrTE3/ozIhPHdZf1cFp+Nxk&#10;jy/PW+Xtfj9m2wabj+pKan15MT/cg4g4xz8z/OIzOpTMtPMHskEMGjK1WrKVhWSVgmBHliY87PiS&#10;3imQZSH/dyh/AAAA//8DAFBLAQItABQABgAIAAAAIQC2gziS/gAAAOEBAAATAAAAAAAAAAAAAAAA&#10;AAAAAABbQ29udGVudF9UeXBlc10ueG1sUEsBAi0AFAAGAAgAAAAhADj9If/WAAAAlAEAAAsAAAAA&#10;AAAAAAAAAAAALwEAAF9yZWxzLy5yZWxzUEsBAi0AFAAGAAgAAAAhANDCd6WrAgAAbwUAAA4AAAAA&#10;AAAAAAAAAAAALgIAAGRycy9lMm9Eb2MueG1sUEsBAi0AFAAGAAgAAAAhABNwYxjhAAAACwEAAA8A&#10;AAAAAAAAAAAAAAAABQUAAGRycy9kb3ducmV2LnhtbFBLBQYAAAAABAAEAPMAAAATBgAAAAA=&#10;" filled="f">
                      <v:textbox>
                        <w:txbxContent>
                          <w:p w:rsidR="000F2964" w:rsidRPr="00D53D2D" w:rsidRDefault="000F2964" w:rsidP="00943A4D">
                            <w:pPr>
                              <w:rPr>
                                <w:color w:val="FFFF00"/>
                              </w:rPr>
                            </w:pPr>
                            <w:r w:rsidRPr="00D53D2D">
                              <w:rPr>
                                <w:color w:val="FFFF00"/>
                              </w:rPr>
                              <w:t>1</w:t>
                            </w:r>
                          </w:p>
                        </w:txbxContent>
                      </v:textbox>
                    </v:shape>
                  </w:pict>
                </mc:Fallback>
              </mc:AlternateContent>
            </w:r>
            <w:r w:rsidR="00943A4D" w:rsidRPr="007343C4">
              <w:rPr>
                <w:noProof/>
              </w:rPr>
              <w:drawing>
                <wp:inline distT="0" distB="0" distL="0" distR="0" wp14:anchorId="7B1BECDE" wp14:editId="795AF5C2">
                  <wp:extent cx="5559425" cy="2640788"/>
                  <wp:effectExtent l="0" t="0" r="0" b="0"/>
                  <wp:docPr id="155" name="Imagem 155" descr="C:\Users\clarissa\Documents\F33 de no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arissa\Documents\F33 de novo.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578624" cy="2649908"/>
                          </a:xfrm>
                          <a:prstGeom prst="rect">
                            <a:avLst/>
                          </a:prstGeom>
                          <a:noFill/>
                          <a:ln>
                            <a:noFill/>
                          </a:ln>
                        </pic:spPr>
                      </pic:pic>
                    </a:graphicData>
                  </a:graphic>
                </wp:inline>
              </w:drawing>
            </w:r>
          </w:p>
        </w:tc>
      </w:tr>
      <w:tr w:rsidR="00943A4D" w:rsidRPr="005C7E13" w:rsidTr="008B5745">
        <w:tc>
          <w:tcPr>
            <w:tcW w:w="4962" w:type="dxa"/>
            <w:tcBorders>
              <w:top w:val="nil"/>
              <w:left w:val="nil"/>
              <w:bottom w:val="nil"/>
              <w:right w:val="nil"/>
            </w:tcBorders>
          </w:tcPr>
          <w:p w:rsidR="00943A4D" w:rsidRPr="005C7E13" w:rsidRDefault="00943A4D" w:rsidP="003F2023">
            <w:pPr>
              <w:tabs>
                <w:tab w:val="left" w:pos="720"/>
                <w:tab w:val="left" w:pos="1080"/>
                <w:tab w:val="left" w:pos="3175"/>
              </w:tabs>
              <w:jc w:val="center"/>
              <w:rPr>
                <w:rStyle w:val="NormalDestaque"/>
                <w:rFonts w:ascii="Verdana" w:hAnsi="Verdana" w:cs="Tahoma"/>
                <w:sz w:val="22"/>
                <w:szCs w:val="22"/>
              </w:rPr>
            </w:pPr>
            <w:r w:rsidRPr="00B100EB">
              <w:rPr>
                <w:noProof/>
              </w:rPr>
              <w:drawing>
                <wp:inline distT="0" distB="0" distL="0" distR="0" wp14:anchorId="31931015" wp14:editId="71DCD22A">
                  <wp:extent cx="2883600" cy="2160000"/>
                  <wp:effectExtent l="0" t="0" r="0" b="0"/>
                  <wp:docPr id="156" name="Imagem 156" descr="G:\CLARISSA  Imagens\2014 - 9 - Campo Jaguari\142___09\IMG_0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CLARISSA  Imagens\2014 - 9 - Campo Jaguari\142___09\IMG_0179.JPG"/>
                          <pic:cNvPicPr>
                            <a:picLocks noChangeAspect="1" noChangeArrowheads="1"/>
                          </pic:cNvPicPr>
                        </pic:nvPicPr>
                        <pic:blipFill>
                          <a:blip r:embed="rId40" cstate="print">
                            <a:extLst>
                              <a:ext uri="{BEBA8EAE-BF5A-486C-A8C5-ECC9F3942E4B}">
                                <a14:imgProps xmlns:a14="http://schemas.microsoft.com/office/drawing/2010/main">
                                  <a14:imgLayer r:embed="rId41">
                                    <a14:imgEffect>
                                      <a14:colorTemperature colorTemp="7100"/>
                                    </a14:imgEffect>
                                    <a14:imgEffect>
                                      <a14:saturation sat="116000"/>
                                    </a14:imgEffect>
                                  </a14:imgLayer>
                                </a14:imgProps>
                              </a:ex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tc>
        <w:tc>
          <w:tcPr>
            <w:tcW w:w="4819" w:type="dxa"/>
            <w:tcBorders>
              <w:top w:val="nil"/>
              <w:left w:val="nil"/>
              <w:bottom w:val="nil"/>
              <w:right w:val="nil"/>
            </w:tcBorders>
          </w:tcPr>
          <w:p w:rsidR="00943A4D" w:rsidRPr="005C7E13" w:rsidRDefault="00943A4D" w:rsidP="003F2023">
            <w:pPr>
              <w:tabs>
                <w:tab w:val="left" w:pos="720"/>
                <w:tab w:val="left" w:pos="1080"/>
                <w:tab w:val="left" w:pos="3175"/>
              </w:tabs>
              <w:jc w:val="center"/>
              <w:rPr>
                <w:rStyle w:val="NormalDestaque"/>
                <w:rFonts w:ascii="Verdana" w:hAnsi="Verdana" w:cs="Tahoma"/>
                <w:sz w:val="22"/>
                <w:szCs w:val="22"/>
              </w:rPr>
            </w:pPr>
            <w:r w:rsidRPr="00086114">
              <w:rPr>
                <w:rStyle w:val="NormalDestaque"/>
                <w:rFonts w:ascii="Verdana" w:hAnsi="Verdana" w:cs="Tahoma"/>
                <w:noProof/>
              </w:rPr>
              <w:drawing>
                <wp:inline distT="0" distB="0" distL="0" distR="0" wp14:anchorId="3F777B9C" wp14:editId="65CDEE4E">
                  <wp:extent cx="2880000" cy="2160000"/>
                  <wp:effectExtent l="0" t="0" r="0" b="0"/>
                  <wp:docPr id="157" name="Imagem 157" descr="G:\CLARISSA  Imagens\2014 - 9 - Campo Jaguari\143MSDCF\DSC09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CLARISSA  Imagens\2014 - 9 - Campo Jaguari\143MSDCF\DSC0951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tc>
      </w:tr>
      <w:tr w:rsidR="00943A4D" w:rsidRPr="00062D27" w:rsidTr="008B5745">
        <w:tc>
          <w:tcPr>
            <w:tcW w:w="4962" w:type="dxa"/>
            <w:tcBorders>
              <w:top w:val="nil"/>
              <w:left w:val="nil"/>
              <w:bottom w:val="nil"/>
              <w:right w:val="nil"/>
            </w:tcBorders>
          </w:tcPr>
          <w:p w:rsidR="00943A4D" w:rsidRPr="0087116D" w:rsidRDefault="00943A4D" w:rsidP="003F2023">
            <w:pPr>
              <w:rPr>
                <w:rStyle w:val="NormalDestaque"/>
                <w:rFonts w:cs="Arial"/>
                <w:b w:val="0"/>
                <w:color w:val="auto"/>
                <w:sz w:val="18"/>
                <w:szCs w:val="18"/>
              </w:rPr>
            </w:pPr>
            <w:r w:rsidRPr="0087116D">
              <w:rPr>
                <w:rStyle w:val="NormalDestaque"/>
                <w:rFonts w:cs="Arial"/>
                <w:b w:val="0"/>
                <w:color w:val="auto"/>
                <w:sz w:val="18"/>
                <w:szCs w:val="18"/>
              </w:rPr>
              <w:t>Vista geral de fragmento correspondente a área F33 de amostragem, contíguo a área de várzea.</w:t>
            </w:r>
            <w:r>
              <w:rPr>
                <w:rStyle w:val="NormalDestaque"/>
                <w:rFonts w:cs="Arial"/>
                <w:b w:val="0"/>
                <w:color w:val="auto"/>
                <w:sz w:val="18"/>
                <w:szCs w:val="18"/>
              </w:rPr>
              <w:t xml:space="preserve"> </w:t>
            </w:r>
            <w:r w:rsidRPr="0087116D">
              <w:rPr>
                <w:rStyle w:val="NormalDestaque"/>
                <w:rFonts w:cs="Arial"/>
                <w:b w:val="0"/>
                <w:color w:val="auto"/>
                <w:sz w:val="18"/>
                <w:szCs w:val="18"/>
              </w:rPr>
              <w:t>Trecho1.</w:t>
            </w:r>
          </w:p>
        </w:tc>
        <w:tc>
          <w:tcPr>
            <w:tcW w:w="4819" w:type="dxa"/>
            <w:tcBorders>
              <w:top w:val="nil"/>
              <w:left w:val="nil"/>
              <w:bottom w:val="nil"/>
              <w:right w:val="nil"/>
            </w:tcBorders>
          </w:tcPr>
          <w:p w:rsidR="00943A4D" w:rsidRPr="0087116D" w:rsidRDefault="00943A4D" w:rsidP="003F2023">
            <w:pPr>
              <w:rPr>
                <w:rStyle w:val="NormalDestaque"/>
                <w:rFonts w:cs="Arial"/>
                <w:b w:val="0"/>
                <w:color w:val="auto"/>
                <w:sz w:val="18"/>
                <w:szCs w:val="18"/>
              </w:rPr>
            </w:pPr>
            <w:r w:rsidRPr="0087116D">
              <w:rPr>
                <w:rStyle w:val="NormalDestaque"/>
                <w:rFonts w:cs="Arial"/>
                <w:b w:val="0"/>
                <w:color w:val="auto"/>
                <w:sz w:val="18"/>
                <w:szCs w:val="18"/>
              </w:rPr>
              <w:t>Vista geral em fragmento correspondente a área F33 de amostragem. Trecho 2.</w:t>
            </w:r>
          </w:p>
        </w:tc>
      </w:tr>
    </w:tbl>
    <w:p w:rsidR="00943A4D" w:rsidRPr="0087116D" w:rsidRDefault="00943A4D" w:rsidP="00943A4D">
      <w:pPr>
        <w:tabs>
          <w:tab w:val="left" w:pos="720"/>
          <w:tab w:val="left" w:pos="1080"/>
          <w:tab w:val="left" w:pos="3175"/>
        </w:tabs>
        <w:spacing w:before="120"/>
        <w:rPr>
          <w:rStyle w:val="NormalDestaque"/>
          <w:rFonts w:cs="Arial"/>
          <w:b w:val="0"/>
          <w:color w:val="auto"/>
        </w:rPr>
      </w:pPr>
      <w:r w:rsidRPr="0087116D">
        <w:rPr>
          <w:rStyle w:val="NormalDestaque"/>
          <w:rFonts w:cs="Arial"/>
          <w:color w:val="auto"/>
        </w:rPr>
        <w:t>Área F37</w:t>
      </w:r>
      <w:r w:rsidRPr="0087116D">
        <w:rPr>
          <w:rStyle w:val="NormalDestaque"/>
          <w:rFonts w:cs="Arial"/>
          <w:b w:val="0"/>
          <w:color w:val="auto"/>
        </w:rPr>
        <w:t xml:space="preserve"> – Área amostral situada no município de Nazaré Paulista, nas proximidades do local de desemboque do túnel. Os trechos percorridos para levantamento florístico corresponderam a vegetação de várzea e Floresta Ombrófila em estágio inicial (Trecho 1), e médio a avançado de regeneração natural (Trechos 2 e 3). Seu entorno </w:t>
      </w:r>
      <w:r>
        <w:rPr>
          <w:rStyle w:val="NormalDestaque"/>
          <w:rFonts w:cs="Arial"/>
          <w:b w:val="0"/>
          <w:color w:val="auto"/>
        </w:rPr>
        <w:t xml:space="preserve">é </w:t>
      </w:r>
      <w:r w:rsidRPr="0087116D">
        <w:rPr>
          <w:rStyle w:val="NormalDestaque"/>
          <w:rFonts w:cs="Arial"/>
          <w:b w:val="0"/>
          <w:color w:val="auto"/>
        </w:rPr>
        <w:t xml:space="preserve">representado por fragmentos remanescentes, plantio de </w:t>
      </w:r>
      <w:r w:rsidRPr="0087116D">
        <w:rPr>
          <w:rStyle w:val="NormalDestaque"/>
          <w:rFonts w:cs="Arial"/>
          <w:b w:val="0"/>
          <w:i/>
          <w:color w:val="auto"/>
        </w:rPr>
        <w:t>Eucalyptus</w:t>
      </w:r>
      <w:r w:rsidRPr="0087116D">
        <w:rPr>
          <w:rStyle w:val="NormalDestaque"/>
          <w:rFonts w:cs="Arial"/>
          <w:b w:val="0"/>
          <w:color w:val="auto"/>
        </w:rPr>
        <w:t>, além de chácaras.</w:t>
      </w:r>
    </w:p>
    <w:p w:rsidR="00943A4D" w:rsidRPr="0087116D" w:rsidRDefault="00943A4D" w:rsidP="00943A4D">
      <w:pPr>
        <w:tabs>
          <w:tab w:val="left" w:pos="720"/>
          <w:tab w:val="left" w:pos="1080"/>
          <w:tab w:val="left" w:pos="3175"/>
        </w:tabs>
        <w:rPr>
          <w:rStyle w:val="NormalDestaque"/>
          <w:rFonts w:cs="Arial"/>
          <w:b w:val="0"/>
          <w:color w:val="auto"/>
        </w:rPr>
      </w:pPr>
      <w:r w:rsidRPr="0087116D">
        <w:rPr>
          <w:rStyle w:val="NormalDestaque"/>
          <w:rFonts w:cs="Arial"/>
          <w:b w:val="0"/>
          <w:color w:val="auto"/>
        </w:rPr>
        <w:t>Nas áreas de mata o dossel é predominantemente contínuo, com indivíduos arbóreos com altura entre 8 e 10 m, havendo emergentes de até 15 metros de altura. O sub-bosque é estratificado, com ocorrência de Piperaceae (</w:t>
      </w:r>
      <w:r w:rsidRPr="0087116D">
        <w:rPr>
          <w:rStyle w:val="NormalDestaque"/>
          <w:rFonts w:cs="Arial"/>
          <w:b w:val="0"/>
          <w:i/>
          <w:color w:val="auto"/>
        </w:rPr>
        <w:t>Piper</w:t>
      </w:r>
      <w:r w:rsidRPr="0087116D">
        <w:rPr>
          <w:rStyle w:val="NormalDestaque"/>
          <w:rFonts w:cs="Arial"/>
          <w:b w:val="0"/>
          <w:color w:val="auto"/>
        </w:rPr>
        <w:t xml:space="preserve"> spp.), Rubiaceae</w:t>
      </w:r>
      <w:r w:rsidRPr="0087116D">
        <w:rPr>
          <w:rStyle w:val="NormalDestaque"/>
          <w:rFonts w:cs="Arial"/>
          <w:b w:val="0"/>
          <w:i/>
          <w:color w:val="auto"/>
        </w:rPr>
        <w:t xml:space="preserve"> (Psychotria </w:t>
      </w:r>
      <w:r w:rsidRPr="0087116D">
        <w:rPr>
          <w:rStyle w:val="NormalDestaque"/>
          <w:rFonts w:cs="Arial"/>
          <w:b w:val="0"/>
          <w:color w:val="auto"/>
        </w:rPr>
        <w:t>spp.),</w:t>
      </w:r>
      <w:r w:rsidRPr="0087116D">
        <w:rPr>
          <w:rStyle w:val="NormalDestaque"/>
          <w:rFonts w:cs="Arial"/>
          <w:b w:val="0"/>
          <w:i/>
          <w:color w:val="auto"/>
        </w:rPr>
        <w:t xml:space="preserve"> </w:t>
      </w:r>
      <w:r w:rsidRPr="0087116D">
        <w:rPr>
          <w:rStyle w:val="NormalDestaque"/>
          <w:rFonts w:cs="Arial"/>
          <w:b w:val="0"/>
          <w:color w:val="auto"/>
        </w:rPr>
        <w:t>Melastomataceae (</w:t>
      </w:r>
      <w:r w:rsidRPr="0087116D">
        <w:rPr>
          <w:rStyle w:val="NormalDestaque"/>
          <w:rFonts w:cs="Arial"/>
          <w:b w:val="0"/>
          <w:i/>
          <w:color w:val="auto"/>
        </w:rPr>
        <w:t>Leandra</w:t>
      </w:r>
      <w:r w:rsidRPr="0087116D">
        <w:rPr>
          <w:rStyle w:val="NormalDestaque"/>
          <w:rFonts w:cs="Arial"/>
          <w:b w:val="0"/>
          <w:color w:val="auto"/>
        </w:rPr>
        <w:t xml:space="preserve"> spp.) </w:t>
      </w:r>
      <w:r w:rsidRPr="0087116D">
        <w:rPr>
          <w:rStyle w:val="NormalDestaque"/>
          <w:rFonts w:cs="Arial"/>
          <w:b w:val="0"/>
          <w:i/>
          <w:color w:val="auto"/>
        </w:rPr>
        <w:t>e Cyathea cf. delgadii.</w:t>
      </w:r>
      <w:r w:rsidRPr="0087116D">
        <w:rPr>
          <w:rStyle w:val="NormalDestaque"/>
          <w:rFonts w:cs="Arial"/>
          <w:b w:val="0"/>
          <w:color w:val="auto"/>
        </w:rPr>
        <w:t xml:space="preserve"> A ocorrência de lianas é baixa, predominando em áreas de borda. </w:t>
      </w:r>
      <w:r>
        <w:rPr>
          <w:rStyle w:val="NormalDestaque"/>
          <w:rFonts w:cs="Arial"/>
          <w:b w:val="0"/>
          <w:color w:val="auto"/>
        </w:rPr>
        <w:t>R</w:t>
      </w:r>
      <w:r w:rsidRPr="0087116D">
        <w:rPr>
          <w:rStyle w:val="NormalDestaque"/>
          <w:rFonts w:cs="Arial"/>
          <w:b w:val="0"/>
          <w:color w:val="auto"/>
        </w:rPr>
        <w:t>egistra</w:t>
      </w:r>
      <w:r>
        <w:rPr>
          <w:rStyle w:val="NormalDestaque"/>
          <w:rFonts w:cs="Arial"/>
          <w:b w:val="0"/>
          <w:color w:val="auto"/>
        </w:rPr>
        <w:t>-se</w:t>
      </w:r>
      <w:r w:rsidRPr="0087116D">
        <w:rPr>
          <w:rStyle w:val="NormalDestaque"/>
          <w:rFonts w:cs="Arial"/>
          <w:b w:val="0"/>
          <w:color w:val="auto"/>
        </w:rPr>
        <w:t xml:space="preserve"> moderada ocorrência de epífitas, entre elas </w:t>
      </w:r>
      <w:r w:rsidRPr="0087116D">
        <w:rPr>
          <w:rStyle w:val="NormalDestaque"/>
          <w:rFonts w:cs="Arial"/>
          <w:b w:val="0"/>
          <w:i/>
          <w:color w:val="auto"/>
        </w:rPr>
        <w:t>Tillandsia</w:t>
      </w:r>
      <w:r w:rsidRPr="0087116D">
        <w:rPr>
          <w:rStyle w:val="NormalDestaque"/>
          <w:rFonts w:cs="Arial"/>
          <w:b w:val="0"/>
          <w:color w:val="auto"/>
        </w:rPr>
        <w:t xml:space="preserve"> sp., </w:t>
      </w:r>
      <w:r w:rsidRPr="00AD3E1C">
        <w:rPr>
          <w:rStyle w:val="NormalDestaque"/>
          <w:rFonts w:cs="Arial"/>
          <w:b w:val="0"/>
          <w:i/>
          <w:color w:val="auto"/>
        </w:rPr>
        <w:t>Vriesea</w:t>
      </w:r>
      <w:r w:rsidRPr="0087116D">
        <w:rPr>
          <w:rStyle w:val="NormalDestaque"/>
          <w:rFonts w:cs="Arial"/>
          <w:b w:val="0"/>
          <w:color w:val="auto"/>
        </w:rPr>
        <w:t xml:space="preserve"> spp., </w:t>
      </w:r>
      <w:r w:rsidRPr="0087116D">
        <w:rPr>
          <w:rStyle w:val="NormalDestaque"/>
          <w:rFonts w:cs="Arial"/>
          <w:b w:val="0"/>
          <w:i/>
          <w:color w:val="auto"/>
        </w:rPr>
        <w:t>Aechmea</w:t>
      </w:r>
      <w:r w:rsidRPr="0087116D">
        <w:rPr>
          <w:rStyle w:val="NormalDestaque"/>
          <w:rFonts w:cs="Arial"/>
          <w:b w:val="0"/>
          <w:color w:val="auto"/>
        </w:rPr>
        <w:t xml:space="preserve"> sp. (Bromeliaceae), </w:t>
      </w:r>
      <w:r w:rsidRPr="0087116D">
        <w:rPr>
          <w:rStyle w:val="NormalDestaque"/>
          <w:rFonts w:cs="Arial"/>
          <w:b w:val="0"/>
          <w:i/>
          <w:color w:val="auto"/>
        </w:rPr>
        <w:t>Microgramma</w:t>
      </w:r>
      <w:r w:rsidRPr="0087116D">
        <w:rPr>
          <w:rStyle w:val="NormalDestaque"/>
          <w:rFonts w:cs="Arial"/>
          <w:b w:val="0"/>
          <w:color w:val="auto"/>
        </w:rPr>
        <w:t xml:space="preserve"> spp. (Polypodiaceae). </w:t>
      </w:r>
    </w:p>
    <w:p w:rsidR="00943A4D" w:rsidRDefault="00943A4D" w:rsidP="00943A4D">
      <w:pPr>
        <w:tabs>
          <w:tab w:val="left" w:pos="720"/>
          <w:tab w:val="left" w:pos="1080"/>
          <w:tab w:val="left" w:pos="3175"/>
        </w:tabs>
        <w:rPr>
          <w:rStyle w:val="NormalDestaque"/>
          <w:rFonts w:cs="Arial"/>
          <w:b w:val="0"/>
          <w:color w:val="auto"/>
        </w:rPr>
      </w:pPr>
      <w:r>
        <w:rPr>
          <w:rStyle w:val="NormalDestaque"/>
          <w:rFonts w:cs="Arial"/>
          <w:b w:val="0"/>
          <w:color w:val="auto"/>
        </w:rPr>
        <w:t>As e</w:t>
      </w:r>
      <w:r w:rsidRPr="0087116D">
        <w:rPr>
          <w:rStyle w:val="NormalDestaque"/>
          <w:rFonts w:cs="Arial"/>
          <w:b w:val="0"/>
          <w:color w:val="auto"/>
        </w:rPr>
        <w:t xml:space="preserve">spécies arbóreas predominantes são </w:t>
      </w:r>
      <w:r w:rsidRPr="0087116D">
        <w:rPr>
          <w:rStyle w:val="NormalDestaque"/>
          <w:rFonts w:cs="Arial"/>
          <w:b w:val="0"/>
          <w:i/>
          <w:color w:val="auto"/>
        </w:rPr>
        <w:t xml:space="preserve">Anadenanthera colubrina, Tibouchina </w:t>
      </w:r>
      <w:r w:rsidRPr="0087116D">
        <w:rPr>
          <w:rStyle w:val="NormalDestaque"/>
          <w:rFonts w:cs="Arial"/>
          <w:b w:val="0"/>
          <w:color w:val="auto"/>
        </w:rPr>
        <w:t>spp.,</w:t>
      </w:r>
      <w:r w:rsidRPr="0087116D">
        <w:rPr>
          <w:rStyle w:val="NormalDestaque"/>
          <w:rFonts w:cs="Arial"/>
          <w:b w:val="0"/>
          <w:i/>
          <w:color w:val="auto"/>
        </w:rPr>
        <w:t xml:space="preserve"> Croton floribundus, Cupania vernalis, Matayba </w:t>
      </w:r>
      <w:r w:rsidRPr="0087116D">
        <w:rPr>
          <w:rStyle w:val="NormalDestaque"/>
          <w:rFonts w:cs="Arial"/>
          <w:b w:val="0"/>
          <w:color w:val="auto"/>
        </w:rPr>
        <w:t>sp.,</w:t>
      </w:r>
      <w:r w:rsidRPr="0087116D">
        <w:rPr>
          <w:rStyle w:val="NormalDestaque"/>
          <w:rFonts w:cs="Arial"/>
          <w:b w:val="0"/>
          <w:i/>
          <w:color w:val="auto"/>
        </w:rPr>
        <w:t xml:space="preserve"> Cedrela cf. odorata, Machaerium </w:t>
      </w:r>
      <w:r w:rsidRPr="0087116D">
        <w:rPr>
          <w:rStyle w:val="NormalDestaque"/>
          <w:rFonts w:cs="Arial"/>
          <w:b w:val="0"/>
          <w:color w:val="auto"/>
        </w:rPr>
        <w:t>spp.</w:t>
      </w:r>
      <w:r w:rsidRPr="0087116D">
        <w:rPr>
          <w:rStyle w:val="NormalDestaque"/>
          <w:rFonts w:cs="Arial"/>
          <w:b w:val="0"/>
          <w:i/>
          <w:color w:val="auto"/>
        </w:rPr>
        <w:t xml:space="preserve">, Alchornea sidifolia, Andira </w:t>
      </w:r>
      <w:r w:rsidRPr="0087116D">
        <w:rPr>
          <w:rStyle w:val="NormalDestaque"/>
          <w:rFonts w:cs="Arial"/>
          <w:b w:val="0"/>
          <w:color w:val="auto"/>
        </w:rPr>
        <w:t>sp.,</w:t>
      </w:r>
      <w:r w:rsidRPr="0087116D">
        <w:rPr>
          <w:rStyle w:val="NormalDestaque"/>
          <w:rFonts w:cs="Arial"/>
          <w:b w:val="0"/>
          <w:i/>
          <w:color w:val="auto"/>
        </w:rPr>
        <w:t xml:space="preserve"> Cecropia </w:t>
      </w:r>
      <w:r w:rsidRPr="0087116D">
        <w:rPr>
          <w:rStyle w:val="NormalDestaque"/>
          <w:rFonts w:cs="Arial"/>
          <w:b w:val="0"/>
          <w:color w:val="auto"/>
        </w:rPr>
        <w:t>spp.,</w:t>
      </w:r>
      <w:r>
        <w:rPr>
          <w:rStyle w:val="NormalDestaque"/>
          <w:rFonts w:cs="Arial"/>
          <w:b w:val="0"/>
          <w:i/>
          <w:color w:val="auto"/>
        </w:rPr>
        <w:t xml:space="preserve"> Syagrus romanzoffiiana</w:t>
      </w:r>
      <w:r>
        <w:rPr>
          <w:rStyle w:val="NormalDestaque"/>
          <w:rFonts w:cs="Arial"/>
          <w:b w:val="0"/>
          <w:color w:val="auto"/>
        </w:rPr>
        <w:t>,</w:t>
      </w:r>
      <w:r w:rsidRPr="0087116D">
        <w:rPr>
          <w:rStyle w:val="NormalDestaque"/>
          <w:rFonts w:cs="Arial"/>
          <w:b w:val="0"/>
          <w:i/>
          <w:color w:val="auto"/>
        </w:rPr>
        <w:t xml:space="preserve"> Myrsine </w:t>
      </w:r>
      <w:r w:rsidRPr="0087116D">
        <w:rPr>
          <w:rStyle w:val="NormalDestaque"/>
          <w:rFonts w:cs="Arial"/>
          <w:b w:val="0"/>
          <w:color w:val="auto"/>
        </w:rPr>
        <w:t>spp</w:t>
      </w:r>
      <w:r>
        <w:rPr>
          <w:rStyle w:val="NormalDestaque"/>
          <w:rFonts w:cs="Arial"/>
          <w:b w:val="0"/>
          <w:color w:val="auto"/>
        </w:rPr>
        <w:t>.,</w:t>
      </w:r>
      <w:r w:rsidRPr="0087116D">
        <w:rPr>
          <w:rStyle w:val="NormalDestaque"/>
          <w:rFonts w:cs="Arial"/>
          <w:b w:val="0"/>
          <w:color w:val="auto"/>
        </w:rPr>
        <w:t xml:space="preserve"> </w:t>
      </w:r>
      <w:r>
        <w:rPr>
          <w:rStyle w:val="NormalDestaque"/>
          <w:rFonts w:cs="Arial"/>
          <w:b w:val="0"/>
          <w:color w:val="auto"/>
        </w:rPr>
        <w:t>c</w:t>
      </w:r>
      <w:r w:rsidRPr="0087116D">
        <w:rPr>
          <w:rStyle w:val="NormalDestaque"/>
          <w:rFonts w:cs="Arial"/>
          <w:b w:val="0"/>
          <w:color w:val="auto"/>
        </w:rPr>
        <w:t xml:space="preserve">om predomínio de </w:t>
      </w:r>
      <w:r w:rsidRPr="0087116D">
        <w:rPr>
          <w:rStyle w:val="NormalDestaque"/>
          <w:rFonts w:cs="Arial"/>
          <w:b w:val="0"/>
          <w:i/>
          <w:color w:val="auto"/>
        </w:rPr>
        <w:t>Bambusa</w:t>
      </w:r>
      <w:r w:rsidRPr="0087116D">
        <w:rPr>
          <w:rStyle w:val="NormalDestaque"/>
          <w:rFonts w:cs="Arial"/>
          <w:b w:val="0"/>
          <w:color w:val="auto"/>
        </w:rPr>
        <w:t xml:space="preserve"> sp. em trechos alterados. A vegetação de várzea é dominada por </w:t>
      </w:r>
      <w:r w:rsidRPr="0087116D">
        <w:rPr>
          <w:rStyle w:val="NormalDestaque"/>
          <w:rFonts w:cs="Arial"/>
          <w:b w:val="0"/>
          <w:i/>
          <w:color w:val="auto"/>
        </w:rPr>
        <w:t>Typha domingensis</w:t>
      </w:r>
      <w:r w:rsidRPr="0087116D">
        <w:rPr>
          <w:rStyle w:val="NormalDestaque"/>
          <w:rFonts w:cs="Arial"/>
          <w:b w:val="0"/>
          <w:color w:val="auto"/>
        </w:rPr>
        <w:t xml:space="preserve"> nas áreas mais encharcadas, além de</w:t>
      </w:r>
      <w:r w:rsidRPr="0087116D">
        <w:rPr>
          <w:rStyle w:val="NormalDestaque"/>
          <w:rFonts w:cs="Arial"/>
          <w:b w:val="0"/>
          <w:i/>
          <w:color w:val="auto"/>
        </w:rPr>
        <w:t xml:space="preserve"> Hedychium coronarium, Miconia</w:t>
      </w:r>
      <w:r w:rsidRPr="0087116D">
        <w:rPr>
          <w:rStyle w:val="NormalDestaque"/>
          <w:rFonts w:cs="Arial"/>
          <w:b w:val="0"/>
          <w:color w:val="auto"/>
        </w:rPr>
        <w:t xml:space="preserve"> spp., </w:t>
      </w:r>
      <w:r w:rsidRPr="0087116D">
        <w:rPr>
          <w:rStyle w:val="NormalDestaque"/>
          <w:rFonts w:cs="Arial"/>
          <w:b w:val="0"/>
          <w:i/>
          <w:color w:val="auto"/>
        </w:rPr>
        <w:t xml:space="preserve">Leandra </w:t>
      </w:r>
      <w:r w:rsidRPr="0087116D">
        <w:rPr>
          <w:rStyle w:val="NormalDestaque"/>
          <w:rFonts w:cs="Arial"/>
          <w:b w:val="0"/>
          <w:color w:val="auto"/>
        </w:rPr>
        <w:t>sp., gramíneas e ciperáceas em borda.</w:t>
      </w:r>
    </w:p>
    <w:p w:rsidR="008B5745" w:rsidRPr="008B5745" w:rsidRDefault="008B5745" w:rsidP="008B5745">
      <w:pPr>
        <w:pStyle w:val="Quadro"/>
      </w:pPr>
      <w:r w:rsidRPr="008B5745">
        <w:lastRenderedPageBreak/>
        <w:t>Figura 6.4.</w:t>
      </w:r>
      <w:r w:rsidR="00200A8F">
        <w:t>2-6.</w:t>
      </w:r>
      <w:r w:rsidRPr="008B5745">
        <w:t xml:space="preserve"> Transeções percorridas para realização do levant</w:t>
      </w:r>
      <w:r w:rsidR="00200A8F">
        <w:t>amento florístico na área F37 (e</w:t>
      </w:r>
      <w:r w:rsidRPr="008B5745">
        <w:t>m amarelo)</w:t>
      </w:r>
    </w:p>
    <w:tbl>
      <w:tblPr>
        <w:tblStyle w:val="Tabelacomgrade"/>
        <w:tblW w:w="9781" w:type="dxa"/>
        <w:tblLayout w:type="fixed"/>
        <w:tblCellMar>
          <w:left w:w="57" w:type="dxa"/>
          <w:right w:w="57" w:type="dxa"/>
        </w:tblCellMar>
        <w:tblLook w:val="04A0" w:firstRow="1" w:lastRow="0" w:firstColumn="1" w:lastColumn="0" w:noHBand="0" w:noVBand="1"/>
      </w:tblPr>
      <w:tblGrid>
        <w:gridCol w:w="4962"/>
        <w:gridCol w:w="4819"/>
      </w:tblGrid>
      <w:tr w:rsidR="00943A4D" w:rsidRPr="005C7E13" w:rsidTr="008B5745">
        <w:tc>
          <w:tcPr>
            <w:tcW w:w="9781" w:type="dxa"/>
            <w:gridSpan w:val="2"/>
            <w:tcBorders>
              <w:top w:val="nil"/>
              <w:left w:val="nil"/>
              <w:bottom w:val="nil"/>
              <w:right w:val="nil"/>
            </w:tcBorders>
          </w:tcPr>
          <w:p w:rsidR="00943A4D" w:rsidRPr="005C7E13" w:rsidRDefault="00056696" w:rsidP="003F2023">
            <w:pPr>
              <w:tabs>
                <w:tab w:val="left" w:pos="720"/>
                <w:tab w:val="left" w:pos="1080"/>
                <w:tab w:val="left" w:pos="3175"/>
              </w:tabs>
              <w:jc w:val="center"/>
              <w:rPr>
                <w:rStyle w:val="NormalDestaque"/>
                <w:rFonts w:ascii="Verdana" w:hAnsi="Verdana" w:cs="Tahoma"/>
                <w:sz w:val="22"/>
                <w:szCs w:val="22"/>
              </w:rPr>
            </w:pPr>
            <w:r>
              <w:rPr>
                <w:noProof/>
              </w:rPr>
              <mc:AlternateContent>
                <mc:Choice Requires="wps">
                  <w:drawing>
                    <wp:anchor distT="0" distB="0" distL="114300" distR="114300" simplePos="0" relativeHeight="251687936" behindDoc="0" locked="0" layoutInCell="1" allowOverlap="1" wp14:anchorId="283C0FFD" wp14:editId="233E14BC">
                      <wp:simplePos x="0" y="0"/>
                      <wp:positionH relativeFrom="column">
                        <wp:posOffset>3344545</wp:posOffset>
                      </wp:positionH>
                      <wp:positionV relativeFrom="paragraph">
                        <wp:posOffset>1097280</wp:posOffset>
                      </wp:positionV>
                      <wp:extent cx="255905" cy="241935"/>
                      <wp:effectExtent l="38100" t="0" r="10795" b="43815"/>
                      <wp:wrapNone/>
                      <wp:docPr id="207" name="AutoShap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905" cy="241935"/>
                              </a:xfrm>
                              <a:prstGeom prst="wedgeRectCallout">
                                <a:avLst>
                                  <a:gd name="adj1" fmla="val -44787"/>
                                  <a:gd name="adj2" fmla="val 51310"/>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F2964" w:rsidRPr="00473DE0" w:rsidRDefault="000F2964" w:rsidP="00943A4D">
                                  <w:pPr>
                                    <w:rPr>
                                      <w:color w:val="FFFF00"/>
                                    </w:rPr>
                                  </w:pPr>
                                  <w:r w:rsidRPr="00473DE0">
                                    <w:rPr>
                                      <w:color w:val="FFFF0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3C0FFD" id="AutoShape 122" o:spid="_x0000_s1038" type="#_x0000_t61" style="position:absolute;left:0;text-align:left;margin-left:263.35pt;margin-top:86.4pt;width:20.15pt;height:19.0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FNYrQIAAG8FAAAOAAAAZHJzL2Uyb0RvYy54bWysVNuO0zAQfUfiHyy/dxNnk20bbbpa9YKQ&#10;Flix8AFu7CQGxw6223RB/DtjJy0t+4IQeUjseHxmzsyZub07tBLtubFCqwKTqxgjrkrNhKoL/PnT&#10;ZjLDyDqqGJVa8QI/c4vvFq9f3fZdzhPdaMm4QQCibN53BW6c6/IosmXDW2qvdMcVHFbatNTB1tQR&#10;M7QH9FZGSRzfRL02rDO65NbC39VwiBcBv6p46T5UleUOyQJDbC68TXhv/Tta3NK8NrRrRDmGQf8h&#10;ipYKBU5PUCvqKNoZ8QKqFaXRVlfuqtRtpKtKlDxwADYk/oPNU0M7HrhAcmx3SpP9f7Dl+/2jQYIV&#10;OImnGCnaQpHud04H34gkiU9R39kcLJ+6R+NJ2u5Bl18tUnrZUFXze2N033DKIDDi7aOLC35j4Sra&#10;9u80A3wK+CFbh8q0HhDygA6hKM+novCDQyX8TLJsHmcYlXCUpGR+nQUPND9e7ox1b7hukV8UuOes&#10;5h+h8Esqpd654IjuH6wL9WEjR8q+EIyqVkK591SiSZpOZ9NRD2dGyblRRq5J0ExE8xESVscAPL7S&#10;GyFlUJVUqC/wPEuyEILVUjB/GDJo6u1SGgSegXB4RlYXZq1w0B1StAWenYxo7lO9Vix4cVTIYQ2R&#10;SOXBIXMjW5/DoMIf83i+nq1n6SRNbtaTNF6tJvebZTq52ZBptrpeLZcr8tPHSdK8EYxx5UM9dgRJ&#10;/05xY28OWj71xAUle858E56XzKPLMEBQgdXxG9gFjXlZDfJ0h+0h6JicFLvV7BlUZ/TQ9TClYNFo&#10;8x2jHjq+wPbbjhqOkXyrQLlzkqZ+RIRNmk0T2Jjzk+35CVUlQBXYYTQsl24YK7vOiLoBTySUXWnf&#10;TZVwx7YYohp7BLo6kBonkB8b5/tg9XtOLn4BAAD//wMAUEsDBBQABgAIAAAAIQCfpOJq3wAAAAsB&#10;AAAPAAAAZHJzL2Rvd25yZXYueG1sTI/BTsMwEETvSPyDtUjcqF2LJjTEqaACcUKUthdubrwkEfE6&#10;it02/D3LCY6rGc2+V64m34sTjrELZGA+UyCQ6uA6agzsd883dyBisuRsHwgNfGOEVXV5UdrChTO9&#10;42mbGsEjFAtroE1pKKSMdYvexlkYkDj7DKO3ic+xkW60Zx73vdRKZdLbjvhDawdct1h/bY/ewPoj&#10;vDWoN1E93sqdegmp2zy9GnN9NT3cg0g4pb8y/OIzOlTMdAhHclH0BhY6y7nKQa7ZgRuLLGe7gwE9&#10;V0uQVSn/O1Q/AAAA//8DAFBLAQItABQABgAIAAAAIQC2gziS/gAAAOEBAAATAAAAAAAAAAAAAAAA&#10;AAAAAABbQ29udGVudF9UeXBlc10ueG1sUEsBAi0AFAAGAAgAAAAhADj9If/WAAAAlAEAAAsAAAAA&#10;AAAAAAAAAAAALwEAAF9yZWxzLy5yZWxzUEsBAi0AFAAGAAgAAAAhAIOAU1itAgAAbwUAAA4AAAAA&#10;AAAAAAAAAAAALgIAAGRycy9lMm9Eb2MueG1sUEsBAi0AFAAGAAgAAAAhAJ+k4mrfAAAACwEAAA8A&#10;AAAAAAAAAAAAAAAABwUAAGRycy9kb3ducmV2LnhtbFBLBQYAAAAABAAEAPMAAAATBgAAAAA=&#10;" adj="1126,21883" filled="f">
                      <v:textbox>
                        <w:txbxContent>
                          <w:p w:rsidR="000F2964" w:rsidRPr="00473DE0" w:rsidRDefault="000F2964" w:rsidP="00943A4D">
                            <w:pPr>
                              <w:rPr>
                                <w:color w:val="FFFF00"/>
                              </w:rPr>
                            </w:pPr>
                            <w:r w:rsidRPr="00473DE0">
                              <w:rPr>
                                <w:color w:val="FFFF00"/>
                              </w:rPr>
                              <w:t>1</w:t>
                            </w:r>
                          </w:p>
                        </w:txbxContent>
                      </v:textbox>
                    </v:shape>
                  </w:pict>
                </mc:Fallback>
              </mc:AlternateContent>
            </w:r>
            <w:r>
              <w:rPr>
                <w:noProof/>
              </w:rPr>
              <mc:AlternateContent>
                <mc:Choice Requires="wps">
                  <w:drawing>
                    <wp:anchor distT="0" distB="0" distL="114300" distR="114300" simplePos="0" relativeHeight="251686912" behindDoc="0" locked="0" layoutInCell="1" allowOverlap="1" wp14:anchorId="1FAE3023" wp14:editId="78797F42">
                      <wp:simplePos x="0" y="0"/>
                      <wp:positionH relativeFrom="column">
                        <wp:posOffset>1720215</wp:posOffset>
                      </wp:positionH>
                      <wp:positionV relativeFrom="paragraph">
                        <wp:posOffset>782955</wp:posOffset>
                      </wp:positionV>
                      <wp:extent cx="234315" cy="241935"/>
                      <wp:effectExtent l="38100" t="0" r="13335" b="43815"/>
                      <wp:wrapNone/>
                      <wp:docPr id="206" name="AutoShap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4315" cy="241935"/>
                              </a:xfrm>
                              <a:prstGeom prst="wedgeRectCallout">
                                <a:avLst>
                                  <a:gd name="adj1" fmla="val -43769"/>
                                  <a:gd name="adj2" fmla="val 51838"/>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F2964" w:rsidRPr="00F2584C" w:rsidRDefault="000F2964" w:rsidP="00943A4D">
                                  <w:pPr>
                                    <w:rPr>
                                      <w:color w:val="FFFF00"/>
                                    </w:rPr>
                                  </w:pPr>
                                  <w:r w:rsidRPr="00F2584C">
                                    <w:rPr>
                                      <w:color w:val="FFFF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AE3023" id="AutoShape 121" o:spid="_x0000_s1039" type="#_x0000_t61" style="position:absolute;left:0;text-align:left;margin-left:135.45pt;margin-top:61.65pt;width:18.45pt;height:19.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H4yrgIAAG8FAAAOAAAAZHJzL2Uyb0RvYy54bWysVF1v0zAUfUfiP1h+7xKnaddGS6epHwhp&#10;wMTgB7ixkxgcO9hu0w3x37l20q5lLwjRh9SOb849595zfXN7aCTac2OFVjkmVzFGXBWaCVXl+OuX&#10;zWiGkXVUMSq14jl+4hbfLt6+uenajCe61pJxgwBE2axrc1w712ZRZIuaN9Re6ZYrOCy1aaiDraki&#10;ZmgH6I2MkjieRp02rDW64NbC21V/iBcBvyx54T6VpeUOyRwDNxeeJjy3/hktbmhWGdrWohho0H9g&#10;0VChIOkJakUdRTsjXkE1ojDa6tJdFbqJdFmKggcNoIbEf6h5rGnLgxYojm1PZbL/D7b4uH8wSLAc&#10;J/EUI0UbaNLdzumQG5GE+BJ1rc0g8rF9MF6kbe918d0ipZc1VRW/M0Z3NacMiIX46OIDv7HwKdp2&#10;HzQDfAr4oVqH0jQeEOqADqEpT6em8INDBbxMxumYTDAq4ChJyXw88Ywimh0/bo1177hukF/kuOOs&#10;4p+h8Usqpd65kIju760L/WGDRsq+EYzKRkK791SiUTq+ns4HP5wFJedBEzIbz4b0AyQQORLw+Epv&#10;hJTBVVKhLsfzSTIJFKyWgvnDUEFTbZfSIMgMgsNvgL0Ia4SD6ZCiyfHsFEQzX+q1YiGLo0L2a2Ai&#10;lQeHyg1qfQ2DC3/O4/l6tp6lozSZrkdpvFqN7jbLdDTdkOvJarxaLlfkl+dJ0qwWjHHlqR4ngqR/&#10;57hhNnsvn2biQpI9V74Jv9fKo0saod2g5fgf1AWPeVv19nSH7SH4mIw9nvfcVrMncJ3R/dTDLQWL&#10;WptnjDqY+BzbHztqOEbyvQLnzkma+isibNLJdQIbc36yPT+hqgCoHDuM+uXS9dfKrjWiqiETCW1X&#10;2k9TKZw37QurYQNTHUQNN5C/Ns73Ierlnlz8BgAA//8DAFBLAwQUAAYACAAAACEAIj+UJd8AAAAL&#10;AQAADwAAAGRycy9kb3ducmV2LnhtbEyPS0/DMBCE70j8B2uRuFG7CWohxKlQeVzpgwNHN16S0NiO&#10;bOf171lO5bgzn2Zn8s1kWjagD42zEpYLAQxt6XRjKwmfx7e7B2AhKqtV6yxKmDHApri+ylWm3Wj3&#10;OBxixSjEhkxJqGPsMs5DWaNRYeE6tOR9O29UpNNXXHs1UrhpeSLEihvVWPpQqw63NZbnQ28k7N79&#10;y/H1a96Ow8fPri/3sxPnRsrbm+n5CVjEKV5g+KtP1aGgTifXWx1YKyFZi0dCyUjSFBgRqVjTmBMp&#10;q+U98CLn/zcUvwAAAP//AwBQSwECLQAUAAYACAAAACEAtoM4kv4AAADhAQAAEwAAAAAAAAAAAAAA&#10;AAAAAAAAW0NvbnRlbnRfVHlwZXNdLnhtbFBLAQItABQABgAIAAAAIQA4/SH/1gAAAJQBAAALAAAA&#10;AAAAAAAAAAAAAC8BAABfcmVscy8ucmVsc1BLAQItABQABgAIAAAAIQAZrH4yrgIAAG8FAAAOAAAA&#10;AAAAAAAAAAAAAC4CAABkcnMvZTJvRG9jLnhtbFBLAQItABQABgAIAAAAIQAiP5Ql3wAAAAsBAAAP&#10;AAAAAAAAAAAAAAAAAAgFAABkcnMvZG93bnJldi54bWxQSwUGAAAAAAQABADzAAAAFAYAAAAA&#10;" adj="1346,21997" filled="f">
                      <v:textbox>
                        <w:txbxContent>
                          <w:p w:rsidR="000F2964" w:rsidRPr="00F2584C" w:rsidRDefault="000F2964" w:rsidP="00943A4D">
                            <w:pPr>
                              <w:rPr>
                                <w:color w:val="FFFF00"/>
                              </w:rPr>
                            </w:pPr>
                            <w:r w:rsidRPr="00F2584C">
                              <w:rPr>
                                <w:color w:val="FFFF00"/>
                              </w:rPr>
                              <w:t>3</w:t>
                            </w:r>
                          </w:p>
                        </w:txbxContent>
                      </v:textbox>
                    </v:shape>
                  </w:pict>
                </mc:Fallback>
              </mc:AlternateContent>
            </w:r>
            <w:r>
              <w:rPr>
                <w:noProof/>
              </w:rPr>
              <mc:AlternateContent>
                <mc:Choice Requires="wps">
                  <w:drawing>
                    <wp:anchor distT="0" distB="0" distL="114300" distR="114300" simplePos="0" relativeHeight="251685888" behindDoc="0" locked="0" layoutInCell="1" allowOverlap="1" wp14:anchorId="6814114B" wp14:editId="64E85012">
                      <wp:simplePos x="0" y="0"/>
                      <wp:positionH relativeFrom="column">
                        <wp:posOffset>3409950</wp:posOffset>
                      </wp:positionH>
                      <wp:positionV relativeFrom="paragraph">
                        <wp:posOffset>205105</wp:posOffset>
                      </wp:positionV>
                      <wp:extent cx="241935" cy="248920"/>
                      <wp:effectExtent l="38100" t="0" r="24765" b="55880"/>
                      <wp:wrapNone/>
                      <wp:docPr id="205" name="AutoShap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935" cy="248920"/>
                              </a:xfrm>
                              <a:prstGeom prst="wedgeRectCallout">
                                <a:avLst>
                                  <a:gd name="adj1" fmla="val -44227"/>
                                  <a:gd name="adj2" fmla="val 55866"/>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F2964" w:rsidRPr="004E683C" w:rsidRDefault="000F2964" w:rsidP="00943A4D">
                                  <w:pPr>
                                    <w:rPr>
                                      <w:color w:val="FFFF00"/>
                                    </w:rPr>
                                  </w:pPr>
                                  <w:r w:rsidRPr="004E683C">
                                    <w:rPr>
                                      <w:color w:val="FFFF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14114B" id="AutoShape 120" o:spid="_x0000_s1040" type="#_x0000_t61" style="position:absolute;left:0;text-align:left;margin-left:268.5pt;margin-top:16.15pt;width:19.05pt;height:19.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85rgIAAG8FAAAOAAAAZHJzL2Uyb0RvYy54bWysVN1u0zAYvUfiHSzfd/lZ0rXR0mlKWoQ0&#10;YGLwAG7sJAbHDrbbdCDenc9OWlp2gxC5cGx/9vE539/t3aETaM+04UrmOLoKMWKyUpTLJsefP21m&#10;C4yMJZISoSTL8TMz+G71+tXt0GcsVq0SlGkEINJkQ5/j1to+CwJTtawj5kr1TIKxVrojFpa6Cagm&#10;A6B3IojDcB4MStNeq4oZA7vlaMQrj1/XrLIf6towi0SOgZv1o/bj1o3B6pZkjSZ9y6uJBvkHFh3h&#10;Eh49QZXEErTT/AVUxyutjKrtVaW6QNU1r5jXAGqi8A81Ty3pmdcCzjH9yU3m/8FW7/ePGnGa4zhM&#10;MZKkgyDd76zyb6Mo9i4aepPByaf+UTuRpn9Q1VeDpCpaIht2r7UaWkYoEIucS4OLC25h4CraDu8U&#10;BXwC+N5bh1p3DhD8gA4+KM+noLCDRRVsxkm0vAZqFZjiZLEcGQUkO17utbFvmOqQm+R4YLRhHyHw&#10;BRFC7ax/iOwfjPXxoZNGQr9EGNWdgHDviUCzJInjmykfzg7F54fSdDGfe4EkmyCByJGAw5dqw4Xw&#10;WSUkGnK8TOPUUzBKcOqM3oO62RZCI3gZBPtvgr041nEL1SF4l+PF6RDJnKvXkvpXLOFinAMTIR04&#10;eG5S63zos/DHMlyuF+tFMkvi+XqWhGU5u98UyWy+iW7S8rosijL66XhGSdZySpl0VI8VESV/l3FT&#10;bY65fKqJC0nmXPnGfy+VB5c0IKG8quPfq/M55tLK1brJ7GF78HkcJQ7PbW0VfYas02qseuhSMGmV&#10;/o7RABWfY/NtRzTDSLyVkLnLKElci/CLJL2BREP63LI9txBZAVSOLUbjtLBjW9n1mjctvBT5sEvl&#10;qqnm9lgWI6upRqCqvaipA7m2cb72p373ydUvAAAA//8DAFBLAwQUAAYACAAAACEAEtqDyeAAAAAJ&#10;AQAADwAAAGRycy9kb3ducmV2LnhtbEyPQUvDQBSE74L/YXmCN7tJYxqJeSki1BooiG3xvEmeSTD7&#10;Nuxu2/jvXU96HGaY+aZYz3oUZ7JuMIwQLyIQxI1pB+4QjofN3QMI5xW3ajRMCN/kYF1eXxUqb82F&#10;3+m8950IJexyhdB7P+VSuqYnrdzCTMTB+zRWKx+k7WRr1SWU61Euo2gltRo4LPRqoueemq/9SSNU&#10;drv7sHX1ttoeNs3upbo/1tUr4u3N/PQIwtPs/8Lwix/QoQxMtTlx68SIkCZZ+OIRkmUCIgTSLI1B&#10;1AhZnIIsC/n/QfkDAAD//wMAUEsBAi0AFAAGAAgAAAAhALaDOJL+AAAA4QEAABMAAAAAAAAAAAAA&#10;AAAAAAAAAFtDb250ZW50X1R5cGVzXS54bWxQSwECLQAUAAYACAAAACEAOP0h/9YAAACUAQAACwAA&#10;AAAAAAAAAAAAAAAvAQAAX3JlbHMvLnJlbHNQSwECLQAUAAYACAAAACEAvx2fOa4CAABvBQAADgAA&#10;AAAAAAAAAAAAAAAuAgAAZHJzL2Uyb0RvYy54bWxQSwECLQAUAAYACAAAACEAEtqDyeAAAAAJAQAA&#10;DwAAAAAAAAAAAAAAAAAIBQAAZHJzL2Rvd25yZXYueG1sUEsFBgAAAAAEAAQA8wAAABUGAAAAAA==&#10;" adj="1247,22867" filled="f">
                      <v:textbox>
                        <w:txbxContent>
                          <w:p w:rsidR="000F2964" w:rsidRPr="004E683C" w:rsidRDefault="000F2964" w:rsidP="00943A4D">
                            <w:pPr>
                              <w:rPr>
                                <w:color w:val="FFFF00"/>
                              </w:rPr>
                            </w:pPr>
                            <w:r w:rsidRPr="004E683C">
                              <w:rPr>
                                <w:color w:val="FFFF00"/>
                              </w:rPr>
                              <w:t>2</w:t>
                            </w:r>
                          </w:p>
                        </w:txbxContent>
                      </v:textbox>
                    </v:shape>
                  </w:pict>
                </mc:Fallback>
              </mc:AlternateContent>
            </w:r>
            <w:r w:rsidR="00943A4D" w:rsidRPr="00F20F88">
              <w:rPr>
                <w:noProof/>
              </w:rPr>
              <w:drawing>
                <wp:inline distT="0" distB="0" distL="0" distR="0" wp14:anchorId="3F54BCF9" wp14:editId="30E26EA8">
                  <wp:extent cx="5786650" cy="2519566"/>
                  <wp:effectExtent l="0" t="0" r="0" b="0"/>
                  <wp:docPr id="158" name="Imagem 158" descr="C:\Users\clarissa\Documents\F37 florist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larissa\Documents\F37 floristica.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98669" cy="2524799"/>
                          </a:xfrm>
                          <a:prstGeom prst="rect">
                            <a:avLst/>
                          </a:prstGeom>
                          <a:noFill/>
                          <a:ln>
                            <a:noFill/>
                          </a:ln>
                        </pic:spPr>
                      </pic:pic>
                    </a:graphicData>
                  </a:graphic>
                </wp:inline>
              </w:drawing>
            </w:r>
          </w:p>
        </w:tc>
      </w:tr>
      <w:tr w:rsidR="00943A4D" w:rsidRPr="005C7E13" w:rsidTr="008B5745">
        <w:tc>
          <w:tcPr>
            <w:tcW w:w="4962" w:type="dxa"/>
            <w:tcBorders>
              <w:top w:val="nil"/>
              <w:left w:val="nil"/>
              <w:bottom w:val="nil"/>
              <w:right w:val="nil"/>
            </w:tcBorders>
          </w:tcPr>
          <w:p w:rsidR="00943A4D" w:rsidRPr="005C7E13" w:rsidRDefault="00943A4D" w:rsidP="003F2023">
            <w:pPr>
              <w:tabs>
                <w:tab w:val="left" w:pos="720"/>
                <w:tab w:val="left" w:pos="1080"/>
                <w:tab w:val="left" w:pos="3175"/>
              </w:tabs>
              <w:jc w:val="center"/>
              <w:rPr>
                <w:rStyle w:val="NormalDestaque"/>
                <w:rFonts w:ascii="Verdana" w:hAnsi="Verdana" w:cs="Tahoma"/>
                <w:sz w:val="22"/>
                <w:szCs w:val="22"/>
              </w:rPr>
            </w:pPr>
            <w:r w:rsidRPr="00095BFE">
              <w:rPr>
                <w:noProof/>
              </w:rPr>
              <w:drawing>
                <wp:inline distT="0" distB="0" distL="0" distR="0" wp14:anchorId="79BBE078" wp14:editId="379F59B3">
                  <wp:extent cx="3022979" cy="2159573"/>
                  <wp:effectExtent l="0" t="0" r="0" b="0"/>
                  <wp:docPr id="186" name="Imagem 186" descr="G:\CLARISSA  Imagens\2014 - 9 - Campo Jaguari\139MSDCF\DSC08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CLARISSA  Imagens\2014 - 9 - Campo Jaguari\139MSDCF\DSC08702.JPG"/>
                          <pic:cNvPicPr>
                            <a:picLocks noChangeAspect="1" noChangeArrowheads="1"/>
                          </pic:cNvPicPr>
                        </pic:nvPicPr>
                        <pic:blipFill>
                          <a:blip r:embed="rId44" cstate="print">
                            <a:extLst>
                              <a:ext uri="{BEBA8EAE-BF5A-486C-A8C5-ECC9F3942E4B}">
                                <a14:imgProps xmlns:a14="http://schemas.microsoft.com/office/drawing/2010/main">
                                  <a14:imgLayer r:embed="rId45">
                                    <a14:imgEffect>
                                      <a14:saturation sat="104000"/>
                                    </a14:imgEffect>
                                    <a14:imgEffect>
                                      <a14:brightnessContrast contrast="7000"/>
                                    </a14:imgEffect>
                                  </a14:imgLayer>
                                </a14:imgProps>
                              </a:ext>
                              <a:ext uri="{28A0092B-C50C-407E-A947-70E740481C1C}">
                                <a14:useLocalDpi xmlns:a14="http://schemas.microsoft.com/office/drawing/2010/main" val="0"/>
                              </a:ext>
                            </a:extLst>
                          </a:blip>
                          <a:srcRect/>
                          <a:stretch>
                            <a:fillRect/>
                          </a:stretch>
                        </pic:blipFill>
                        <pic:spPr bwMode="auto">
                          <a:xfrm>
                            <a:off x="0" y="0"/>
                            <a:ext cx="3027863" cy="2163062"/>
                          </a:xfrm>
                          <a:prstGeom prst="rect">
                            <a:avLst/>
                          </a:prstGeom>
                          <a:noFill/>
                          <a:ln>
                            <a:noFill/>
                          </a:ln>
                        </pic:spPr>
                      </pic:pic>
                    </a:graphicData>
                  </a:graphic>
                </wp:inline>
              </w:drawing>
            </w:r>
          </w:p>
        </w:tc>
        <w:tc>
          <w:tcPr>
            <w:tcW w:w="4819" w:type="dxa"/>
            <w:tcBorders>
              <w:top w:val="nil"/>
              <w:left w:val="nil"/>
              <w:bottom w:val="nil"/>
              <w:right w:val="nil"/>
            </w:tcBorders>
          </w:tcPr>
          <w:p w:rsidR="00943A4D" w:rsidRPr="005C7E13" w:rsidRDefault="00943A4D" w:rsidP="003F2023">
            <w:pPr>
              <w:tabs>
                <w:tab w:val="left" w:pos="720"/>
                <w:tab w:val="left" w:pos="1080"/>
                <w:tab w:val="left" w:pos="3175"/>
              </w:tabs>
              <w:jc w:val="center"/>
              <w:rPr>
                <w:rStyle w:val="NormalDestaque"/>
                <w:rFonts w:ascii="Verdana" w:hAnsi="Verdana" w:cs="Tahoma"/>
                <w:sz w:val="22"/>
                <w:szCs w:val="22"/>
              </w:rPr>
            </w:pPr>
            <w:r w:rsidRPr="00062D27">
              <w:rPr>
                <w:rStyle w:val="NormalDestaque"/>
                <w:rFonts w:ascii="Verdana" w:hAnsi="Verdana" w:cs="Tahoma"/>
                <w:noProof/>
              </w:rPr>
              <w:drawing>
                <wp:inline distT="0" distB="0" distL="0" distR="0" wp14:anchorId="7740F679" wp14:editId="123C86FB">
                  <wp:extent cx="2880000" cy="2160000"/>
                  <wp:effectExtent l="0" t="0" r="0" b="0"/>
                  <wp:docPr id="187" name="Imagem 187" descr="G:\CLARISSA  Imagens\2014 - 9 - Campo Jaguari\141MSDCF\DSC09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CLARISSA  Imagens\2014 - 9 - Campo Jaguari\141MSDCF\DSC09251.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tc>
      </w:tr>
      <w:tr w:rsidR="00943A4D" w:rsidRPr="00062D27" w:rsidTr="008B5745">
        <w:tc>
          <w:tcPr>
            <w:tcW w:w="4962" w:type="dxa"/>
            <w:tcBorders>
              <w:top w:val="nil"/>
              <w:left w:val="nil"/>
              <w:bottom w:val="nil"/>
              <w:right w:val="nil"/>
            </w:tcBorders>
          </w:tcPr>
          <w:p w:rsidR="00943A4D" w:rsidRPr="00AD3E1C" w:rsidRDefault="00943A4D" w:rsidP="003F2023">
            <w:pPr>
              <w:rPr>
                <w:rStyle w:val="NormalDestaque"/>
                <w:rFonts w:cs="Arial"/>
                <w:b w:val="0"/>
                <w:color w:val="auto"/>
                <w:sz w:val="18"/>
                <w:szCs w:val="18"/>
              </w:rPr>
            </w:pPr>
            <w:r w:rsidRPr="00AD3E1C">
              <w:rPr>
                <w:rStyle w:val="NormalDestaque"/>
                <w:rFonts w:cs="Arial"/>
                <w:b w:val="0"/>
                <w:color w:val="auto"/>
                <w:sz w:val="18"/>
                <w:szCs w:val="18"/>
              </w:rPr>
              <w:t>Vista geral correspondente a área F37 de amostragem. Trecho</w:t>
            </w:r>
            <w:r w:rsidR="0026570F">
              <w:rPr>
                <w:rStyle w:val="NormalDestaque"/>
                <w:rFonts w:cs="Arial"/>
                <w:b w:val="0"/>
                <w:color w:val="auto"/>
                <w:sz w:val="18"/>
                <w:szCs w:val="18"/>
              </w:rPr>
              <w:t xml:space="preserve"> </w:t>
            </w:r>
            <w:r w:rsidRPr="00AD3E1C">
              <w:rPr>
                <w:rStyle w:val="NormalDestaque"/>
                <w:rFonts w:cs="Arial"/>
                <w:b w:val="0"/>
                <w:color w:val="auto"/>
                <w:sz w:val="18"/>
                <w:szCs w:val="18"/>
              </w:rPr>
              <w:t>1.</w:t>
            </w:r>
          </w:p>
        </w:tc>
        <w:tc>
          <w:tcPr>
            <w:tcW w:w="4819" w:type="dxa"/>
            <w:tcBorders>
              <w:top w:val="nil"/>
              <w:left w:val="nil"/>
              <w:bottom w:val="nil"/>
              <w:right w:val="nil"/>
            </w:tcBorders>
          </w:tcPr>
          <w:p w:rsidR="00943A4D" w:rsidRPr="00AD3E1C" w:rsidRDefault="00943A4D" w:rsidP="003F2023">
            <w:pPr>
              <w:rPr>
                <w:rStyle w:val="NormalDestaque"/>
                <w:rFonts w:cs="Arial"/>
                <w:b w:val="0"/>
                <w:color w:val="auto"/>
                <w:sz w:val="18"/>
                <w:szCs w:val="18"/>
              </w:rPr>
            </w:pPr>
            <w:r w:rsidRPr="00AD3E1C">
              <w:rPr>
                <w:rStyle w:val="NormalDestaque"/>
                <w:rFonts w:cs="Arial"/>
                <w:b w:val="0"/>
                <w:color w:val="auto"/>
                <w:sz w:val="18"/>
                <w:szCs w:val="18"/>
              </w:rPr>
              <w:t>Vista interna de fragmento correspondente a área F37 de amostragem. Trecho 3.</w:t>
            </w:r>
          </w:p>
        </w:tc>
      </w:tr>
    </w:tbl>
    <w:p w:rsidR="00943A4D" w:rsidRPr="00AD3E1C" w:rsidRDefault="00943A4D" w:rsidP="00943A4D">
      <w:pPr>
        <w:tabs>
          <w:tab w:val="left" w:pos="720"/>
          <w:tab w:val="left" w:pos="1080"/>
          <w:tab w:val="left" w:pos="3175"/>
        </w:tabs>
        <w:spacing w:before="120"/>
        <w:rPr>
          <w:rStyle w:val="NormalDestaque"/>
          <w:rFonts w:cs="Arial"/>
          <w:b w:val="0"/>
          <w:color w:val="auto"/>
        </w:rPr>
      </w:pPr>
      <w:r w:rsidRPr="00AD3E1C">
        <w:rPr>
          <w:rStyle w:val="NormalDestaque"/>
          <w:rFonts w:cs="Arial"/>
          <w:b w:val="0"/>
          <w:color w:val="auto"/>
        </w:rPr>
        <w:t xml:space="preserve">A suficiência amostral, para cada área de levantamento sistematizado, pode ser observada </w:t>
      </w:r>
      <w:r>
        <w:rPr>
          <w:rStyle w:val="NormalDestaque"/>
          <w:rFonts w:cs="Arial"/>
          <w:b w:val="0"/>
          <w:color w:val="auto"/>
        </w:rPr>
        <w:t xml:space="preserve">por meio </w:t>
      </w:r>
      <w:r w:rsidRPr="00AD3E1C">
        <w:rPr>
          <w:rStyle w:val="NormalDestaque"/>
          <w:rFonts w:cs="Arial"/>
          <w:b w:val="0"/>
          <w:color w:val="auto"/>
        </w:rPr>
        <w:t>das curvas de acumulação de espécies apresentadas a seguir, considerando-se intervalos com duração de 15 minutos, onde foi computado o incremento de novas espécies correspondentes a indivíduos arbóreos, arbustivos, além de estipes, fetos arborescentes e epífitas. Pelo escopo do presente trabalho, indivíduos de outras formas de vida</w:t>
      </w:r>
      <w:r>
        <w:rPr>
          <w:rStyle w:val="NormalDestaque"/>
          <w:rFonts w:cs="Arial"/>
          <w:b w:val="0"/>
          <w:color w:val="auto"/>
        </w:rPr>
        <w:t>,</w:t>
      </w:r>
      <w:r w:rsidRPr="00AD3E1C">
        <w:rPr>
          <w:rStyle w:val="NormalDestaque"/>
          <w:rFonts w:cs="Arial"/>
          <w:b w:val="0"/>
          <w:color w:val="auto"/>
        </w:rPr>
        <w:t xml:space="preserve"> a exemplo de herbáceas e lianas, não foram incluídos para elaboração da curva, já que apenas espécies mais </w:t>
      </w:r>
      <w:r w:rsidRPr="005A3F39">
        <w:rPr>
          <w:rStyle w:val="NormalDestaque"/>
          <w:rFonts w:cs="Arial"/>
          <w:b w:val="0"/>
          <w:color w:val="auto"/>
        </w:rPr>
        <w:t>abundantes foram amostradas, sendo citadas na tabela geral de espécies (</w:t>
      </w:r>
      <w:r w:rsidRPr="005A3F39">
        <w:rPr>
          <w:rStyle w:val="NormalDestaque"/>
          <w:rFonts w:cs="Arial"/>
          <w:color w:val="auto"/>
        </w:rPr>
        <w:t>Anexo 1.2</w:t>
      </w:r>
      <w:r w:rsidRPr="005A3F39">
        <w:rPr>
          <w:rStyle w:val="NormalDestaque"/>
          <w:rFonts w:cs="Arial"/>
          <w:b w:val="0"/>
          <w:color w:val="auto"/>
        </w:rPr>
        <w:t>).</w:t>
      </w:r>
    </w:p>
    <w:p w:rsidR="00943A4D" w:rsidRPr="008B5745" w:rsidRDefault="008B5745" w:rsidP="008B5745">
      <w:pPr>
        <w:pStyle w:val="Quadro"/>
        <w:rPr>
          <w:bCs/>
        </w:rPr>
      </w:pPr>
      <w:r w:rsidRPr="008B5745">
        <w:rPr>
          <w:b w:val="0"/>
          <w:bCs/>
        </w:rPr>
        <w:t>Figura 6.4.</w:t>
      </w:r>
      <w:r w:rsidR="00200A8F">
        <w:rPr>
          <w:b w:val="0"/>
          <w:bCs/>
        </w:rPr>
        <w:t>2-7.</w:t>
      </w:r>
      <w:r w:rsidRPr="008B5745">
        <w:rPr>
          <w:bCs/>
        </w:rPr>
        <w:t xml:space="preserve"> Curvas de acumulação de espécies em função do tempo de amostragem</w:t>
      </w:r>
    </w:p>
    <w:tbl>
      <w:tblPr>
        <w:tblStyle w:val="Tabelacomgrade"/>
        <w:tblW w:w="9639" w:type="dxa"/>
        <w:tblInd w:w="70" w:type="dxa"/>
        <w:tblLayout w:type="fixed"/>
        <w:tblCellMar>
          <w:left w:w="70" w:type="dxa"/>
          <w:right w:w="70" w:type="dxa"/>
        </w:tblCellMar>
        <w:tblLook w:val="04A0" w:firstRow="1" w:lastRow="0" w:firstColumn="1" w:lastColumn="0" w:noHBand="0" w:noVBand="1"/>
      </w:tblPr>
      <w:tblGrid>
        <w:gridCol w:w="4820"/>
        <w:gridCol w:w="4819"/>
      </w:tblGrid>
      <w:tr w:rsidR="00943A4D" w:rsidTr="003F2023">
        <w:tc>
          <w:tcPr>
            <w:tcW w:w="4820" w:type="dxa"/>
          </w:tcPr>
          <w:p w:rsidR="00943A4D" w:rsidRDefault="00943A4D" w:rsidP="003F2023">
            <w:r>
              <w:rPr>
                <w:noProof/>
              </w:rPr>
              <w:drawing>
                <wp:inline distT="0" distB="0" distL="0" distR="0" wp14:anchorId="37130AF3" wp14:editId="7097D5DB">
                  <wp:extent cx="2638364" cy="1758909"/>
                  <wp:effectExtent l="0" t="0" r="0" b="0"/>
                  <wp:docPr id="188" name="Gráfico 18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c>
          <w:tcPr>
            <w:tcW w:w="4819" w:type="dxa"/>
          </w:tcPr>
          <w:p w:rsidR="00943A4D" w:rsidRDefault="00943A4D" w:rsidP="003F2023">
            <w:r>
              <w:rPr>
                <w:noProof/>
              </w:rPr>
              <w:drawing>
                <wp:inline distT="0" distB="0" distL="0" distR="0" wp14:anchorId="0BF41AA3" wp14:editId="2EAE9E3B">
                  <wp:extent cx="2673439" cy="1758315"/>
                  <wp:effectExtent l="0" t="0" r="0" b="0"/>
                  <wp:docPr id="189" name="Gráfico 189"/>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r w:rsidR="00943A4D" w:rsidTr="00861F96">
        <w:tc>
          <w:tcPr>
            <w:tcW w:w="4820" w:type="dxa"/>
            <w:tcBorders>
              <w:bottom w:val="single" w:sz="4" w:space="0" w:color="auto"/>
            </w:tcBorders>
          </w:tcPr>
          <w:p w:rsidR="00943A4D" w:rsidRDefault="00943A4D" w:rsidP="003F2023">
            <w:r>
              <w:rPr>
                <w:noProof/>
              </w:rPr>
              <w:lastRenderedPageBreak/>
              <w:drawing>
                <wp:inline distT="0" distB="0" distL="0" distR="0" wp14:anchorId="7BF90E0E" wp14:editId="1C9D1A03">
                  <wp:extent cx="2637790" cy="1776382"/>
                  <wp:effectExtent l="0" t="0" r="0" b="0"/>
                  <wp:docPr id="190" name="Gráfico 190"/>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c>
          <w:tcPr>
            <w:tcW w:w="4819" w:type="dxa"/>
            <w:tcBorders>
              <w:bottom w:val="single" w:sz="4" w:space="0" w:color="auto"/>
            </w:tcBorders>
          </w:tcPr>
          <w:p w:rsidR="00943A4D" w:rsidRDefault="00943A4D" w:rsidP="003F2023">
            <w:r>
              <w:rPr>
                <w:noProof/>
              </w:rPr>
              <w:drawing>
                <wp:inline distT="0" distB="0" distL="0" distR="0" wp14:anchorId="51FBA05B" wp14:editId="3D43B6E6">
                  <wp:extent cx="2673350" cy="1776095"/>
                  <wp:effectExtent l="0" t="0" r="0" b="0"/>
                  <wp:docPr id="191" name="Gráfico 19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r w:rsidR="00943A4D" w:rsidTr="00861F96">
        <w:tc>
          <w:tcPr>
            <w:tcW w:w="4820" w:type="dxa"/>
            <w:tcBorders>
              <w:bottom w:val="single" w:sz="4" w:space="0" w:color="auto"/>
            </w:tcBorders>
          </w:tcPr>
          <w:p w:rsidR="00943A4D" w:rsidRDefault="00943A4D" w:rsidP="003F2023">
            <w:r>
              <w:rPr>
                <w:noProof/>
              </w:rPr>
              <w:drawing>
                <wp:inline distT="0" distB="0" distL="0" distR="0" wp14:anchorId="69CC6859" wp14:editId="61CC1385">
                  <wp:extent cx="2784389" cy="1783080"/>
                  <wp:effectExtent l="0" t="0" r="0" b="0"/>
                  <wp:docPr id="192" name="Gráfico 19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c>
          <w:tcPr>
            <w:tcW w:w="4819" w:type="dxa"/>
            <w:tcBorders>
              <w:bottom w:val="single" w:sz="4" w:space="0" w:color="auto"/>
            </w:tcBorders>
          </w:tcPr>
          <w:p w:rsidR="00943A4D" w:rsidRDefault="00943A4D" w:rsidP="003F2023">
            <w:r>
              <w:rPr>
                <w:noProof/>
              </w:rPr>
              <w:drawing>
                <wp:inline distT="0" distB="0" distL="0" distR="0" wp14:anchorId="6D15B273" wp14:editId="746BDD83">
                  <wp:extent cx="2667485" cy="1735455"/>
                  <wp:effectExtent l="0" t="0" r="0" b="0"/>
                  <wp:docPr id="193" name="Gráfico 19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r w:rsidR="00943A4D" w:rsidRPr="00861F96" w:rsidTr="00861F96">
        <w:tblPrEx>
          <w:tblCellMar>
            <w:left w:w="108" w:type="dxa"/>
            <w:right w:w="108" w:type="dxa"/>
          </w:tblCellMar>
        </w:tblPrEx>
        <w:tc>
          <w:tcPr>
            <w:tcW w:w="9639" w:type="dxa"/>
            <w:gridSpan w:val="2"/>
            <w:tcBorders>
              <w:top w:val="single" w:sz="4" w:space="0" w:color="auto"/>
              <w:left w:val="nil"/>
              <w:bottom w:val="nil"/>
              <w:right w:val="nil"/>
            </w:tcBorders>
          </w:tcPr>
          <w:p w:rsidR="00943A4D" w:rsidRPr="00861F96" w:rsidRDefault="00861F96" w:rsidP="003F2023">
            <w:pPr>
              <w:rPr>
                <w:rStyle w:val="NormalDestaque"/>
                <w:rFonts w:cs="Arial"/>
                <w:b w:val="0"/>
                <w:color w:val="auto"/>
                <w:sz w:val="18"/>
                <w:szCs w:val="18"/>
              </w:rPr>
            </w:pPr>
            <w:r w:rsidRPr="00861F96">
              <w:rPr>
                <w:rStyle w:val="NormalDestaque"/>
                <w:rFonts w:cs="Arial"/>
                <w:b w:val="0"/>
                <w:color w:val="auto"/>
                <w:sz w:val="18"/>
                <w:szCs w:val="18"/>
              </w:rPr>
              <w:t>Nota - L</w:t>
            </w:r>
            <w:r w:rsidR="00943A4D" w:rsidRPr="00861F96">
              <w:rPr>
                <w:rStyle w:val="NormalDestaque"/>
                <w:rFonts w:cs="Arial"/>
                <w:b w:val="0"/>
                <w:color w:val="auto"/>
                <w:sz w:val="18"/>
                <w:szCs w:val="18"/>
              </w:rPr>
              <w:t>evantamento florístico realizado em setembro de 2014, nas áreas F3, F8, F24, F28, F33 e F37, na AID da Interligação entre as represas Jaguari e Atibainha.</w:t>
            </w:r>
          </w:p>
        </w:tc>
      </w:tr>
    </w:tbl>
    <w:p w:rsidR="00943A4D" w:rsidRPr="009D7F53" w:rsidRDefault="00943A4D" w:rsidP="00943A4D">
      <w:pPr>
        <w:rPr>
          <w:rStyle w:val="NormalDestaque"/>
          <w:rFonts w:ascii="Verdana" w:hAnsi="Verdana" w:cs="Tahoma"/>
          <w:b w:val="0"/>
        </w:rPr>
      </w:pPr>
      <w:r>
        <w:t>Considerando-se os resultados globais para as 6 áreas</w:t>
      </w:r>
      <w:r w:rsidRPr="00AD5A02">
        <w:t xml:space="preserve"> </w:t>
      </w:r>
      <w:r>
        <w:t>de amostragem sistematizada</w:t>
      </w:r>
      <w:r w:rsidRPr="00AD5A02">
        <w:t>, foram registrad</w:t>
      </w:r>
      <w:r>
        <w:t>a</w:t>
      </w:r>
      <w:r w:rsidRPr="00AD5A02">
        <w:t xml:space="preserve">s </w:t>
      </w:r>
      <w:r w:rsidRPr="008756BB">
        <w:t>2</w:t>
      </w:r>
      <w:r>
        <w:t>35</w:t>
      </w:r>
      <w:r w:rsidRPr="00AD5A02">
        <w:t xml:space="preserve"> espécies, pertencentes a </w:t>
      </w:r>
      <w:r>
        <w:t>47</w:t>
      </w:r>
      <w:r w:rsidRPr="00AD5A02">
        <w:t xml:space="preserve"> famílias</w:t>
      </w:r>
      <w:r>
        <w:t>, que incluíram indivíduos arbóreos (180 sps), arbustivos (29 sps), estipes (3 sps), fetos aborescentes (3 sps) e epífitas (19 sps) e uma espécie terrestre de bromélia</w:t>
      </w:r>
      <w:r w:rsidRPr="00AD5A02">
        <w:t>. Destaca</w:t>
      </w:r>
      <w:r>
        <w:t>ram</w:t>
      </w:r>
      <w:r w:rsidRPr="00AD5A02">
        <w:t>-se</w:t>
      </w:r>
      <w:r>
        <w:t>,</w:t>
      </w:r>
      <w:r w:rsidRPr="00AD5A02">
        <w:t xml:space="preserve"> em número de </w:t>
      </w:r>
      <w:r>
        <w:t xml:space="preserve">espécies, as famílias: Fabaceae (30), Melastomataceae (26), Rubiaceae e Myrtaceae (13), Lauraceae (12), Euphorbiaceae (11), Compositae, Bromeliaceae e Piperaceae (9), </w:t>
      </w:r>
      <w:r w:rsidRPr="009D7F53">
        <w:t>Sapindaceae e Solanaceae</w:t>
      </w:r>
      <w:r>
        <w:t xml:space="preserve"> </w:t>
      </w:r>
      <w:r w:rsidRPr="009D7F53">
        <w:t>(7)</w:t>
      </w:r>
      <w:r>
        <w:t>.</w:t>
      </w:r>
    </w:p>
    <w:p w:rsidR="00943A4D" w:rsidRPr="00AD3E1C" w:rsidRDefault="00943A4D" w:rsidP="00943A4D">
      <w:pPr>
        <w:tabs>
          <w:tab w:val="left" w:pos="720"/>
          <w:tab w:val="left" w:pos="1080"/>
          <w:tab w:val="left" w:pos="3175"/>
        </w:tabs>
        <w:rPr>
          <w:rStyle w:val="NormalDestaque"/>
          <w:rFonts w:cs="Arial"/>
          <w:b w:val="0"/>
          <w:color w:val="auto"/>
        </w:rPr>
      </w:pPr>
      <w:r w:rsidRPr="00AD3E1C">
        <w:rPr>
          <w:rStyle w:val="NormalDestaque"/>
          <w:rFonts w:cs="Arial"/>
          <w:b w:val="0"/>
          <w:color w:val="auto"/>
        </w:rPr>
        <w:t>Buscando ampliar o entendimento sobre a distribuição das espécies ao longo do traçado, foi realizada análise de similaridade florística entre as seis áreas amostrais (F3, F8, F24, F28, F33 e F37), conforme procedimentos descritos anteriormente na Metodologia. Para tanto, foram comparados os registros de espécies arbóreas, arbustivas, de estipes, fetos arborescentes e epífitas de ocorrência nos trechos florestais percorridos.</w:t>
      </w:r>
    </w:p>
    <w:p w:rsidR="00943A4D" w:rsidRPr="00AD3E1C" w:rsidRDefault="00943A4D" w:rsidP="00943A4D">
      <w:pPr>
        <w:rPr>
          <w:rStyle w:val="NormalDestaque"/>
          <w:rFonts w:cs="Arial"/>
          <w:b w:val="0"/>
          <w:color w:val="auto"/>
        </w:rPr>
      </w:pPr>
      <w:r>
        <w:rPr>
          <w:rStyle w:val="NormalDestaque"/>
          <w:rFonts w:cs="Arial"/>
          <w:b w:val="0"/>
          <w:color w:val="auto"/>
        </w:rPr>
        <w:t xml:space="preserve">A </w:t>
      </w:r>
      <w:r w:rsidRPr="002D708B">
        <w:rPr>
          <w:rStyle w:val="NormalDestaque"/>
          <w:rFonts w:cs="Arial"/>
          <w:color w:val="auto"/>
        </w:rPr>
        <w:t>Tabela 6.4.</w:t>
      </w:r>
      <w:r w:rsidR="00200A8F">
        <w:rPr>
          <w:rStyle w:val="NormalDestaque"/>
          <w:rFonts w:cs="Arial"/>
          <w:color w:val="auto"/>
        </w:rPr>
        <w:t>2-</w:t>
      </w:r>
      <w:r w:rsidR="00B84E57">
        <w:rPr>
          <w:rStyle w:val="NormalDestaque"/>
          <w:rFonts w:cs="Arial"/>
          <w:color w:val="auto"/>
        </w:rPr>
        <w:t>2</w:t>
      </w:r>
      <w:r>
        <w:rPr>
          <w:rStyle w:val="NormalDestaque"/>
          <w:rFonts w:cs="Arial"/>
          <w:b w:val="0"/>
          <w:color w:val="auto"/>
        </w:rPr>
        <w:t xml:space="preserve"> apresenta as c</w:t>
      </w:r>
      <w:r w:rsidRPr="00AD3E1C">
        <w:rPr>
          <w:rStyle w:val="NormalDestaque"/>
          <w:rFonts w:cs="Arial"/>
          <w:b w:val="0"/>
          <w:color w:val="auto"/>
        </w:rPr>
        <w:t xml:space="preserve">aracterísticas gerais das áreas de amostragem, enquanto a </w:t>
      </w:r>
      <w:r w:rsidRPr="00392B3A">
        <w:rPr>
          <w:rStyle w:val="NormalDestaque"/>
          <w:rFonts w:cs="Arial"/>
          <w:color w:val="auto"/>
        </w:rPr>
        <w:t xml:space="preserve">Figura </w:t>
      </w:r>
      <w:r w:rsidR="002D708B">
        <w:rPr>
          <w:rStyle w:val="NormalDestaque"/>
          <w:rFonts w:cs="Arial"/>
          <w:color w:val="auto"/>
        </w:rPr>
        <w:t>6.4.</w:t>
      </w:r>
      <w:r w:rsidR="001103F0">
        <w:rPr>
          <w:rStyle w:val="NormalDestaque"/>
          <w:rFonts w:cs="Arial"/>
          <w:color w:val="auto"/>
        </w:rPr>
        <w:t>2-8</w:t>
      </w:r>
      <w:r w:rsidRPr="00392B3A">
        <w:rPr>
          <w:rStyle w:val="NormalDestaque"/>
          <w:rFonts w:cs="Arial"/>
          <w:b w:val="0"/>
          <w:color w:val="auto"/>
        </w:rPr>
        <w:t xml:space="preserve"> apresenta o resultado de similaridade, onde foi utilizado o índice de Jaccard e</w:t>
      </w:r>
      <w:r w:rsidRPr="00AD3E1C">
        <w:rPr>
          <w:rStyle w:val="NormalDestaque"/>
          <w:rFonts w:cs="Arial"/>
          <w:b w:val="0"/>
          <w:color w:val="auto"/>
        </w:rPr>
        <w:t xml:space="preserve"> distância euclidiana para análise. </w:t>
      </w:r>
    </w:p>
    <w:p w:rsidR="00943A4D" w:rsidRPr="00861F96" w:rsidRDefault="00943A4D" w:rsidP="00861F96">
      <w:pPr>
        <w:pStyle w:val="Quadro"/>
      </w:pPr>
      <w:r w:rsidRPr="00861F96">
        <w:t>Tabela 6.4.</w:t>
      </w:r>
      <w:r w:rsidR="00200A8F">
        <w:t>2-</w:t>
      </w:r>
      <w:r w:rsidR="00B84E57">
        <w:t>2</w:t>
      </w:r>
      <w:r w:rsidR="00200A8F">
        <w:t>.</w:t>
      </w:r>
      <w:r w:rsidRPr="00861F96">
        <w:t xml:space="preserve"> Localização e características gerais das áreas de levantamento</w:t>
      </w:r>
      <w:r w:rsidR="007005C7">
        <w:t xml:space="preserve"> de </w:t>
      </w:r>
      <w:r w:rsidR="007055B7">
        <w:t>Flora</w:t>
      </w:r>
      <w:r w:rsidRPr="00861F96">
        <w:t>, 2014, na AID da Interligação entre as represas Jaguari e Atibainha.</w:t>
      </w:r>
    </w:p>
    <w:tbl>
      <w:tblPr>
        <w:tblStyle w:val="Tabelacomgrade"/>
        <w:tblW w:w="9980" w:type="dxa"/>
        <w:tblLayout w:type="fixed"/>
        <w:tblCellMar>
          <w:left w:w="57" w:type="dxa"/>
          <w:right w:w="57" w:type="dxa"/>
        </w:tblCellMar>
        <w:tblLook w:val="04A0" w:firstRow="1" w:lastRow="0" w:firstColumn="1" w:lastColumn="0" w:noHBand="0" w:noVBand="1"/>
      </w:tblPr>
      <w:tblGrid>
        <w:gridCol w:w="1191"/>
        <w:gridCol w:w="1276"/>
        <w:gridCol w:w="1559"/>
        <w:gridCol w:w="1418"/>
        <w:gridCol w:w="1417"/>
        <w:gridCol w:w="1560"/>
        <w:gridCol w:w="1559"/>
      </w:tblGrid>
      <w:tr w:rsidR="00943A4D" w:rsidRPr="00884696" w:rsidTr="003F2023">
        <w:trPr>
          <w:cantSplit/>
          <w:trHeight w:val="284"/>
          <w:tblHeader/>
        </w:trPr>
        <w:tc>
          <w:tcPr>
            <w:tcW w:w="1191" w:type="dxa"/>
            <w:shd w:val="clear" w:color="auto" w:fill="DAEEF3" w:themeFill="accent5" w:themeFillTint="33"/>
            <w:vAlign w:val="center"/>
          </w:tcPr>
          <w:p w:rsidR="00943A4D" w:rsidRPr="00884696" w:rsidRDefault="00943A4D" w:rsidP="003F2023">
            <w:pPr>
              <w:spacing w:after="0"/>
              <w:jc w:val="center"/>
              <w:rPr>
                <w:rFonts w:cs="Arial"/>
                <w:b/>
                <w:sz w:val="16"/>
                <w:szCs w:val="16"/>
              </w:rPr>
            </w:pPr>
            <w:r w:rsidRPr="00884696">
              <w:rPr>
                <w:rFonts w:cs="Arial"/>
                <w:b/>
                <w:sz w:val="16"/>
                <w:szCs w:val="16"/>
              </w:rPr>
              <w:t>Áreas Amostrais</w:t>
            </w:r>
          </w:p>
        </w:tc>
        <w:tc>
          <w:tcPr>
            <w:tcW w:w="1276" w:type="dxa"/>
            <w:shd w:val="clear" w:color="auto" w:fill="DAEEF3" w:themeFill="accent5" w:themeFillTint="33"/>
            <w:vAlign w:val="center"/>
          </w:tcPr>
          <w:p w:rsidR="00943A4D" w:rsidRPr="00884696" w:rsidRDefault="00943A4D" w:rsidP="003F2023">
            <w:pPr>
              <w:spacing w:after="0"/>
              <w:jc w:val="center"/>
              <w:rPr>
                <w:rFonts w:cs="Arial"/>
                <w:b/>
                <w:sz w:val="16"/>
                <w:szCs w:val="16"/>
              </w:rPr>
            </w:pPr>
            <w:r w:rsidRPr="00884696">
              <w:rPr>
                <w:rFonts w:cs="Arial"/>
                <w:b/>
                <w:sz w:val="16"/>
                <w:szCs w:val="16"/>
              </w:rPr>
              <w:t>F3</w:t>
            </w:r>
          </w:p>
        </w:tc>
        <w:tc>
          <w:tcPr>
            <w:tcW w:w="1559" w:type="dxa"/>
            <w:shd w:val="clear" w:color="auto" w:fill="DAEEF3" w:themeFill="accent5" w:themeFillTint="33"/>
            <w:vAlign w:val="center"/>
          </w:tcPr>
          <w:p w:rsidR="00943A4D" w:rsidRPr="00884696" w:rsidRDefault="00943A4D" w:rsidP="003F2023">
            <w:pPr>
              <w:spacing w:after="0"/>
              <w:jc w:val="center"/>
              <w:rPr>
                <w:rFonts w:cs="Arial"/>
                <w:b/>
                <w:sz w:val="16"/>
                <w:szCs w:val="16"/>
              </w:rPr>
            </w:pPr>
            <w:r w:rsidRPr="00884696">
              <w:rPr>
                <w:rFonts w:cs="Arial"/>
                <w:b/>
                <w:sz w:val="16"/>
                <w:szCs w:val="16"/>
              </w:rPr>
              <w:t>F8</w:t>
            </w:r>
          </w:p>
        </w:tc>
        <w:tc>
          <w:tcPr>
            <w:tcW w:w="1418" w:type="dxa"/>
            <w:shd w:val="clear" w:color="auto" w:fill="DAEEF3" w:themeFill="accent5" w:themeFillTint="33"/>
            <w:vAlign w:val="center"/>
          </w:tcPr>
          <w:p w:rsidR="00943A4D" w:rsidRPr="00884696" w:rsidRDefault="00943A4D" w:rsidP="003F2023">
            <w:pPr>
              <w:spacing w:after="0"/>
              <w:jc w:val="center"/>
              <w:rPr>
                <w:rFonts w:cs="Arial"/>
                <w:b/>
                <w:sz w:val="16"/>
                <w:szCs w:val="16"/>
              </w:rPr>
            </w:pPr>
            <w:r w:rsidRPr="00884696">
              <w:rPr>
                <w:rFonts w:cs="Arial"/>
                <w:b/>
                <w:sz w:val="16"/>
                <w:szCs w:val="16"/>
              </w:rPr>
              <w:t>F24</w:t>
            </w:r>
          </w:p>
        </w:tc>
        <w:tc>
          <w:tcPr>
            <w:tcW w:w="1417" w:type="dxa"/>
            <w:shd w:val="clear" w:color="auto" w:fill="DAEEF3" w:themeFill="accent5" w:themeFillTint="33"/>
            <w:vAlign w:val="center"/>
          </w:tcPr>
          <w:p w:rsidR="00943A4D" w:rsidRPr="00884696" w:rsidRDefault="00943A4D" w:rsidP="003F2023">
            <w:pPr>
              <w:spacing w:after="0"/>
              <w:jc w:val="center"/>
              <w:rPr>
                <w:rFonts w:cs="Arial"/>
                <w:b/>
                <w:sz w:val="16"/>
                <w:szCs w:val="16"/>
              </w:rPr>
            </w:pPr>
            <w:r w:rsidRPr="00884696">
              <w:rPr>
                <w:rFonts w:cs="Arial"/>
                <w:b/>
                <w:sz w:val="16"/>
                <w:szCs w:val="16"/>
              </w:rPr>
              <w:t>F28</w:t>
            </w:r>
          </w:p>
        </w:tc>
        <w:tc>
          <w:tcPr>
            <w:tcW w:w="1560" w:type="dxa"/>
            <w:shd w:val="clear" w:color="auto" w:fill="DAEEF3" w:themeFill="accent5" w:themeFillTint="33"/>
            <w:vAlign w:val="center"/>
          </w:tcPr>
          <w:p w:rsidR="00943A4D" w:rsidRPr="00884696" w:rsidRDefault="00943A4D" w:rsidP="003F2023">
            <w:pPr>
              <w:spacing w:after="0"/>
              <w:jc w:val="center"/>
              <w:rPr>
                <w:rFonts w:cs="Arial"/>
                <w:b/>
                <w:sz w:val="16"/>
                <w:szCs w:val="16"/>
              </w:rPr>
            </w:pPr>
            <w:r>
              <w:rPr>
                <w:rFonts w:cs="Arial"/>
                <w:b/>
                <w:sz w:val="16"/>
                <w:szCs w:val="16"/>
              </w:rPr>
              <w:t>F</w:t>
            </w:r>
            <w:r w:rsidRPr="00884696">
              <w:rPr>
                <w:rFonts w:cs="Arial"/>
                <w:b/>
                <w:sz w:val="16"/>
                <w:szCs w:val="16"/>
              </w:rPr>
              <w:t>33</w:t>
            </w:r>
          </w:p>
        </w:tc>
        <w:tc>
          <w:tcPr>
            <w:tcW w:w="1559" w:type="dxa"/>
            <w:shd w:val="clear" w:color="auto" w:fill="DAEEF3" w:themeFill="accent5" w:themeFillTint="33"/>
            <w:vAlign w:val="center"/>
          </w:tcPr>
          <w:p w:rsidR="00943A4D" w:rsidRPr="00884696" w:rsidRDefault="00943A4D" w:rsidP="003F2023">
            <w:pPr>
              <w:spacing w:after="0"/>
              <w:jc w:val="center"/>
              <w:rPr>
                <w:rFonts w:cs="Arial"/>
                <w:b/>
                <w:sz w:val="16"/>
                <w:szCs w:val="16"/>
              </w:rPr>
            </w:pPr>
            <w:r w:rsidRPr="00884696">
              <w:rPr>
                <w:rFonts w:cs="Arial"/>
                <w:b/>
                <w:sz w:val="16"/>
                <w:szCs w:val="16"/>
              </w:rPr>
              <w:t>F37</w:t>
            </w:r>
          </w:p>
        </w:tc>
      </w:tr>
      <w:tr w:rsidR="00943A4D" w:rsidRPr="00AD3E1C" w:rsidTr="003F2023">
        <w:trPr>
          <w:cantSplit/>
          <w:trHeight w:val="284"/>
        </w:trPr>
        <w:tc>
          <w:tcPr>
            <w:tcW w:w="1191" w:type="dxa"/>
            <w:vAlign w:val="center"/>
          </w:tcPr>
          <w:p w:rsidR="00943A4D" w:rsidRPr="00AD3E1C" w:rsidRDefault="00943A4D" w:rsidP="00780564">
            <w:pPr>
              <w:spacing w:after="0"/>
              <w:jc w:val="left"/>
              <w:rPr>
                <w:rFonts w:cs="Arial"/>
                <w:sz w:val="16"/>
                <w:szCs w:val="16"/>
              </w:rPr>
            </w:pPr>
            <w:r w:rsidRPr="00AD3E1C">
              <w:rPr>
                <w:rFonts w:cs="Arial"/>
                <w:sz w:val="16"/>
                <w:szCs w:val="16"/>
              </w:rPr>
              <w:t>Localização UTM (23K)</w:t>
            </w:r>
          </w:p>
        </w:tc>
        <w:tc>
          <w:tcPr>
            <w:tcW w:w="1276" w:type="dxa"/>
            <w:vAlign w:val="center"/>
          </w:tcPr>
          <w:p w:rsidR="00943A4D" w:rsidRPr="00AD3E1C" w:rsidRDefault="00943A4D" w:rsidP="003F2023">
            <w:pPr>
              <w:tabs>
                <w:tab w:val="left" w:pos="720"/>
                <w:tab w:val="left" w:pos="1080"/>
                <w:tab w:val="left" w:pos="3175"/>
              </w:tabs>
              <w:spacing w:after="0"/>
              <w:jc w:val="center"/>
              <w:rPr>
                <w:rFonts w:cs="Arial"/>
                <w:sz w:val="16"/>
                <w:szCs w:val="16"/>
              </w:rPr>
            </w:pPr>
            <w:r>
              <w:rPr>
                <w:rStyle w:val="NormalDestaque"/>
                <w:rFonts w:cs="Arial"/>
                <w:b w:val="0"/>
                <w:color w:val="auto"/>
                <w:sz w:val="16"/>
                <w:szCs w:val="16"/>
              </w:rPr>
              <w:t>379.606</w:t>
            </w:r>
            <w:r w:rsidRPr="00AD3E1C">
              <w:rPr>
                <w:rStyle w:val="NormalDestaque"/>
                <w:rFonts w:cs="Arial"/>
                <w:b w:val="0"/>
                <w:color w:val="auto"/>
                <w:sz w:val="16"/>
                <w:szCs w:val="16"/>
              </w:rPr>
              <w:t xml:space="preserve"> m E, 7</w:t>
            </w:r>
            <w:r>
              <w:rPr>
                <w:rStyle w:val="NormalDestaque"/>
                <w:rFonts w:cs="Arial"/>
                <w:b w:val="0"/>
                <w:color w:val="auto"/>
                <w:sz w:val="16"/>
                <w:szCs w:val="16"/>
              </w:rPr>
              <w:t>.</w:t>
            </w:r>
            <w:r w:rsidRPr="00AD3E1C">
              <w:rPr>
                <w:rStyle w:val="NormalDestaque"/>
                <w:rFonts w:cs="Arial"/>
                <w:b w:val="0"/>
                <w:color w:val="auto"/>
                <w:sz w:val="16"/>
                <w:szCs w:val="16"/>
              </w:rPr>
              <w:t>429</w:t>
            </w:r>
            <w:r>
              <w:rPr>
                <w:rStyle w:val="NormalDestaque"/>
                <w:rFonts w:cs="Arial"/>
                <w:b w:val="0"/>
                <w:color w:val="auto"/>
                <w:sz w:val="16"/>
                <w:szCs w:val="16"/>
              </w:rPr>
              <w:t>.</w:t>
            </w:r>
            <w:r w:rsidRPr="00AD3E1C">
              <w:rPr>
                <w:rStyle w:val="NormalDestaque"/>
                <w:rFonts w:cs="Arial"/>
                <w:b w:val="0"/>
                <w:color w:val="auto"/>
                <w:sz w:val="16"/>
                <w:szCs w:val="16"/>
              </w:rPr>
              <w:t xml:space="preserve">702 m S </w:t>
            </w:r>
          </w:p>
        </w:tc>
        <w:tc>
          <w:tcPr>
            <w:tcW w:w="1559" w:type="dxa"/>
            <w:vAlign w:val="center"/>
          </w:tcPr>
          <w:p w:rsidR="00943A4D" w:rsidRPr="00AD3E1C" w:rsidRDefault="00943A4D" w:rsidP="003F2023">
            <w:pPr>
              <w:spacing w:after="0"/>
              <w:jc w:val="center"/>
              <w:rPr>
                <w:rFonts w:cs="Arial"/>
                <w:sz w:val="16"/>
                <w:szCs w:val="16"/>
              </w:rPr>
            </w:pPr>
            <w:r>
              <w:rPr>
                <w:rFonts w:cs="Arial"/>
                <w:sz w:val="16"/>
                <w:szCs w:val="16"/>
              </w:rPr>
              <w:t>375.626</w:t>
            </w:r>
            <w:r w:rsidRPr="00AD3E1C">
              <w:rPr>
                <w:rFonts w:cs="Arial"/>
                <w:sz w:val="16"/>
                <w:szCs w:val="16"/>
              </w:rPr>
              <w:t xml:space="preserve"> m E, 7</w:t>
            </w:r>
            <w:r>
              <w:rPr>
                <w:rFonts w:cs="Arial"/>
                <w:sz w:val="16"/>
                <w:szCs w:val="16"/>
              </w:rPr>
              <w:t>.</w:t>
            </w:r>
            <w:r w:rsidRPr="00AD3E1C">
              <w:rPr>
                <w:rFonts w:cs="Arial"/>
                <w:sz w:val="16"/>
                <w:szCs w:val="16"/>
              </w:rPr>
              <w:t>434</w:t>
            </w:r>
            <w:r>
              <w:rPr>
                <w:rFonts w:cs="Arial"/>
                <w:sz w:val="16"/>
                <w:szCs w:val="16"/>
              </w:rPr>
              <w:t>.</w:t>
            </w:r>
            <w:r w:rsidRPr="00AD3E1C">
              <w:rPr>
                <w:rFonts w:cs="Arial"/>
                <w:sz w:val="16"/>
                <w:szCs w:val="16"/>
              </w:rPr>
              <w:t>24</w:t>
            </w:r>
            <w:r>
              <w:rPr>
                <w:rFonts w:cs="Arial"/>
                <w:sz w:val="16"/>
                <w:szCs w:val="16"/>
              </w:rPr>
              <w:t>1</w:t>
            </w:r>
            <w:r w:rsidRPr="00AD3E1C">
              <w:rPr>
                <w:rFonts w:cs="Arial"/>
                <w:sz w:val="16"/>
                <w:szCs w:val="16"/>
              </w:rPr>
              <w:t xml:space="preserve"> m</w:t>
            </w:r>
            <w:r>
              <w:rPr>
                <w:rFonts w:cs="Arial"/>
                <w:sz w:val="16"/>
                <w:szCs w:val="16"/>
              </w:rPr>
              <w:t xml:space="preserve"> </w:t>
            </w:r>
            <w:r w:rsidRPr="00AD3E1C">
              <w:rPr>
                <w:rFonts w:cs="Arial"/>
                <w:sz w:val="16"/>
                <w:szCs w:val="16"/>
              </w:rPr>
              <w:t>S.</w:t>
            </w:r>
          </w:p>
        </w:tc>
        <w:tc>
          <w:tcPr>
            <w:tcW w:w="1418" w:type="dxa"/>
            <w:vAlign w:val="center"/>
          </w:tcPr>
          <w:p w:rsidR="00943A4D" w:rsidRPr="00AD3E1C" w:rsidRDefault="00943A4D" w:rsidP="003F2023">
            <w:pPr>
              <w:spacing w:after="0"/>
              <w:jc w:val="center"/>
              <w:rPr>
                <w:rFonts w:cs="Arial"/>
                <w:sz w:val="16"/>
                <w:szCs w:val="16"/>
              </w:rPr>
            </w:pPr>
            <w:r>
              <w:rPr>
                <w:rFonts w:cs="Arial"/>
                <w:sz w:val="16"/>
                <w:szCs w:val="16"/>
              </w:rPr>
              <w:t>373.956</w:t>
            </w:r>
            <w:r w:rsidRPr="00AD3E1C">
              <w:rPr>
                <w:rFonts w:cs="Arial"/>
                <w:sz w:val="16"/>
                <w:szCs w:val="16"/>
              </w:rPr>
              <w:t xml:space="preserve"> m E, 7</w:t>
            </w:r>
            <w:r>
              <w:rPr>
                <w:rFonts w:cs="Arial"/>
                <w:sz w:val="16"/>
                <w:szCs w:val="16"/>
              </w:rPr>
              <w:t>.</w:t>
            </w:r>
            <w:r w:rsidRPr="00AD3E1C">
              <w:rPr>
                <w:rFonts w:cs="Arial"/>
                <w:sz w:val="16"/>
                <w:szCs w:val="16"/>
              </w:rPr>
              <w:t>438</w:t>
            </w:r>
            <w:r>
              <w:rPr>
                <w:rFonts w:cs="Arial"/>
                <w:sz w:val="16"/>
                <w:szCs w:val="16"/>
              </w:rPr>
              <w:t>.</w:t>
            </w:r>
            <w:r w:rsidRPr="00AD3E1C">
              <w:rPr>
                <w:rFonts w:cs="Arial"/>
                <w:sz w:val="16"/>
                <w:szCs w:val="16"/>
              </w:rPr>
              <w:t>821 m S</w:t>
            </w:r>
          </w:p>
        </w:tc>
        <w:tc>
          <w:tcPr>
            <w:tcW w:w="1417" w:type="dxa"/>
            <w:vAlign w:val="center"/>
          </w:tcPr>
          <w:p w:rsidR="00943A4D" w:rsidRPr="00AD3E1C" w:rsidRDefault="00943A4D" w:rsidP="003F2023">
            <w:pPr>
              <w:spacing w:after="0"/>
              <w:jc w:val="center"/>
              <w:rPr>
                <w:rFonts w:cs="Arial"/>
                <w:sz w:val="16"/>
                <w:szCs w:val="16"/>
              </w:rPr>
            </w:pPr>
            <w:r>
              <w:rPr>
                <w:rStyle w:val="NormalDestaque"/>
                <w:rFonts w:cs="Arial"/>
                <w:b w:val="0"/>
                <w:color w:val="auto"/>
                <w:sz w:val="16"/>
                <w:szCs w:val="16"/>
              </w:rPr>
              <w:t>372.833</w:t>
            </w:r>
            <w:r w:rsidRPr="00AD3E1C">
              <w:rPr>
                <w:rStyle w:val="NormalDestaque"/>
                <w:rFonts w:cs="Arial"/>
                <w:b w:val="0"/>
                <w:color w:val="auto"/>
                <w:sz w:val="16"/>
                <w:szCs w:val="16"/>
              </w:rPr>
              <w:t xml:space="preserve"> m E, 7</w:t>
            </w:r>
            <w:r>
              <w:rPr>
                <w:rStyle w:val="NormalDestaque"/>
                <w:rFonts w:cs="Arial"/>
                <w:b w:val="0"/>
                <w:color w:val="auto"/>
                <w:sz w:val="16"/>
                <w:szCs w:val="16"/>
              </w:rPr>
              <w:t>.</w:t>
            </w:r>
            <w:r w:rsidRPr="00AD3E1C">
              <w:rPr>
                <w:rStyle w:val="NormalDestaque"/>
                <w:rFonts w:cs="Arial"/>
                <w:b w:val="0"/>
                <w:color w:val="auto"/>
                <w:sz w:val="16"/>
                <w:szCs w:val="16"/>
              </w:rPr>
              <w:t>439</w:t>
            </w:r>
            <w:r>
              <w:rPr>
                <w:rStyle w:val="NormalDestaque"/>
                <w:rFonts w:cs="Arial"/>
                <w:b w:val="0"/>
                <w:color w:val="auto"/>
                <w:sz w:val="16"/>
                <w:szCs w:val="16"/>
              </w:rPr>
              <w:t>.</w:t>
            </w:r>
            <w:r w:rsidRPr="00AD3E1C">
              <w:rPr>
                <w:rStyle w:val="NormalDestaque"/>
                <w:rFonts w:cs="Arial"/>
                <w:b w:val="0"/>
                <w:color w:val="auto"/>
                <w:sz w:val="16"/>
                <w:szCs w:val="16"/>
              </w:rPr>
              <w:t>74</w:t>
            </w:r>
            <w:r>
              <w:rPr>
                <w:rStyle w:val="NormalDestaque"/>
                <w:rFonts w:cs="Arial"/>
                <w:b w:val="0"/>
                <w:color w:val="auto"/>
                <w:sz w:val="16"/>
                <w:szCs w:val="16"/>
              </w:rPr>
              <w:t>7</w:t>
            </w:r>
            <w:r w:rsidRPr="00AD3E1C">
              <w:rPr>
                <w:rStyle w:val="NormalDestaque"/>
                <w:rFonts w:cs="Arial"/>
                <w:b w:val="0"/>
                <w:color w:val="auto"/>
                <w:sz w:val="16"/>
                <w:szCs w:val="16"/>
              </w:rPr>
              <w:t xml:space="preserve"> m S</w:t>
            </w:r>
          </w:p>
        </w:tc>
        <w:tc>
          <w:tcPr>
            <w:tcW w:w="1560" w:type="dxa"/>
            <w:vAlign w:val="center"/>
          </w:tcPr>
          <w:p w:rsidR="00943A4D" w:rsidRPr="00AD3E1C" w:rsidRDefault="00943A4D" w:rsidP="003F2023">
            <w:pPr>
              <w:spacing w:after="0"/>
              <w:jc w:val="center"/>
              <w:rPr>
                <w:rFonts w:cs="Arial"/>
                <w:sz w:val="16"/>
                <w:szCs w:val="16"/>
              </w:rPr>
            </w:pPr>
            <w:r w:rsidRPr="00AD3E1C">
              <w:rPr>
                <w:rStyle w:val="NormalDestaque"/>
                <w:rFonts w:cs="Arial"/>
                <w:b w:val="0"/>
                <w:color w:val="auto"/>
                <w:sz w:val="16"/>
                <w:szCs w:val="16"/>
              </w:rPr>
              <w:t>371</w:t>
            </w:r>
            <w:r>
              <w:rPr>
                <w:rStyle w:val="NormalDestaque"/>
                <w:rFonts w:cs="Arial"/>
                <w:b w:val="0"/>
                <w:color w:val="auto"/>
                <w:sz w:val="16"/>
                <w:szCs w:val="16"/>
              </w:rPr>
              <w:t>.</w:t>
            </w:r>
            <w:r w:rsidRPr="00AD3E1C">
              <w:rPr>
                <w:rStyle w:val="NormalDestaque"/>
                <w:rFonts w:cs="Arial"/>
                <w:b w:val="0"/>
                <w:color w:val="auto"/>
                <w:sz w:val="16"/>
                <w:szCs w:val="16"/>
              </w:rPr>
              <w:t>13</w:t>
            </w:r>
            <w:r>
              <w:rPr>
                <w:rStyle w:val="NormalDestaque"/>
                <w:rFonts w:cs="Arial"/>
                <w:b w:val="0"/>
                <w:color w:val="auto"/>
                <w:sz w:val="16"/>
                <w:szCs w:val="16"/>
              </w:rPr>
              <w:t>1</w:t>
            </w:r>
            <w:r w:rsidRPr="00AD3E1C">
              <w:rPr>
                <w:rStyle w:val="NormalDestaque"/>
                <w:rFonts w:cs="Arial"/>
                <w:b w:val="0"/>
                <w:color w:val="auto"/>
                <w:sz w:val="16"/>
                <w:szCs w:val="16"/>
              </w:rPr>
              <w:t xml:space="preserve"> m E, 7</w:t>
            </w:r>
            <w:r>
              <w:rPr>
                <w:rStyle w:val="NormalDestaque"/>
                <w:rFonts w:cs="Arial"/>
                <w:b w:val="0"/>
                <w:color w:val="auto"/>
                <w:sz w:val="16"/>
                <w:szCs w:val="16"/>
              </w:rPr>
              <w:t>.</w:t>
            </w:r>
            <w:r w:rsidRPr="00AD3E1C">
              <w:rPr>
                <w:rStyle w:val="NormalDestaque"/>
                <w:rFonts w:cs="Arial"/>
                <w:b w:val="0"/>
                <w:color w:val="auto"/>
                <w:sz w:val="16"/>
                <w:szCs w:val="16"/>
              </w:rPr>
              <w:t>441</w:t>
            </w:r>
            <w:r>
              <w:rPr>
                <w:rStyle w:val="NormalDestaque"/>
                <w:rFonts w:cs="Arial"/>
                <w:b w:val="0"/>
                <w:color w:val="auto"/>
                <w:sz w:val="16"/>
                <w:szCs w:val="16"/>
              </w:rPr>
              <w:t>.</w:t>
            </w:r>
            <w:r w:rsidRPr="00AD3E1C">
              <w:rPr>
                <w:rStyle w:val="NormalDestaque"/>
                <w:rFonts w:cs="Arial"/>
                <w:b w:val="0"/>
                <w:color w:val="auto"/>
                <w:sz w:val="16"/>
                <w:szCs w:val="16"/>
              </w:rPr>
              <w:t>834 m S</w:t>
            </w:r>
          </w:p>
        </w:tc>
        <w:tc>
          <w:tcPr>
            <w:tcW w:w="1559" w:type="dxa"/>
            <w:vAlign w:val="center"/>
          </w:tcPr>
          <w:p w:rsidR="00943A4D" w:rsidRPr="00AD3E1C" w:rsidRDefault="00943A4D" w:rsidP="003F2023">
            <w:pPr>
              <w:spacing w:after="0"/>
              <w:jc w:val="center"/>
              <w:rPr>
                <w:rFonts w:cs="Arial"/>
                <w:sz w:val="16"/>
                <w:szCs w:val="16"/>
              </w:rPr>
            </w:pPr>
            <w:r w:rsidRPr="00AD3E1C">
              <w:rPr>
                <w:rFonts w:cs="Arial"/>
                <w:sz w:val="16"/>
                <w:szCs w:val="16"/>
              </w:rPr>
              <w:t>369</w:t>
            </w:r>
            <w:r>
              <w:rPr>
                <w:rFonts w:cs="Arial"/>
                <w:sz w:val="16"/>
                <w:szCs w:val="16"/>
              </w:rPr>
              <w:t>.</w:t>
            </w:r>
            <w:r w:rsidRPr="00AD3E1C">
              <w:rPr>
                <w:rFonts w:cs="Arial"/>
                <w:sz w:val="16"/>
                <w:szCs w:val="16"/>
              </w:rPr>
              <w:t>39</w:t>
            </w:r>
            <w:r>
              <w:rPr>
                <w:rFonts w:cs="Arial"/>
                <w:sz w:val="16"/>
                <w:szCs w:val="16"/>
              </w:rPr>
              <w:t>6</w:t>
            </w:r>
            <w:r w:rsidRPr="00AD3E1C">
              <w:rPr>
                <w:rFonts w:cs="Arial"/>
                <w:sz w:val="16"/>
                <w:szCs w:val="16"/>
              </w:rPr>
              <w:t xml:space="preserve"> m E, 7</w:t>
            </w:r>
            <w:r>
              <w:rPr>
                <w:rFonts w:cs="Arial"/>
                <w:sz w:val="16"/>
                <w:szCs w:val="16"/>
              </w:rPr>
              <w:t>.</w:t>
            </w:r>
            <w:r w:rsidRPr="00AD3E1C">
              <w:rPr>
                <w:rFonts w:cs="Arial"/>
                <w:sz w:val="16"/>
                <w:szCs w:val="16"/>
              </w:rPr>
              <w:t>442</w:t>
            </w:r>
            <w:r>
              <w:rPr>
                <w:rFonts w:cs="Arial"/>
                <w:sz w:val="16"/>
                <w:szCs w:val="16"/>
              </w:rPr>
              <w:t>.</w:t>
            </w:r>
            <w:r w:rsidRPr="00AD3E1C">
              <w:rPr>
                <w:rFonts w:cs="Arial"/>
                <w:sz w:val="16"/>
                <w:szCs w:val="16"/>
              </w:rPr>
              <w:t>89</w:t>
            </w:r>
            <w:r>
              <w:rPr>
                <w:rFonts w:cs="Arial"/>
                <w:sz w:val="16"/>
                <w:szCs w:val="16"/>
              </w:rPr>
              <w:t>8</w:t>
            </w:r>
            <w:r w:rsidRPr="00AD3E1C">
              <w:rPr>
                <w:rFonts w:cs="Arial"/>
                <w:sz w:val="16"/>
                <w:szCs w:val="16"/>
              </w:rPr>
              <w:t xml:space="preserve"> mS.</w:t>
            </w:r>
          </w:p>
        </w:tc>
      </w:tr>
      <w:tr w:rsidR="00943A4D" w:rsidRPr="00AD3E1C" w:rsidTr="003F2023">
        <w:trPr>
          <w:cantSplit/>
          <w:trHeight w:val="284"/>
        </w:trPr>
        <w:tc>
          <w:tcPr>
            <w:tcW w:w="1191" w:type="dxa"/>
            <w:vAlign w:val="center"/>
          </w:tcPr>
          <w:p w:rsidR="00943A4D" w:rsidRPr="00AD3E1C" w:rsidRDefault="00943A4D" w:rsidP="003F2023">
            <w:pPr>
              <w:spacing w:after="0"/>
              <w:jc w:val="left"/>
              <w:rPr>
                <w:rFonts w:cs="Arial"/>
                <w:sz w:val="16"/>
                <w:szCs w:val="16"/>
              </w:rPr>
            </w:pPr>
            <w:r w:rsidRPr="00AD3E1C">
              <w:rPr>
                <w:rFonts w:cs="Arial"/>
                <w:sz w:val="16"/>
                <w:szCs w:val="16"/>
              </w:rPr>
              <w:t>Interferência Futura</w:t>
            </w:r>
          </w:p>
        </w:tc>
        <w:tc>
          <w:tcPr>
            <w:tcW w:w="1276" w:type="dxa"/>
            <w:vAlign w:val="center"/>
          </w:tcPr>
          <w:p w:rsidR="00943A4D" w:rsidRPr="00AD3E1C" w:rsidRDefault="00943A4D" w:rsidP="003F2023">
            <w:pPr>
              <w:spacing w:after="0"/>
              <w:jc w:val="center"/>
              <w:rPr>
                <w:rFonts w:cs="Arial"/>
                <w:sz w:val="16"/>
                <w:szCs w:val="16"/>
              </w:rPr>
            </w:pPr>
            <w:r w:rsidRPr="00AD3E1C">
              <w:rPr>
                <w:rFonts w:cs="Arial"/>
                <w:sz w:val="16"/>
                <w:szCs w:val="16"/>
              </w:rPr>
              <w:t xml:space="preserve">Adutora </w:t>
            </w:r>
          </w:p>
        </w:tc>
        <w:tc>
          <w:tcPr>
            <w:tcW w:w="1559" w:type="dxa"/>
            <w:vAlign w:val="center"/>
          </w:tcPr>
          <w:p w:rsidR="00943A4D" w:rsidRPr="00AD3E1C" w:rsidRDefault="00943A4D" w:rsidP="003F2023">
            <w:pPr>
              <w:spacing w:after="0"/>
              <w:jc w:val="center"/>
              <w:rPr>
                <w:rFonts w:cs="Arial"/>
                <w:sz w:val="16"/>
                <w:szCs w:val="16"/>
              </w:rPr>
            </w:pPr>
            <w:r w:rsidRPr="00AD3E1C">
              <w:rPr>
                <w:rFonts w:cs="Arial"/>
                <w:sz w:val="16"/>
                <w:szCs w:val="16"/>
              </w:rPr>
              <w:t>Adutora</w:t>
            </w:r>
          </w:p>
        </w:tc>
        <w:tc>
          <w:tcPr>
            <w:tcW w:w="1418" w:type="dxa"/>
            <w:vAlign w:val="center"/>
          </w:tcPr>
          <w:p w:rsidR="00943A4D" w:rsidRPr="00AD3E1C" w:rsidRDefault="00943A4D" w:rsidP="003F2023">
            <w:pPr>
              <w:spacing w:after="0"/>
              <w:jc w:val="center"/>
              <w:rPr>
                <w:rFonts w:cs="Arial"/>
                <w:sz w:val="16"/>
                <w:szCs w:val="16"/>
              </w:rPr>
            </w:pPr>
            <w:r w:rsidRPr="00AD3E1C">
              <w:rPr>
                <w:rFonts w:cs="Arial"/>
                <w:sz w:val="16"/>
                <w:szCs w:val="16"/>
              </w:rPr>
              <w:t>Adutora, Emboque do Túnel</w:t>
            </w:r>
          </w:p>
        </w:tc>
        <w:tc>
          <w:tcPr>
            <w:tcW w:w="1417" w:type="dxa"/>
            <w:vAlign w:val="center"/>
          </w:tcPr>
          <w:p w:rsidR="00943A4D" w:rsidRPr="00AD3E1C" w:rsidRDefault="00943A4D" w:rsidP="003F2023">
            <w:pPr>
              <w:spacing w:after="0"/>
              <w:jc w:val="center"/>
              <w:rPr>
                <w:rFonts w:cs="Arial"/>
                <w:sz w:val="16"/>
                <w:szCs w:val="16"/>
              </w:rPr>
            </w:pPr>
            <w:r w:rsidRPr="00AD3E1C">
              <w:rPr>
                <w:rFonts w:cs="Arial"/>
                <w:sz w:val="16"/>
                <w:szCs w:val="16"/>
              </w:rPr>
              <w:t>Via de acesso</w:t>
            </w:r>
          </w:p>
        </w:tc>
        <w:tc>
          <w:tcPr>
            <w:tcW w:w="1560" w:type="dxa"/>
            <w:vAlign w:val="center"/>
          </w:tcPr>
          <w:p w:rsidR="00943A4D" w:rsidRPr="00AD3E1C" w:rsidRDefault="00943A4D" w:rsidP="003F2023">
            <w:pPr>
              <w:spacing w:after="0"/>
              <w:jc w:val="center"/>
              <w:rPr>
                <w:rFonts w:cs="Arial"/>
                <w:sz w:val="16"/>
                <w:szCs w:val="16"/>
              </w:rPr>
            </w:pPr>
            <w:r w:rsidRPr="00AD3E1C">
              <w:rPr>
                <w:rFonts w:cs="Arial"/>
                <w:sz w:val="16"/>
                <w:szCs w:val="16"/>
              </w:rPr>
              <w:t>Via de acesso</w:t>
            </w:r>
          </w:p>
        </w:tc>
        <w:tc>
          <w:tcPr>
            <w:tcW w:w="1559" w:type="dxa"/>
            <w:vAlign w:val="center"/>
          </w:tcPr>
          <w:p w:rsidR="00943A4D" w:rsidRPr="00AD3E1C" w:rsidRDefault="00943A4D" w:rsidP="003F2023">
            <w:pPr>
              <w:spacing w:after="0"/>
              <w:jc w:val="center"/>
              <w:rPr>
                <w:rFonts w:cs="Arial"/>
                <w:sz w:val="16"/>
                <w:szCs w:val="16"/>
              </w:rPr>
            </w:pPr>
            <w:r w:rsidRPr="00AD3E1C">
              <w:rPr>
                <w:rFonts w:cs="Arial"/>
                <w:sz w:val="16"/>
                <w:szCs w:val="16"/>
              </w:rPr>
              <w:t>Desemboque do Túnel, Reservatório</w:t>
            </w:r>
          </w:p>
        </w:tc>
      </w:tr>
      <w:tr w:rsidR="00943A4D" w:rsidRPr="00AD3E1C" w:rsidTr="003F2023">
        <w:trPr>
          <w:cantSplit/>
          <w:trHeight w:val="284"/>
        </w:trPr>
        <w:tc>
          <w:tcPr>
            <w:tcW w:w="1191" w:type="dxa"/>
            <w:vAlign w:val="center"/>
          </w:tcPr>
          <w:p w:rsidR="00943A4D" w:rsidRPr="00AD3E1C" w:rsidRDefault="00943A4D" w:rsidP="003F2023">
            <w:pPr>
              <w:spacing w:after="0"/>
              <w:jc w:val="left"/>
              <w:rPr>
                <w:rFonts w:cs="Arial"/>
                <w:sz w:val="16"/>
                <w:szCs w:val="16"/>
              </w:rPr>
            </w:pPr>
            <w:r>
              <w:rPr>
                <w:rStyle w:val="NormalDestaque"/>
                <w:rFonts w:cs="Arial"/>
                <w:b w:val="0"/>
                <w:color w:val="auto"/>
                <w:sz w:val="16"/>
                <w:szCs w:val="16"/>
              </w:rPr>
              <w:t>N</w:t>
            </w:r>
            <w:r w:rsidRPr="00884696">
              <w:rPr>
                <w:rStyle w:val="NormalDestaque"/>
                <w:rFonts w:cs="Arial"/>
                <w:b w:val="0"/>
                <w:color w:val="auto"/>
                <w:sz w:val="16"/>
                <w:szCs w:val="16"/>
                <w:vertAlign w:val="superscript"/>
              </w:rPr>
              <w:t>o</w:t>
            </w:r>
            <w:r>
              <w:rPr>
                <w:rStyle w:val="NormalDestaque"/>
                <w:rFonts w:cs="Arial"/>
                <w:b w:val="0"/>
                <w:color w:val="auto"/>
                <w:sz w:val="16"/>
                <w:szCs w:val="16"/>
              </w:rPr>
              <w:t xml:space="preserve"> </w:t>
            </w:r>
            <w:r w:rsidRPr="00AD3E1C">
              <w:rPr>
                <w:rStyle w:val="NormalDestaque"/>
                <w:rFonts w:cs="Arial"/>
                <w:b w:val="0"/>
                <w:color w:val="auto"/>
                <w:sz w:val="16"/>
                <w:szCs w:val="16"/>
              </w:rPr>
              <w:t>de famílias registradas</w:t>
            </w:r>
          </w:p>
        </w:tc>
        <w:tc>
          <w:tcPr>
            <w:tcW w:w="1276" w:type="dxa"/>
            <w:vAlign w:val="center"/>
          </w:tcPr>
          <w:p w:rsidR="00943A4D" w:rsidRPr="00AD3E1C" w:rsidRDefault="00943A4D" w:rsidP="003F2023">
            <w:pPr>
              <w:spacing w:after="0"/>
              <w:jc w:val="center"/>
              <w:rPr>
                <w:rFonts w:cs="Arial"/>
                <w:sz w:val="16"/>
                <w:szCs w:val="16"/>
              </w:rPr>
            </w:pPr>
            <w:r w:rsidRPr="00AD3E1C">
              <w:rPr>
                <w:rFonts w:cs="Arial"/>
                <w:sz w:val="16"/>
                <w:szCs w:val="16"/>
              </w:rPr>
              <w:t>30</w:t>
            </w:r>
          </w:p>
        </w:tc>
        <w:tc>
          <w:tcPr>
            <w:tcW w:w="1559" w:type="dxa"/>
            <w:vAlign w:val="center"/>
          </w:tcPr>
          <w:p w:rsidR="00943A4D" w:rsidRPr="00AD3E1C" w:rsidRDefault="00943A4D" w:rsidP="003F2023">
            <w:pPr>
              <w:spacing w:after="0"/>
              <w:jc w:val="center"/>
              <w:rPr>
                <w:rFonts w:cs="Arial"/>
                <w:sz w:val="16"/>
                <w:szCs w:val="16"/>
              </w:rPr>
            </w:pPr>
            <w:r w:rsidRPr="00AD3E1C">
              <w:rPr>
                <w:rFonts w:cs="Arial"/>
                <w:sz w:val="16"/>
                <w:szCs w:val="16"/>
              </w:rPr>
              <w:t>33</w:t>
            </w:r>
          </w:p>
        </w:tc>
        <w:tc>
          <w:tcPr>
            <w:tcW w:w="1418" w:type="dxa"/>
            <w:vAlign w:val="center"/>
          </w:tcPr>
          <w:p w:rsidR="00943A4D" w:rsidRPr="00AD3E1C" w:rsidRDefault="00943A4D" w:rsidP="003F2023">
            <w:pPr>
              <w:spacing w:after="0"/>
              <w:jc w:val="center"/>
              <w:rPr>
                <w:rFonts w:cs="Arial"/>
                <w:sz w:val="16"/>
                <w:szCs w:val="16"/>
              </w:rPr>
            </w:pPr>
            <w:r w:rsidRPr="00AD3E1C">
              <w:rPr>
                <w:rFonts w:cs="Arial"/>
                <w:sz w:val="16"/>
                <w:szCs w:val="16"/>
              </w:rPr>
              <w:t>25</w:t>
            </w:r>
          </w:p>
        </w:tc>
        <w:tc>
          <w:tcPr>
            <w:tcW w:w="1417" w:type="dxa"/>
            <w:vAlign w:val="center"/>
          </w:tcPr>
          <w:p w:rsidR="00943A4D" w:rsidRPr="00AD3E1C" w:rsidRDefault="00943A4D" w:rsidP="003F2023">
            <w:pPr>
              <w:spacing w:after="0"/>
              <w:jc w:val="center"/>
              <w:rPr>
                <w:rFonts w:cs="Arial"/>
                <w:sz w:val="16"/>
                <w:szCs w:val="16"/>
              </w:rPr>
            </w:pPr>
            <w:r w:rsidRPr="00AD3E1C">
              <w:rPr>
                <w:rFonts w:cs="Arial"/>
                <w:sz w:val="16"/>
                <w:szCs w:val="16"/>
              </w:rPr>
              <w:t>20</w:t>
            </w:r>
          </w:p>
        </w:tc>
        <w:tc>
          <w:tcPr>
            <w:tcW w:w="1560" w:type="dxa"/>
            <w:vAlign w:val="center"/>
          </w:tcPr>
          <w:p w:rsidR="00943A4D" w:rsidRPr="00AD3E1C" w:rsidRDefault="00943A4D" w:rsidP="003F2023">
            <w:pPr>
              <w:spacing w:after="0"/>
              <w:jc w:val="center"/>
              <w:rPr>
                <w:rFonts w:cs="Arial"/>
                <w:sz w:val="16"/>
                <w:szCs w:val="16"/>
              </w:rPr>
            </w:pPr>
            <w:r w:rsidRPr="00AD3E1C">
              <w:rPr>
                <w:rFonts w:cs="Arial"/>
                <w:sz w:val="16"/>
                <w:szCs w:val="16"/>
              </w:rPr>
              <w:t>27</w:t>
            </w:r>
          </w:p>
        </w:tc>
        <w:tc>
          <w:tcPr>
            <w:tcW w:w="1559" w:type="dxa"/>
            <w:vAlign w:val="center"/>
          </w:tcPr>
          <w:p w:rsidR="00943A4D" w:rsidRPr="00AD3E1C" w:rsidRDefault="00943A4D" w:rsidP="003F2023">
            <w:pPr>
              <w:spacing w:after="0"/>
              <w:jc w:val="center"/>
              <w:rPr>
                <w:rFonts w:cs="Arial"/>
                <w:sz w:val="16"/>
                <w:szCs w:val="16"/>
              </w:rPr>
            </w:pPr>
            <w:r w:rsidRPr="00AD3E1C">
              <w:rPr>
                <w:rFonts w:cs="Arial"/>
                <w:sz w:val="16"/>
                <w:szCs w:val="16"/>
              </w:rPr>
              <w:t>36</w:t>
            </w:r>
          </w:p>
        </w:tc>
      </w:tr>
      <w:tr w:rsidR="00943A4D" w:rsidRPr="00AD3E1C" w:rsidTr="003F2023">
        <w:trPr>
          <w:cantSplit/>
          <w:trHeight w:val="284"/>
        </w:trPr>
        <w:tc>
          <w:tcPr>
            <w:tcW w:w="1191" w:type="dxa"/>
            <w:vAlign w:val="center"/>
          </w:tcPr>
          <w:p w:rsidR="00943A4D" w:rsidRPr="00AD3E1C" w:rsidRDefault="00943A4D" w:rsidP="003F2023">
            <w:pPr>
              <w:spacing w:after="0"/>
              <w:jc w:val="left"/>
              <w:rPr>
                <w:rFonts w:cs="Arial"/>
                <w:sz w:val="16"/>
                <w:szCs w:val="16"/>
              </w:rPr>
            </w:pPr>
            <w:r>
              <w:rPr>
                <w:rStyle w:val="NormalDestaque"/>
                <w:rFonts w:cs="Arial"/>
                <w:b w:val="0"/>
                <w:color w:val="auto"/>
                <w:sz w:val="16"/>
                <w:szCs w:val="16"/>
              </w:rPr>
              <w:t>N</w:t>
            </w:r>
            <w:r w:rsidRPr="00884696">
              <w:rPr>
                <w:rStyle w:val="NormalDestaque"/>
                <w:rFonts w:cs="Arial"/>
                <w:b w:val="0"/>
                <w:color w:val="auto"/>
                <w:sz w:val="16"/>
                <w:szCs w:val="16"/>
                <w:vertAlign w:val="superscript"/>
              </w:rPr>
              <w:t>o</w:t>
            </w:r>
            <w:r>
              <w:rPr>
                <w:rStyle w:val="NormalDestaque"/>
                <w:rFonts w:cs="Arial"/>
                <w:b w:val="0"/>
                <w:color w:val="auto"/>
                <w:sz w:val="16"/>
                <w:szCs w:val="16"/>
              </w:rPr>
              <w:t xml:space="preserve"> </w:t>
            </w:r>
            <w:r w:rsidRPr="00AD3E1C">
              <w:rPr>
                <w:rStyle w:val="NormalDestaque"/>
                <w:rFonts w:cs="Arial"/>
                <w:b w:val="0"/>
                <w:color w:val="auto"/>
                <w:sz w:val="16"/>
                <w:szCs w:val="16"/>
              </w:rPr>
              <w:t>de espécies registradas</w:t>
            </w:r>
          </w:p>
        </w:tc>
        <w:tc>
          <w:tcPr>
            <w:tcW w:w="1276" w:type="dxa"/>
            <w:vAlign w:val="center"/>
          </w:tcPr>
          <w:p w:rsidR="00943A4D" w:rsidRPr="00AD3E1C" w:rsidRDefault="00943A4D" w:rsidP="003F2023">
            <w:pPr>
              <w:spacing w:after="0"/>
              <w:jc w:val="center"/>
              <w:rPr>
                <w:rFonts w:cs="Arial"/>
                <w:sz w:val="16"/>
                <w:szCs w:val="16"/>
              </w:rPr>
            </w:pPr>
            <w:r w:rsidRPr="00AD3E1C">
              <w:rPr>
                <w:rFonts w:cs="Arial"/>
                <w:sz w:val="16"/>
                <w:szCs w:val="16"/>
              </w:rPr>
              <w:t>61</w:t>
            </w:r>
          </w:p>
        </w:tc>
        <w:tc>
          <w:tcPr>
            <w:tcW w:w="1559" w:type="dxa"/>
            <w:vAlign w:val="center"/>
          </w:tcPr>
          <w:p w:rsidR="00943A4D" w:rsidRPr="00AD3E1C" w:rsidRDefault="00943A4D" w:rsidP="003F2023">
            <w:pPr>
              <w:spacing w:after="0"/>
              <w:jc w:val="center"/>
              <w:rPr>
                <w:rFonts w:cs="Arial"/>
                <w:sz w:val="16"/>
                <w:szCs w:val="16"/>
              </w:rPr>
            </w:pPr>
            <w:r w:rsidRPr="00AD3E1C">
              <w:rPr>
                <w:rFonts w:cs="Arial"/>
                <w:sz w:val="16"/>
                <w:szCs w:val="16"/>
              </w:rPr>
              <w:t>91</w:t>
            </w:r>
          </w:p>
        </w:tc>
        <w:tc>
          <w:tcPr>
            <w:tcW w:w="1418" w:type="dxa"/>
            <w:vAlign w:val="center"/>
          </w:tcPr>
          <w:p w:rsidR="00943A4D" w:rsidRPr="00AD3E1C" w:rsidRDefault="00943A4D" w:rsidP="003F2023">
            <w:pPr>
              <w:spacing w:after="0"/>
              <w:jc w:val="center"/>
              <w:rPr>
                <w:rFonts w:cs="Arial"/>
                <w:sz w:val="16"/>
                <w:szCs w:val="16"/>
              </w:rPr>
            </w:pPr>
            <w:r w:rsidRPr="00AD3E1C">
              <w:rPr>
                <w:rFonts w:cs="Arial"/>
                <w:sz w:val="16"/>
                <w:szCs w:val="16"/>
              </w:rPr>
              <w:t>60</w:t>
            </w:r>
          </w:p>
        </w:tc>
        <w:tc>
          <w:tcPr>
            <w:tcW w:w="1417" w:type="dxa"/>
            <w:vAlign w:val="center"/>
          </w:tcPr>
          <w:p w:rsidR="00943A4D" w:rsidRPr="00AD3E1C" w:rsidRDefault="00943A4D" w:rsidP="003F2023">
            <w:pPr>
              <w:spacing w:after="0"/>
              <w:jc w:val="center"/>
              <w:rPr>
                <w:rFonts w:cs="Arial"/>
                <w:sz w:val="16"/>
                <w:szCs w:val="16"/>
              </w:rPr>
            </w:pPr>
            <w:r w:rsidRPr="00AD3E1C">
              <w:rPr>
                <w:rFonts w:cs="Arial"/>
                <w:sz w:val="16"/>
                <w:szCs w:val="16"/>
              </w:rPr>
              <w:t>93</w:t>
            </w:r>
          </w:p>
        </w:tc>
        <w:tc>
          <w:tcPr>
            <w:tcW w:w="1560" w:type="dxa"/>
            <w:vAlign w:val="center"/>
          </w:tcPr>
          <w:p w:rsidR="00943A4D" w:rsidRPr="00AD3E1C" w:rsidRDefault="00943A4D" w:rsidP="003F2023">
            <w:pPr>
              <w:spacing w:after="0"/>
              <w:jc w:val="center"/>
              <w:rPr>
                <w:rFonts w:cs="Arial"/>
                <w:sz w:val="16"/>
                <w:szCs w:val="16"/>
              </w:rPr>
            </w:pPr>
            <w:r w:rsidRPr="00AD3E1C">
              <w:rPr>
                <w:rFonts w:cs="Arial"/>
                <w:sz w:val="16"/>
                <w:szCs w:val="16"/>
              </w:rPr>
              <w:t>75</w:t>
            </w:r>
          </w:p>
        </w:tc>
        <w:tc>
          <w:tcPr>
            <w:tcW w:w="1559" w:type="dxa"/>
            <w:vAlign w:val="center"/>
          </w:tcPr>
          <w:p w:rsidR="00943A4D" w:rsidRPr="00AD3E1C" w:rsidRDefault="00943A4D" w:rsidP="003F2023">
            <w:pPr>
              <w:spacing w:after="0"/>
              <w:jc w:val="center"/>
              <w:rPr>
                <w:rFonts w:cs="Arial"/>
                <w:sz w:val="16"/>
                <w:szCs w:val="16"/>
              </w:rPr>
            </w:pPr>
            <w:r w:rsidRPr="00AD3E1C">
              <w:rPr>
                <w:rFonts w:cs="Arial"/>
                <w:sz w:val="16"/>
                <w:szCs w:val="16"/>
              </w:rPr>
              <w:t>107</w:t>
            </w:r>
          </w:p>
        </w:tc>
      </w:tr>
      <w:tr w:rsidR="00943A4D" w:rsidRPr="00AD3E1C" w:rsidTr="003F2023">
        <w:trPr>
          <w:cantSplit/>
          <w:trHeight w:val="284"/>
        </w:trPr>
        <w:tc>
          <w:tcPr>
            <w:tcW w:w="1191" w:type="dxa"/>
            <w:vAlign w:val="center"/>
          </w:tcPr>
          <w:p w:rsidR="00943A4D" w:rsidRPr="00AD3E1C" w:rsidRDefault="00943A4D" w:rsidP="003F2023">
            <w:pPr>
              <w:spacing w:after="0"/>
              <w:jc w:val="left"/>
              <w:rPr>
                <w:rFonts w:cs="Arial"/>
                <w:sz w:val="16"/>
                <w:szCs w:val="16"/>
              </w:rPr>
            </w:pPr>
            <w:r w:rsidRPr="00AD3E1C">
              <w:rPr>
                <w:rFonts w:cs="Arial"/>
                <w:sz w:val="16"/>
                <w:szCs w:val="16"/>
              </w:rPr>
              <w:t>Estágio Sucessional</w:t>
            </w:r>
          </w:p>
        </w:tc>
        <w:tc>
          <w:tcPr>
            <w:tcW w:w="1276" w:type="dxa"/>
            <w:vAlign w:val="center"/>
          </w:tcPr>
          <w:p w:rsidR="00943A4D" w:rsidRDefault="00943A4D" w:rsidP="003F2023">
            <w:pPr>
              <w:spacing w:after="0"/>
              <w:jc w:val="center"/>
              <w:rPr>
                <w:rFonts w:cs="Arial"/>
                <w:sz w:val="16"/>
                <w:szCs w:val="16"/>
              </w:rPr>
            </w:pPr>
            <w:r w:rsidRPr="00AD3E1C">
              <w:rPr>
                <w:rFonts w:cs="Arial"/>
                <w:sz w:val="16"/>
                <w:szCs w:val="16"/>
              </w:rPr>
              <w:t>Médio</w:t>
            </w:r>
          </w:p>
          <w:p w:rsidR="00943A4D" w:rsidRPr="00AD3E1C" w:rsidRDefault="00943A4D" w:rsidP="003F2023">
            <w:pPr>
              <w:spacing w:after="0"/>
              <w:jc w:val="center"/>
              <w:rPr>
                <w:rFonts w:cs="Arial"/>
                <w:sz w:val="16"/>
                <w:szCs w:val="16"/>
              </w:rPr>
            </w:pPr>
            <w:r w:rsidRPr="00AD3E1C">
              <w:rPr>
                <w:rFonts w:cs="Arial"/>
                <w:sz w:val="16"/>
                <w:szCs w:val="16"/>
              </w:rPr>
              <w:t>(Trecho 1)</w:t>
            </w:r>
          </w:p>
          <w:p w:rsidR="00943A4D" w:rsidRPr="00AD3E1C" w:rsidRDefault="00943A4D" w:rsidP="003F2023">
            <w:pPr>
              <w:spacing w:after="0"/>
              <w:jc w:val="center"/>
              <w:rPr>
                <w:rFonts w:cs="Arial"/>
                <w:sz w:val="16"/>
                <w:szCs w:val="16"/>
              </w:rPr>
            </w:pPr>
            <w:r w:rsidRPr="00AD3E1C">
              <w:rPr>
                <w:rFonts w:cs="Arial"/>
                <w:sz w:val="16"/>
                <w:szCs w:val="16"/>
              </w:rPr>
              <w:t>Inicial a Médio (Trecho 2)</w:t>
            </w:r>
          </w:p>
        </w:tc>
        <w:tc>
          <w:tcPr>
            <w:tcW w:w="1559" w:type="dxa"/>
            <w:vAlign w:val="center"/>
          </w:tcPr>
          <w:p w:rsidR="00943A4D" w:rsidRPr="00AD3E1C" w:rsidRDefault="00943A4D" w:rsidP="003F2023">
            <w:pPr>
              <w:spacing w:after="0"/>
              <w:jc w:val="center"/>
              <w:rPr>
                <w:rStyle w:val="NormalDestaque"/>
                <w:rFonts w:cs="Arial"/>
                <w:b w:val="0"/>
                <w:color w:val="auto"/>
                <w:sz w:val="16"/>
                <w:szCs w:val="16"/>
              </w:rPr>
            </w:pPr>
            <w:r w:rsidRPr="00AD3E1C">
              <w:rPr>
                <w:rStyle w:val="NormalDestaque"/>
                <w:rFonts w:cs="Arial"/>
                <w:b w:val="0"/>
                <w:color w:val="auto"/>
                <w:sz w:val="16"/>
                <w:szCs w:val="16"/>
              </w:rPr>
              <w:t xml:space="preserve">Inicial a Médio (Trecho 1), </w:t>
            </w:r>
          </w:p>
          <w:p w:rsidR="00943A4D" w:rsidRPr="00AD3E1C" w:rsidRDefault="00943A4D" w:rsidP="003F2023">
            <w:pPr>
              <w:spacing w:after="0"/>
              <w:jc w:val="center"/>
              <w:rPr>
                <w:rFonts w:cs="Arial"/>
                <w:sz w:val="16"/>
                <w:szCs w:val="16"/>
              </w:rPr>
            </w:pPr>
            <w:r w:rsidRPr="00AD3E1C">
              <w:rPr>
                <w:rStyle w:val="NormalDestaque"/>
                <w:rFonts w:cs="Arial"/>
                <w:b w:val="0"/>
                <w:color w:val="auto"/>
                <w:sz w:val="16"/>
                <w:szCs w:val="16"/>
              </w:rPr>
              <w:t xml:space="preserve">Médio a Avançado </w:t>
            </w:r>
            <w:r>
              <w:rPr>
                <w:rStyle w:val="NormalDestaque"/>
                <w:rFonts w:cs="Arial"/>
                <w:b w:val="0"/>
                <w:color w:val="auto"/>
                <w:sz w:val="16"/>
                <w:szCs w:val="16"/>
              </w:rPr>
              <w:t>(</w:t>
            </w:r>
            <w:r w:rsidRPr="00AD3E1C">
              <w:rPr>
                <w:rStyle w:val="NormalDestaque"/>
                <w:rFonts w:cs="Arial"/>
                <w:b w:val="0"/>
                <w:color w:val="auto"/>
                <w:sz w:val="16"/>
                <w:szCs w:val="16"/>
              </w:rPr>
              <w:t>Trecho 2)</w:t>
            </w:r>
          </w:p>
        </w:tc>
        <w:tc>
          <w:tcPr>
            <w:tcW w:w="1418" w:type="dxa"/>
            <w:vAlign w:val="center"/>
          </w:tcPr>
          <w:p w:rsidR="00943A4D" w:rsidRPr="00AD3E1C" w:rsidRDefault="00943A4D" w:rsidP="003F2023">
            <w:pPr>
              <w:spacing w:after="0"/>
              <w:jc w:val="center"/>
              <w:rPr>
                <w:rFonts w:cs="Arial"/>
                <w:sz w:val="16"/>
                <w:szCs w:val="16"/>
              </w:rPr>
            </w:pPr>
            <w:r w:rsidRPr="00AD3E1C">
              <w:rPr>
                <w:rStyle w:val="NormalDestaque"/>
                <w:rFonts w:cs="Arial"/>
                <w:b w:val="0"/>
                <w:color w:val="auto"/>
                <w:sz w:val="16"/>
                <w:szCs w:val="16"/>
              </w:rPr>
              <w:t>Inicial a Médio</w:t>
            </w:r>
          </w:p>
        </w:tc>
        <w:tc>
          <w:tcPr>
            <w:tcW w:w="1417" w:type="dxa"/>
            <w:vAlign w:val="center"/>
          </w:tcPr>
          <w:p w:rsidR="00943A4D" w:rsidRPr="00AD3E1C" w:rsidRDefault="00943A4D" w:rsidP="003F2023">
            <w:pPr>
              <w:spacing w:after="0"/>
              <w:jc w:val="center"/>
              <w:rPr>
                <w:rStyle w:val="NormalDestaque"/>
                <w:rFonts w:cs="Arial"/>
                <w:b w:val="0"/>
                <w:color w:val="auto"/>
                <w:sz w:val="16"/>
                <w:szCs w:val="16"/>
              </w:rPr>
            </w:pPr>
            <w:r w:rsidRPr="00AD3E1C">
              <w:rPr>
                <w:rStyle w:val="NormalDestaque"/>
                <w:rFonts w:cs="Arial"/>
                <w:b w:val="0"/>
                <w:color w:val="auto"/>
                <w:sz w:val="16"/>
                <w:szCs w:val="16"/>
              </w:rPr>
              <w:t xml:space="preserve">Médio a Avançado </w:t>
            </w:r>
          </w:p>
          <w:p w:rsidR="00943A4D" w:rsidRPr="00AD3E1C" w:rsidRDefault="00943A4D" w:rsidP="003F2023">
            <w:pPr>
              <w:spacing w:after="0"/>
              <w:jc w:val="center"/>
              <w:rPr>
                <w:rFonts w:cs="Arial"/>
                <w:sz w:val="16"/>
                <w:szCs w:val="16"/>
              </w:rPr>
            </w:pPr>
            <w:r w:rsidRPr="00AD3E1C">
              <w:rPr>
                <w:rStyle w:val="NormalDestaque"/>
                <w:rFonts w:cs="Arial"/>
                <w:b w:val="0"/>
                <w:color w:val="auto"/>
                <w:sz w:val="16"/>
                <w:szCs w:val="16"/>
              </w:rPr>
              <w:t xml:space="preserve">(Trechos 1,2 e 3) </w:t>
            </w:r>
          </w:p>
        </w:tc>
        <w:tc>
          <w:tcPr>
            <w:tcW w:w="1560" w:type="dxa"/>
            <w:vAlign w:val="center"/>
          </w:tcPr>
          <w:p w:rsidR="00943A4D" w:rsidRPr="00AD3E1C" w:rsidRDefault="00943A4D" w:rsidP="003F2023">
            <w:pPr>
              <w:spacing w:after="0"/>
              <w:jc w:val="center"/>
              <w:rPr>
                <w:rStyle w:val="NormalDestaque"/>
                <w:rFonts w:cs="Arial"/>
                <w:b w:val="0"/>
                <w:color w:val="auto"/>
                <w:sz w:val="16"/>
                <w:szCs w:val="16"/>
              </w:rPr>
            </w:pPr>
            <w:r w:rsidRPr="00AD3E1C">
              <w:rPr>
                <w:rStyle w:val="NormalDestaque"/>
                <w:rFonts w:cs="Arial"/>
                <w:b w:val="0"/>
                <w:color w:val="auto"/>
                <w:sz w:val="16"/>
                <w:szCs w:val="16"/>
              </w:rPr>
              <w:t xml:space="preserve">Médio a Avançado </w:t>
            </w:r>
          </w:p>
          <w:p w:rsidR="00943A4D" w:rsidRPr="00AD3E1C" w:rsidRDefault="00943A4D" w:rsidP="003F2023">
            <w:pPr>
              <w:spacing w:after="0"/>
              <w:jc w:val="center"/>
              <w:rPr>
                <w:rStyle w:val="NormalDestaque"/>
                <w:rFonts w:cs="Arial"/>
                <w:b w:val="0"/>
                <w:color w:val="auto"/>
                <w:sz w:val="16"/>
                <w:szCs w:val="16"/>
              </w:rPr>
            </w:pPr>
            <w:r w:rsidRPr="00AD3E1C">
              <w:rPr>
                <w:rStyle w:val="NormalDestaque"/>
                <w:rFonts w:cs="Arial"/>
                <w:b w:val="0"/>
                <w:color w:val="auto"/>
                <w:sz w:val="16"/>
                <w:szCs w:val="16"/>
              </w:rPr>
              <w:t>(Trechos 1,2)</w:t>
            </w:r>
          </w:p>
          <w:p w:rsidR="00943A4D" w:rsidRDefault="00943A4D" w:rsidP="003F2023">
            <w:pPr>
              <w:spacing w:after="0"/>
              <w:jc w:val="center"/>
              <w:rPr>
                <w:rStyle w:val="NormalDestaque"/>
                <w:rFonts w:cs="Arial"/>
                <w:b w:val="0"/>
                <w:color w:val="auto"/>
                <w:sz w:val="16"/>
                <w:szCs w:val="16"/>
              </w:rPr>
            </w:pPr>
            <w:r w:rsidRPr="00AD3E1C">
              <w:rPr>
                <w:rStyle w:val="NormalDestaque"/>
                <w:rFonts w:cs="Arial"/>
                <w:b w:val="0"/>
                <w:color w:val="auto"/>
                <w:sz w:val="16"/>
                <w:szCs w:val="16"/>
              </w:rPr>
              <w:t xml:space="preserve">Médio </w:t>
            </w:r>
          </w:p>
          <w:p w:rsidR="00943A4D" w:rsidRPr="00AD3E1C" w:rsidRDefault="00943A4D" w:rsidP="003F2023">
            <w:pPr>
              <w:spacing w:after="0"/>
              <w:jc w:val="center"/>
              <w:rPr>
                <w:rFonts w:cs="Arial"/>
                <w:sz w:val="16"/>
                <w:szCs w:val="16"/>
              </w:rPr>
            </w:pPr>
            <w:r w:rsidRPr="00AD3E1C">
              <w:rPr>
                <w:rStyle w:val="NormalDestaque"/>
                <w:rFonts w:cs="Arial"/>
                <w:b w:val="0"/>
                <w:color w:val="auto"/>
                <w:sz w:val="16"/>
                <w:szCs w:val="16"/>
              </w:rPr>
              <w:t>(Trechos 3 e 4)</w:t>
            </w:r>
          </w:p>
        </w:tc>
        <w:tc>
          <w:tcPr>
            <w:tcW w:w="1559" w:type="dxa"/>
            <w:vAlign w:val="center"/>
          </w:tcPr>
          <w:p w:rsidR="00943A4D" w:rsidRDefault="00943A4D" w:rsidP="003F2023">
            <w:pPr>
              <w:spacing w:after="0"/>
              <w:jc w:val="center"/>
              <w:rPr>
                <w:rFonts w:cs="Arial"/>
                <w:sz w:val="16"/>
                <w:szCs w:val="16"/>
              </w:rPr>
            </w:pPr>
            <w:r w:rsidRPr="00AD3E1C">
              <w:rPr>
                <w:rFonts w:cs="Arial"/>
                <w:sz w:val="16"/>
                <w:szCs w:val="16"/>
              </w:rPr>
              <w:t xml:space="preserve">Inicial </w:t>
            </w:r>
          </w:p>
          <w:p w:rsidR="00943A4D" w:rsidRDefault="00943A4D" w:rsidP="003F2023">
            <w:pPr>
              <w:spacing w:after="0"/>
              <w:jc w:val="center"/>
              <w:rPr>
                <w:rFonts w:cs="Arial"/>
                <w:sz w:val="16"/>
                <w:szCs w:val="16"/>
              </w:rPr>
            </w:pPr>
            <w:r w:rsidRPr="00AD3E1C">
              <w:rPr>
                <w:rFonts w:cs="Arial"/>
                <w:sz w:val="16"/>
                <w:szCs w:val="16"/>
              </w:rPr>
              <w:t xml:space="preserve">(Trecho 1), </w:t>
            </w:r>
          </w:p>
          <w:p w:rsidR="00943A4D" w:rsidRPr="00AD3E1C" w:rsidRDefault="00943A4D" w:rsidP="003F2023">
            <w:pPr>
              <w:spacing w:after="0"/>
              <w:jc w:val="center"/>
              <w:rPr>
                <w:rFonts w:cs="Arial"/>
                <w:sz w:val="16"/>
                <w:szCs w:val="16"/>
              </w:rPr>
            </w:pPr>
            <w:r w:rsidRPr="00AD3E1C">
              <w:rPr>
                <w:rFonts w:cs="Arial"/>
                <w:sz w:val="16"/>
                <w:szCs w:val="16"/>
              </w:rPr>
              <w:t>Médio a Avançado (Trechos 2 e 3)</w:t>
            </w:r>
          </w:p>
        </w:tc>
      </w:tr>
      <w:tr w:rsidR="00943A4D" w:rsidRPr="00AD3E1C" w:rsidTr="003F2023">
        <w:trPr>
          <w:cantSplit/>
          <w:trHeight w:val="284"/>
        </w:trPr>
        <w:tc>
          <w:tcPr>
            <w:tcW w:w="1191" w:type="dxa"/>
            <w:vAlign w:val="center"/>
          </w:tcPr>
          <w:p w:rsidR="00943A4D" w:rsidRPr="00AD3E1C" w:rsidRDefault="00943A4D" w:rsidP="003F2023">
            <w:pPr>
              <w:spacing w:after="0"/>
              <w:jc w:val="left"/>
              <w:rPr>
                <w:rFonts w:cs="Arial"/>
                <w:sz w:val="16"/>
                <w:szCs w:val="16"/>
              </w:rPr>
            </w:pPr>
            <w:r w:rsidRPr="00AD3E1C">
              <w:rPr>
                <w:rFonts w:cs="Arial"/>
                <w:sz w:val="16"/>
                <w:szCs w:val="16"/>
              </w:rPr>
              <w:lastRenderedPageBreak/>
              <w:t>Grau de Declividade</w:t>
            </w:r>
          </w:p>
        </w:tc>
        <w:tc>
          <w:tcPr>
            <w:tcW w:w="1276" w:type="dxa"/>
            <w:vAlign w:val="center"/>
          </w:tcPr>
          <w:p w:rsidR="00943A4D" w:rsidRPr="00AD3E1C" w:rsidRDefault="00943A4D" w:rsidP="003F2023">
            <w:pPr>
              <w:spacing w:after="0"/>
              <w:jc w:val="center"/>
              <w:rPr>
                <w:rFonts w:cs="Arial"/>
                <w:sz w:val="16"/>
                <w:szCs w:val="16"/>
              </w:rPr>
            </w:pPr>
            <w:r w:rsidRPr="00AD3E1C">
              <w:rPr>
                <w:rFonts w:cs="Arial"/>
                <w:sz w:val="16"/>
                <w:szCs w:val="16"/>
              </w:rPr>
              <w:t>Moderada</w:t>
            </w:r>
          </w:p>
        </w:tc>
        <w:tc>
          <w:tcPr>
            <w:tcW w:w="1559" w:type="dxa"/>
            <w:vAlign w:val="center"/>
          </w:tcPr>
          <w:p w:rsidR="00943A4D" w:rsidRPr="00AD3E1C" w:rsidRDefault="00943A4D" w:rsidP="003F2023">
            <w:pPr>
              <w:spacing w:after="0"/>
              <w:jc w:val="center"/>
              <w:rPr>
                <w:rFonts w:cs="Arial"/>
                <w:sz w:val="16"/>
                <w:szCs w:val="16"/>
              </w:rPr>
            </w:pPr>
            <w:r w:rsidRPr="00AD3E1C">
              <w:rPr>
                <w:rFonts w:cs="Arial"/>
                <w:sz w:val="16"/>
                <w:szCs w:val="16"/>
              </w:rPr>
              <w:t>Baixa</w:t>
            </w:r>
          </w:p>
        </w:tc>
        <w:tc>
          <w:tcPr>
            <w:tcW w:w="1418" w:type="dxa"/>
            <w:vAlign w:val="center"/>
          </w:tcPr>
          <w:p w:rsidR="00943A4D" w:rsidRPr="00AD3E1C" w:rsidRDefault="00943A4D" w:rsidP="003F2023">
            <w:pPr>
              <w:spacing w:after="0"/>
              <w:jc w:val="center"/>
              <w:rPr>
                <w:rFonts w:cs="Arial"/>
                <w:sz w:val="16"/>
                <w:szCs w:val="16"/>
              </w:rPr>
            </w:pPr>
            <w:r w:rsidRPr="00AD3E1C">
              <w:rPr>
                <w:rFonts w:cs="Arial"/>
                <w:sz w:val="16"/>
                <w:szCs w:val="16"/>
              </w:rPr>
              <w:t>Baixa a Elevada</w:t>
            </w:r>
          </w:p>
        </w:tc>
        <w:tc>
          <w:tcPr>
            <w:tcW w:w="1417" w:type="dxa"/>
            <w:vAlign w:val="center"/>
          </w:tcPr>
          <w:p w:rsidR="00943A4D" w:rsidRPr="00AD3E1C" w:rsidRDefault="00943A4D" w:rsidP="003F2023">
            <w:pPr>
              <w:spacing w:after="0"/>
              <w:jc w:val="center"/>
              <w:rPr>
                <w:rFonts w:cs="Arial"/>
                <w:sz w:val="16"/>
                <w:szCs w:val="16"/>
              </w:rPr>
            </w:pPr>
            <w:r w:rsidRPr="00AD3E1C">
              <w:rPr>
                <w:rFonts w:cs="Arial"/>
                <w:sz w:val="16"/>
                <w:szCs w:val="16"/>
              </w:rPr>
              <w:t>Baixa a Moderada</w:t>
            </w:r>
          </w:p>
        </w:tc>
        <w:tc>
          <w:tcPr>
            <w:tcW w:w="1560" w:type="dxa"/>
            <w:vAlign w:val="center"/>
          </w:tcPr>
          <w:p w:rsidR="00943A4D" w:rsidRPr="00AD3E1C" w:rsidRDefault="00943A4D" w:rsidP="003F2023">
            <w:pPr>
              <w:spacing w:after="0"/>
              <w:jc w:val="center"/>
              <w:rPr>
                <w:rFonts w:cs="Arial"/>
                <w:sz w:val="16"/>
                <w:szCs w:val="16"/>
              </w:rPr>
            </w:pPr>
            <w:r w:rsidRPr="00AD3E1C">
              <w:rPr>
                <w:rFonts w:cs="Arial"/>
                <w:sz w:val="16"/>
                <w:szCs w:val="16"/>
              </w:rPr>
              <w:t>Moderada a Elevada</w:t>
            </w:r>
          </w:p>
        </w:tc>
        <w:tc>
          <w:tcPr>
            <w:tcW w:w="1559" w:type="dxa"/>
            <w:vAlign w:val="center"/>
          </w:tcPr>
          <w:p w:rsidR="00943A4D" w:rsidRPr="00AD3E1C" w:rsidRDefault="00943A4D" w:rsidP="003F2023">
            <w:pPr>
              <w:spacing w:after="0"/>
              <w:jc w:val="center"/>
              <w:rPr>
                <w:rFonts w:cs="Arial"/>
                <w:sz w:val="16"/>
                <w:szCs w:val="16"/>
              </w:rPr>
            </w:pPr>
            <w:r w:rsidRPr="00AD3E1C">
              <w:rPr>
                <w:rFonts w:cs="Arial"/>
                <w:sz w:val="16"/>
                <w:szCs w:val="16"/>
              </w:rPr>
              <w:t>Baixa a Moderada</w:t>
            </w:r>
          </w:p>
        </w:tc>
      </w:tr>
      <w:tr w:rsidR="00943A4D" w:rsidRPr="00AD3E1C" w:rsidTr="003F2023">
        <w:trPr>
          <w:cantSplit/>
          <w:trHeight w:val="284"/>
        </w:trPr>
        <w:tc>
          <w:tcPr>
            <w:tcW w:w="1191" w:type="dxa"/>
            <w:vAlign w:val="center"/>
          </w:tcPr>
          <w:p w:rsidR="00943A4D" w:rsidRPr="00AD3E1C" w:rsidRDefault="00943A4D" w:rsidP="003F2023">
            <w:pPr>
              <w:spacing w:after="0"/>
              <w:jc w:val="left"/>
              <w:rPr>
                <w:rFonts w:cs="Arial"/>
                <w:sz w:val="16"/>
                <w:szCs w:val="16"/>
              </w:rPr>
            </w:pPr>
            <w:r w:rsidRPr="00AD3E1C">
              <w:rPr>
                <w:rFonts w:cs="Arial"/>
                <w:sz w:val="16"/>
                <w:szCs w:val="16"/>
              </w:rPr>
              <w:t>Presença de curso d’água nos trechos amostrados</w:t>
            </w:r>
          </w:p>
        </w:tc>
        <w:tc>
          <w:tcPr>
            <w:tcW w:w="1276" w:type="dxa"/>
            <w:vAlign w:val="center"/>
          </w:tcPr>
          <w:p w:rsidR="00943A4D" w:rsidRPr="00AD3E1C" w:rsidRDefault="00943A4D" w:rsidP="003F2023">
            <w:pPr>
              <w:spacing w:after="0"/>
              <w:jc w:val="center"/>
              <w:rPr>
                <w:rFonts w:cs="Arial"/>
                <w:sz w:val="16"/>
                <w:szCs w:val="16"/>
              </w:rPr>
            </w:pPr>
            <w:r w:rsidRPr="00AD3E1C">
              <w:rPr>
                <w:rFonts w:cs="Arial"/>
                <w:sz w:val="16"/>
                <w:szCs w:val="16"/>
              </w:rPr>
              <w:t>Não</w:t>
            </w:r>
          </w:p>
          <w:p w:rsidR="00943A4D" w:rsidRPr="00AD3E1C" w:rsidRDefault="00943A4D" w:rsidP="003F2023">
            <w:pPr>
              <w:spacing w:after="0"/>
              <w:jc w:val="center"/>
              <w:rPr>
                <w:rFonts w:cs="Arial"/>
                <w:sz w:val="16"/>
                <w:szCs w:val="16"/>
              </w:rPr>
            </w:pPr>
            <w:r w:rsidRPr="00AD3E1C">
              <w:rPr>
                <w:rFonts w:cs="Arial"/>
                <w:sz w:val="16"/>
                <w:szCs w:val="16"/>
              </w:rPr>
              <w:t xml:space="preserve">(Proximidade da </w:t>
            </w:r>
            <w:r>
              <w:rPr>
                <w:rFonts w:cs="Arial"/>
                <w:sz w:val="16"/>
                <w:szCs w:val="16"/>
              </w:rPr>
              <w:t>r</w:t>
            </w:r>
            <w:r w:rsidRPr="00AD3E1C">
              <w:rPr>
                <w:rFonts w:cs="Arial"/>
                <w:sz w:val="16"/>
                <w:szCs w:val="16"/>
              </w:rPr>
              <w:t>epresa Jaguari)</w:t>
            </w:r>
          </w:p>
        </w:tc>
        <w:tc>
          <w:tcPr>
            <w:tcW w:w="1559" w:type="dxa"/>
            <w:vAlign w:val="center"/>
          </w:tcPr>
          <w:p w:rsidR="00943A4D" w:rsidRPr="00AD3E1C" w:rsidRDefault="00943A4D" w:rsidP="003F2023">
            <w:pPr>
              <w:spacing w:after="0"/>
              <w:jc w:val="center"/>
              <w:rPr>
                <w:rFonts w:cs="Arial"/>
                <w:sz w:val="16"/>
                <w:szCs w:val="16"/>
              </w:rPr>
            </w:pPr>
            <w:r w:rsidRPr="00AD3E1C">
              <w:rPr>
                <w:rFonts w:cs="Arial"/>
                <w:sz w:val="16"/>
                <w:szCs w:val="16"/>
              </w:rPr>
              <w:t>Sim</w:t>
            </w:r>
          </w:p>
        </w:tc>
        <w:tc>
          <w:tcPr>
            <w:tcW w:w="1418" w:type="dxa"/>
            <w:vAlign w:val="center"/>
          </w:tcPr>
          <w:p w:rsidR="00943A4D" w:rsidRPr="00AD3E1C" w:rsidRDefault="00943A4D" w:rsidP="003F2023">
            <w:pPr>
              <w:spacing w:after="0"/>
              <w:jc w:val="center"/>
              <w:rPr>
                <w:rFonts w:cs="Arial"/>
                <w:sz w:val="16"/>
                <w:szCs w:val="16"/>
              </w:rPr>
            </w:pPr>
            <w:r w:rsidRPr="00AD3E1C">
              <w:rPr>
                <w:rFonts w:cs="Arial"/>
                <w:sz w:val="16"/>
                <w:szCs w:val="16"/>
              </w:rPr>
              <w:t>Sim</w:t>
            </w:r>
          </w:p>
        </w:tc>
        <w:tc>
          <w:tcPr>
            <w:tcW w:w="1417" w:type="dxa"/>
            <w:vAlign w:val="center"/>
          </w:tcPr>
          <w:p w:rsidR="00943A4D" w:rsidRPr="00AD3E1C" w:rsidRDefault="00943A4D" w:rsidP="003F2023">
            <w:pPr>
              <w:spacing w:after="0"/>
              <w:jc w:val="center"/>
              <w:rPr>
                <w:rFonts w:cs="Arial"/>
                <w:sz w:val="16"/>
                <w:szCs w:val="16"/>
              </w:rPr>
            </w:pPr>
            <w:r w:rsidRPr="00AD3E1C">
              <w:rPr>
                <w:rFonts w:cs="Arial"/>
                <w:sz w:val="16"/>
                <w:szCs w:val="16"/>
              </w:rPr>
              <w:t xml:space="preserve">Sim </w:t>
            </w:r>
          </w:p>
          <w:p w:rsidR="00943A4D" w:rsidRPr="00AD3E1C" w:rsidRDefault="00943A4D" w:rsidP="003F2023">
            <w:pPr>
              <w:spacing w:after="0"/>
              <w:jc w:val="center"/>
              <w:rPr>
                <w:rFonts w:cs="Arial"/>
                <w:sz w:val="16"/>
                <w:szCs w:val="16"/>
              </w:rPr>
            </w:pPr>
            <w:r w:rsidRPr="00AD3E1C">
              <w:rPr>
                <w:rFonts w:cs="Arial"/>
                <w:sz w:val="16"/>
                <w:szCs w:val="16"/>
              </w:rPr>
              <w:t>(Trecho 1)</w:t>
            </w:r>
          </w:p>
        </w:tc>
        <w:tc>
          <w:tcPr>
            <w:tcW w:w="1560" w:type="dxa"/>
            <w:vAlign w:val="center"/>
          </w:tcPr>
          <w:p w:rsidR="00943A4D" w:rsidRPr="00AD3E1C" w:rsidRDefault="00943A4D" w:rsidP="003F2023">
            <w:pPr>
              <w:spacing w:after="0"/>
              <w:jc w:val="center"/>
              <w:rPr>
                <w:rFonts w:cs="Arial"/>
                <w:sz w:val="16"/>
                <w:szCs w:val="16"/>
              </w:rPr>
            </w:pPr>
            <w:r w:rsidRPr="00AD3E1C">
              <w:rPr>
                <w:rFonts w:cs="Arial"/>
                <w:sz w:val="16"/>
                <w:szCs w:val="16"/>
              </w:rPr>
              <w:t>Sim</w:t>
            </w:r>
          </w:p>
          <w:p w:rsidR="00943A4D" w:rsidRPr="00AD3E1C" w:rsidRDefault="00943A4D" w:rsidP="003F2023">
            <w:pPr>
              <w:spacing w:after="0"/>
              <w:jc w:val="center"/>
              <w:rPr>
                <w:rFonts w:cs="Arial"/>
                <w:sz w:val="16"/>
                <w:szCs w:val="16"/>
              </w:rPr>
            </w:pPr>
            <w:r w:rsidRPr="00AD3E1C">
              <w:rPr>
                <w:rFonts w:cs="Arial"/>
                <w:sz w:val="16"/>
                <w:szCs w:val="16"/>
              </w:rPr>
              <w:t>(Trechos 3 e 4)</w:t>
            </w:r>
          </w:p>
        </w:tc>
        <w:tc>
          <w:tcPr>
            <w:tcW w:w="1559" w:type="dxa"/>
            <w:vAlign w:val="center"/>
          </w:tcPr>
          <w:p w:rsidR="00943A4D" w:rsidRPr="00AD3E1C" w:rsidRDefault="00943A4D" w:rsidP="003F2023">
            <w:pPr>
              <w:spacing w:after="0"/>
              <w:jc w:val="center"/>
              <w:rPr>
                <w:rFonts w:cs="Arial"/>
                <w:sz w:val="16"/>
                <w:szCs w:val="16"/>
              </w:rPr>
            </w:pPr>
            <w:r w:rsidRPr="00AD3E1C">
              <w:rPr>
                <w:rFonts w:cs="Arial"/>
                <w:sz w:val="16"/>
                <w:szCs w:val="16"/>
              </w:rPr>
              <w:t>Sim</w:t>
            </w:r>
          </w:p>
          <w:p w:rsidR="00943A4D" w:rsidRPr="00AD3E1C" w:rsidRDefault="00943A4D" w:rsidP="003F2023">
            <w:pPr>
              <w:spacing w:after="0"/>
              <w:jc w:val="center"/>
              <w:rPr>
                <w:rFonts w:cs="Arial"/>
                <w:sz w:val="16"/>
                <w:szCs w:val="16"/>
              </w:rPr>
            </w:pPr>
            <w:r w:rsidRPr="00AD3E1C">
              <w:rPr>
                <w:rFonts w:cs="Arial"/>
                <w:sz w:val="16"/>
                <w:szCs w:val="16"/>
              </w:rPr>
              <w:t>(Trecho 1)</w:t>
            </w:r>
          </w:p>
        </w:tc>
      </w:tr>
    </w:tbl>
    <w:p w:rsidR="00861F96" w:rsidRDefault="00943A4D" w:rsidP="00861F96">
      <w:pPr>
        <w:tabs>
          <w:tab w:val="left" w:pos="720"/>
          <w:tab w:val="left" w:pos="1080"/>
          <w:tab w:val="left" w:pos="3175"/>
        </w:tabs>
        <w:rPr>
          <w:rStyle w:val="NormalDestaque"/>
          <w:rFonts w:cs="Arial"/>
          <w:b w:val="0"/>
          <w:color w:val="auto"/>
          <w:sz w:val="18"/>
          <w:szCs w:val="18"/>
        </w:rPr>
      </w:pPr>
      <w:r w:rsidRPr="00884696">
        <w:rPr>
          <w:rStyle w:val="NormalDestaque"/>
          <w:rFonts w:cs="Arial"/>
          <w:b w:val="0"/>
          <w:color w:val="auto"/>
          <w:sz w:val="18"/>
          <w:szCs w:val="18"/>
        </w:rPr>
        <w:t>Fonte: PRIME, 2014</w:t>
      </w:r>
    </w:p>
    <w:p w:rsidR="00861F96" w:rsidRPr="00861F96" w:rsidRDefault="00861F96" w:rsidP="00861F96">
      <w:pPr>
        <w:pStyle w:val="Quadro"/>
        <w:rPr>
          <w:bCs/>
        </w:rPr>
      </w:pPr>
      <w:r w:rsidRPr="00861F96">
        <w:rPr>
          <w:b w:val="0"/>
          <w:bCs/>
        </w:rPr>
        <w:t>Figura 6.4.</w:t>
      </w:r>
      <w:r w:rsidR="001103F0">
        <w:rPr>
          <w:b w:val="0"/>
          <w:bCs/>
        </w:rPr>
        <w:t>2-8.</w:t>
      </w:r>
      <w:r w:rsidRPr="00861F96">
        <w:rPr>
          <w:bCs/>
        </w:rPr>
        <w:t xml:space="preserve"> Similaridade florística entre as áreas </w:t>
      </w:r>
      <w:r w:rsidR="000F2964" w:rsidRPr="00861F96">
        <w:rPr>
          <w:bCs/>
        </w:rPr>
        <w:t xml:space="preserve">de amostragem </w:t>
      </w:r>
      <w:r w:rsidRPr="00861F96">
        <w:rPr>
          <w:bCs/>
        </w:rPr>
        <w:t xml:space="preserve">F3, F8, F24, F28, F33 e F37, na Interligação entre as Represas Jaguari e Atibainha. </w:t>
      </w:r>
    </w:p>
    <w:p w:rsidR="00943A4D" w:rsidRDefault="00943A4D" w:rsidP="00943A4D">
      <w:pPr>
        <w:pBdr>
          <w:top w:val="single" w:sz="6" w:space="1" w:color="auto"/>
          <w:left w:val="single" w:sz="6" w:space="4" w:color="auto"/>
          <w:bottom w:val="single" w:sz="6" w:space="1" w:color="auto"/>
          <w:right w:val="single" w:sz="6" w:space="13" w:color="auto"/>
          <w:between w:val="single" w:sz="6" w:space="1" w:color="auto"/>
          <w:bar w:val="single" w:sz="6" w:color="auto"/>
        </w:pBdr>
        <w:jc w:val="center"/>
        <w:rPr>
          <w:rStyle w:val="NormalDestaque"/>
          <w:rFonts w:ascii="Verdana" w:hAnsi="Verdana" w:cs="Tahoma"/>
          <w:b w:val="0"/>
        </w:rPr>
      </w:pPr>
      <w:r w:rsidRPr="00A92C3E">
        <w:rPr>
          <w:rStyle w:val="NormalDestaque"/>
          <w:rFonts w:ascii="Verdana" w:hAnsi="Verdana" w:cs="Tahoma"/>
          <w:b w:val="0"/>
          <w:noProof/>
          <w:lang w:eastAsia="pt-BR"/>
        </w:rPr>
        <w:drawing>
          <wp:inline distT="0" distB="0" distL="0" distR="0" wp14:anchorId="691DCE9E" wp14:editId="378C701F">
            <wp:extent cx="6118264" cy="2216506"/>
            <wp:effectExtent l="0" t="0" r="0" b="0"/>
            <wp:docPr id="194" name="Imagem 194" descr="C:\Users\clarissa\Documents\Similaridade Fina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arissa\Documents\Similaridade Final.bmp"/>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53574" cy="2229298"/>
                    </a:xfrm>
                    <a:prstGeom prst="rect">
                      <a:avLst/>
                    </a:prstGeom>
                    <a:noFill/>
                    <a:ln>
                      <a:noFill/>
                    </a:ln>
                  </pic:spPr>
                </pic:pic>
              </a:graphicData>
            </a:graphic>
          </wp:inline>
        </w:drawing>
      </w:r>
    </w:p>
    <w:p w:rsidR="00943A4D" w:rsidRPr="00884696" w:rsidRDefault="00943A4D" w:rsidP="00943A4D">
      <w:pPr>
        <w:pStyle w:val="Quadro"/>
        <w:rPr>
          <w:rStyle w:val="NormalDestaque"/>
          <w:rFonts w:ascii="Arial" w:hAnsi="Arial" w:cs="Arial"/>
          <w:b/>
          <w:color w:val="auto"/>
          <w:szCs w:val="20"/>
        </w:rPr>
      </w:pPr>
      <w:r>
        <w:rPr>
          <w:rStyle w:val="NormalDestaque"/>
          <w:rFonts w:cs="Arial"/>
          <w:b/>
          <w:color w:val="auto"/>
          <w:szCs w:val="20"/>
        </w:rPr>
        <w:t>Tabela 6.4.</w:t>
      </w:r>
      <w:r w:rsidR="001103F0">
        <w:rPr>
          <w:rStyle w:val="NormalDestaque"/>
          <w:rFonts w:cs="Arial"/>
          <w:b/>
          <w:color w:val="auto"/>
          <w:szCs w:val="20"/>
        </w:rPr>
        <w:t>2-</w:t>
      </w:r>
      <w:r w:rsidR="00B84E57">
        <w:rPr>
          <w:rStyle w:val="NormalDestaque"/>
          <w:rFonts w:cs="Arial"/>
          <w:b/>
          <w:color w:val="auto"/>
          <w:szCs w:val="20"/>
        </w:rPr>
        <w:t>3</w:t>
      </w:r>
      <w:r w:rsidR="001103F0">
        <w:rPr>
          <w:rStyle w:val="NormalDestaque"/>
          <w:rFonts w:cs="Arial"/>
          <w:b/>
          <w:color w:val="auto"/>
          <w:szCs w:val="20"/>
        </w:rPr>
        <w:t>.</w:t>
      </w:r>
      <w:r w:rsidRPr="00884696">
        <w:rPr>
          <w:rStyle w:val="NormalDestaque"/>
          <w:rFonts w:ascii="Arial" w:hAnsi="Arial" w:cs="Arial"/>
          <w:b/>
          <w:color w:val="auto"/>
          <w:szCs w:val="20"/>
        </w:rPr>
        <w:t xml:space="preserve"> Matriz de similaridade entre os pontos de amostragem. C</w:t>
      </w:r>
      <w:r w:rsidR="00861F96">
        <w:rPr>
          <w:rStyle w:val="NormalDestaque"/>
          <w:rFonts w:ascii="Arial" w:hAnsi="Arial" w:cs="Arial"/>
          <w:b/>
          <w:color w:val="auto"/>
          <w:szCs w:val="20"/>
        </w:rPr>
        <w:t>oeficiente de Jaccard</w:t>
      </w:r>
    </w:p>
    <w:tbl>
      <w:tblPr>
        <w:tblStyle w:val="Tabelacomgrade"/>
        <w:tblW w:w="9413" w:type="dxa"/>
        <w:jc w:val="center"/>
        <w:tblLayout w:type="fixed"/>
        <w:tblCellMar>
          <w:left w:w="57" w:type="dxa"/>
          <w:right w:w="57" w:type="dxa"/>
        </w:tblCellMar>
        <w:tblLook w:val="04A0" w:firstRow="1" w:lastRow="0" w:firstColumn="1" w:lastColumn="0" w:noHBand="0" w:noVBand="1"/>
      </w:tblPr>
      <w:tblGrid>
        <w:gridCol w:w="979"/>
        <w:gridCol w:w="949"/>
        <w:gridCol w:w="1390"/>
        <w:gridCol w:w="1417"/>
        <w:gridCol w:w="1559"/>
        <w:gridCol w:w="1560"/>
        <w:gridCol w:w="1559"/>
      </w:tblGrid>
      <w:tr w:rsidR="00943A4D" w:rsidRPr="00884696" w:rsidTr="003F2023">
        <w:trPr>
          <w:jc w:val="center"/>
        </w:trPr>
        <w:tc>
          <w:tcPr>
            <w:tcW w:w="979" w:type="dxa"/>
            <w:shd w:val="clear" w:color="auto" w:fill="DAEEF3" w:themeFill="accent5" w:themeFillTint="33"/>
            <w:vAlign w:val="center"/>
          </w:tcPr>
          <w:p w:rsidR="00943A4D" w:rsidRPr="00884696" w:rsidRDefault="00943A4D" w:rsidP="003F2023">
            <w:pPr>
              <w:spacing w:after="0"/>
              <w:rPr>
                <w:rStyle w:val="NormalDestaque"/>
                <w:rFonts w:cs="Arial"/>
                <w:color w:val="auto"/>
                <w:sz w:val="16"/>
                <w:szCs w:val="16"/>
              </w:rPr>
            </w:pPr>
          </w:p>
        </w:tc>
        <w:tc>
          <w:tcPr>
            <w:tcW w:w="949" w:type="dxa"/>
            <w:shd w:val="clear" w:color="auto" w:fill="DAEEF3" w:themeFill="accent5" w:themeFillTint="33"/>
            <w:vAlign w:val="center"/>
          </w:tcPr>
          <w:p w:rsidR="00943A4D" w:rsidRPr="00884696" w:rsidRDefault="00943A4D" w:rsidP="003F2023">
            <w:pPr>
              <w:spacing w:after="0"/>
              <w:rPr>
                <w:rStyle w:val="NormalDestaque"/>
                <w:rFonts w:cs="Arial"/>
                <w:color w:val="auto"/>
                <w:sz w:val="16"/>
                <w:szCs w:val="16"/>
              </w:rPr>
            </w:pPr>
            <w:r w:rsidRPr="00884696">
              <w:rPr>
                <w:rStyle w:val="NormalDestaque"/>
                <w:rFonts w:cs="Arial"/>
                <w:color w:val="auto"/>
                <w:sz w:val="16"/>
                <w:szCs w:val="16"/>
              </w:rPr>
              <w:t>F3</w:t>
            </w:r>
          </w:p>
        </w:tc>
        <w:tc>
          <w:tcPr>
            <w:tcW w:w="1390" w:type="dxa"/>
            <w:shd w:val="clear" w:color="auto" w:fill="DAEEF3" w:themeFill="accent5" w:themeFillTint="33"/>
            <w:vAlign w:val="center"/>
          </w:tcPr>
          <w:p w:rsidR="00943A4D" w:rsidRPr="00884696" w:rsidRDefault="00943A4D" w:rsidP="003F2023">
            <w:pPr>
              <w:spacing w:after="0"/>
              <w:rPr>
                <w:rStyle w:val="NormalDestaque"/>
                <w:rFonts w:cs="Arial"/>
                <w:color w:val="auto"/>
                <w:sz w:val="16"/>
                <w:szCs w:val="16"/>
              </w:rPr>
            </w:pPr>
            <w:r w:rsidRPr="00884696">
              <w:rPr>
                <w:rStyle w:val="NormalDestaque"/>
                <w:rFonts w:cs="Arial"/>
                <w:color w:val="auto"/>
                <w:sz w:val="16"/>
                <w:szCs w:val="16"/>
              </w:rPr>
              <w:t>F8</w:t>
            </w:r>
          </w:p>
        </w:tc>
        <w:tc>
          <w:tcPr>
            <w:tcW w:w="1417" w:type="dxa"/>
            <w:shd w:val="clear" w:color="auto" w:fill="DAEEF3" w:themeFill="accent5" w:themeFillTint="33"/>
            <w:vAlign w:val="center"/>
          </w:tcPr>
          <w:p w:rsidR="00943A4D" w:rsidRPr="00884696" w:rsidRDefault="00943A4D" w:rsidP="003F2023">
            <w:pPr>
              <w:spacing w:after="0"/>
              <w:rPr>
                <w:rStyle w:val="NormalDestaque"/>
                <w:rFonts w:cs="Arial"/>
                <w:color w:val="auto"/>
                <w:sz w:val="16"/>
                <w:szCs w:val="16"/>
              </w:rPr>
            </w:pPr>
            <w:r w:rsidRPr="00884696">
              <w:rPr>
                <w:rStyle w:val="NormalDestaque"/>
                <w:rFonts w:cs="Arial"/>
                <w:color w:val="auto"/>
                <w:sz w:val="16"/>
                <w:szCs w:val="16"/>
              </w:rPr>
              <w:t>F24</w:t>
            </w:r>
          </w:p>
        </w:tc>
        <w:tc>
          <w:tcPr>
            <w:tcW w:w="1559" w:type="dxa"/>
            <w:shd w:val="clear" w:color="auto" w:fill="DAEEF3" w:themeFill="accent5" w:themeFillTint="33"/>
            <w:vAlign w:val="center"/>
          </w:tcPr>
          <w:p w:rsidR="00943A4D" w:rsidRPr="00884696" w:rsidRDefault="00943A4D" w:rsidP="003F2023">
            <w:pPr>
              <w:spacing w:after="0"/>
              <w:rPr>
                <w:rStyle w:val="NormalDestaque"/>
                <w:rFonts w:cs="Arial"/>
                <w:color w:val="auto"/>
                <w:sz w:val="16"/>
                <w:szCs w:val="16"/>
              </w:rPr>
            </w:pPr>
            <w:r w:rsidRPr="00884696">
              <w:rPr>
                <w:rStyle w:val="NormalDestaque"/>
                <w:rFonts w:cs="Arial"/>
                <w:color w:val="auto"/>
                <w:sz w:val="16"/>
                <w:szCs w:val="16"/>
              </w:rPr>
              <w:t>F28</w:t>
            </w:r>
          </w:p>
        </w:tc>
        <w:tc>
          <w:tcPr>
            <w:tcW w:w="1560" w:type="dxa"/>
            <w:shd w:val="clear" w:color="auto" w:fill="DAEEF3" w:themeFill="accent5" w:themeFillTint="33"/>
            <w:vAlign w:val="center"/>
          </w:tcPr>
          <w:p w:rsidR="00943A4D" w:rsidRPr="00884696" w:rsidRDefault="00943A4D" w:rsidP="003F2023">
            <w:pPr>
              <w:spacing w:after="0"/>
              <w:rPr>
                <w:rStyle w:val="NormalDestaque"/>
                <w:rFonts w:cs="Arial"/>
                <w:color w:val="auto"/>
                <w:sz w:val="16"/>
                <w:szCs w:val="16"/>
              </w:rPr>
            </w:pPr>
            <w:r w:rsidRPr="00884696">
              <w:rPr>
                <w:rStyle w:val="NormalDestaque"/>
                <w:rFonts w:cs="Arial"/>
                <w:color w:val="auto"/>
                <w:sz w:val="16"/>
                <w:szCs w:val="16"/>
              </w:rPr>
              <w:t>F33</w:t>
            </w:r>
          </w:p>
        </w:tc>
        <w:tc>
          <w:tcPr>
            <w:tcW w:w="1559" w:type="dxa"/>
            <w:shd w:val="clear" w:color="auto" w:fill="DAEEF3" w:themeFill="accent5" w:themeFillTint="33"/>
            <w:vAlign w:val="center"/>
          </w:tcPr>
          <w:p w:rsidR="00943A4D" w:rsidRPr="00884696" w:rsidRDefault="00943A4D" w:rsidP="003F2023">
            <w:pPr>
              <w:spacing w:after="0"/>
              <w:rPr>
                <w:rStyle w:val="NormalDestaque"/>
                <w:rFonts w:cs="Arial"/>
                <w:color w:val="auto"/>
                <w:sz w:val="16"/>
                <w:szCs w:val="16"/>
              </w:rPr>
            </w:pPr>
            <w:r w:rsidRPr="00884696">
              <w:rPr>
                <w:rStyle w:val="NormalDestaque"/>
                <w:rFonts w:cs="Arial"/>
                <w:color w:val="auto"/>
                <w:sz w:val="16"/>
                <w:szCs w:val="16"/>
              </w:rPr>
              <w:t>F37</w:t>
            </w:r>
          </w:p>
        </w:tc>
      </w:tr>
      <w:tr w:rsidR="00943A4D" w:rsidRPr="00884696" w:rsidTr="003F2023">
        <w:trPr>
          <w:jc w:val="center"/>
        </w:trPr>
        <w:tc>
          <w:tcPr>
            <w:tcW w:w="979" w:type="dxa"/>
            <w:vAlign w:val="center"/>
          </w:tcPr>
          <w:p w:rsidR="00943A4D" w:rsidRPr="00884696" w:rsidRDefault="00943A4D" w:rsidP="003F2023">
            <w:pPr>
              <w:spacing w:after="0"/>
              <w:rPr>
                <w:rStyle w:val="NormalDestaque"/>
                <w:rFonts w:cs="Arial"/>
                <w:color w:val="auto"/>
                <w:sz w:val="16"/>
                <w:szCs w:val="16"/>
              </w:rPr>
            </w:pPr>
            <w:r w:rsidRPr="00884696">
              <w:rPr>
                <w:rStyle w:val="NormalDestaque"/>
                <w:rFonts w:cs="Arial"/>
                <w:color w:val="auto"/>
                <w:sz w:val="16"/>
                <w:szCs w:val="16"/>
              </w:rPr>
              <w:t>F3</w:t>
            </w:r>
          </w:p>
        </w:tc>
        <w:tc>
          <w:tcPr>
            <w:tcW w:w="94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390"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19,685</w:t>
            </w:r>
          </w:p>
        </w:tc>
        <w:tc>
          <w:tcPr>
            <w:tcW w:w="1417"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22,2222</w:t>
            </w:r>
          </w:p>
        </w:tc>
        <w:tc>
          <w:tcPr>
            <w:tcW w:w="155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14,1791</w:t>
            </w:r>
          </w:p>
        </w:tc>
        <w:tc>
          <w:tcPr>
            <w:tcW w:w="1560"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19,469</w:t>
            </w:r>
          </w:p>
        </w:tc>
        <w:tc>
          <w:tcPr>
            <w:tcW w:w="155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20,8633</w:t>
            </w:r>
          </w:p>
        </w:tc>
      </w:tr>
      <w:tr w:rsidR="00943A4D" w:rsidRPr="00884696" w:rsidTr="003F2023">
        <w:trPr>
          <w:jc w:val="center"/>
        </w:trPr>
        <w:tc>
          <w:tcPr>
            <w:tcW w:w="979" w:type="dxa"/>
            <w:vAlign w:val="center"/>
          </w:tcPr>
          <w:p w:rsidR="00943A4D" w:rsidRPr="00884696" w:rsidRDefault="00943A4D" w:rsidP="003F2023">
            <w:pPr>
              <w:spacing w:after="0"/>
              <w:rPr>
                <w:rStyle w:val="NormalDestaque"/>
                <w:rFonts w:cs="Arial"/>
                <w:color w:val="auto"/>
                <w:sz w:val="16"/>
                <w:szCs w:val="16"/>
              </w:rPr>
            </w:pPr>
            <w:r w:rsidRPr="00884696">
              <w:rPr>
                <w:rStyle w:val="NormalDestaque"/>
                <w:rFonts w:cs="Arial"/>
                <w:color w:val="auto"/>
                <w:sz w:val="16"/>
                <w:szCs w:val="16"/>
              </w:rPr>
              <w:t>F8</w:t>
            </w:r>
          </w:p>
        </w:tc>
        <w:tc>
          <w:tcPr>
            <w:tcW w:w="94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390"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417"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17,6923</w:t>
            </w:r>
          </w:p>
        </w:tc>
        <w:tc>
          <w:tcPr>
            <w:tcW w:w="155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25</w:t>
            </w:r>
          </w:p>
        </w:tc>
        <w:tc>
          <w:tcPr>
            <w:tcW w:w="1560"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21,8978</w:t>
            </w:r>
          </w:p>
        </w:tc>
        <w:tc>
          <w:tcPr>
            <w:tcW w:w="155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29,0323</w:t>
            </w:r>
          </w:p>
        </w:tc>
      </w:tr>
      <w:tr w:rsidR="00943A4D" w:rsidRPr="00884696" w:rsidTr="003F2023">
        <w:trPr>
          <w:jc w:val="center"/>
        </w:trPr>
        <w:tc>
          <w:tcPr>
            <w:tcW w:w="979" w:type="dxa"/>
            <w:vAlign w:val="center"/>
          </w:tcPr>
          <w:p w:rsidR="00943A4D" w:rsidRPr="00884696" w:rsidRDefault="00943A4D" w:rsidP="003F2023">
            <w:pPr>
              <w:spacing w:after="0"/>
              <w:rPr>
                <w:rStyle w:val="NormalDestaque"/>
                <w:rFonts w:cs="Arial"/>
                <w:color w:val="auto"/>
                <w:sz w:val="16"/>
                <w:szCs w:val="16"/>
              </w:rPr>
            </w:pPr>
            <w:r w:rsidRPr="00884696">
              <w:rPr>
                <w:rStyle w:val="NormalDestaque"/>
                <w:rFonts w:cs="Arial"/>
                <w:color w:val="auto"/>
                <w:sz w:val="16"/>
                <w:szCs w:val="16"/>
              </w:rPr>
              <w:t>F24</w:t>
            </w:r>
          </w:p>
        </w:tc>
        <w:tc>
          <w:tcPr>
            <w:tcW w:w="94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390"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417"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55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17,5573</w:t>
            </w:r>
          </w:p>
        </w:tc>
        <w:tc>
          <w:tcPr>
            <w:tcW w:w="1560"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24,7706</w:t>
            </w:r>
          </w:p>
        </w:tc>
        <w:tc>
          <w:tcPr>
            <w:tcW w:w="155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21,5827</w:t>
            </w:r>
          </w:p>
        </w:tc>
      </w:tr>
      <w:tr w:rsidR="00943A4D" w:rsidRPr="00884696" w:rsidTr="003F2023">
        <w:trPr>
          <w:jc w:val="center"/>
        </w:trPr>
        <w:tc>
          <w:tcPr>
            <w:tcW w:w="979" w:type="dxa"/>
            <w:vAlign w:val="center"/>
          </w:tcPr>
          <w:p w:rsidR="00943A4D" w:rsidRPr="00884696" w:rsidRDefault="00943A4D" w:rsidP="003F2023">
            <w:pPr>
              <w:spacing w:after="0"/>
              <w:rPr>
                <w:rStyle w:val="NormalDestaque"/>
                <w:rFonts w:cs="Arial"/>
                <w:color w:val="auto"/>
                <w:sz w:val="16"/>
                <w:szCs w:val="16"/>
              </w:rPr>
            </w:pPr>
            <w:r w:rsidRPr="00884696">
              <w:rPr>
                <w:rStyle w:val="NormalDestaque"/>
                <w:rFonts w:cs="Arial"/>
                <w:color w:val="auto"/>
                <w:sz w:val="16"/>
                <w:szCs w:val="16"/>
              </w:rPr>
              <w:t>F28</w:t>
            </w:r>
          </w:p>
        </w:tc>
        <w:tc>
          <w:tcPr>
            <w:tcW w:w="94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390"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417"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55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560"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29,2308</w:t>
            </w:r>
          </w:p>
        </w:tc>
        <w:tc>
          <w:tcPr>
            <w:tcW w:w="155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33,1126</w:t>
            </w:r>
          </w:p>
        </w:tc>
      </w:tr>
      <w:tr w:rsidR="00943A4D" w:rsidRPr="00884696" w:rsidTr="003F2023">
        <w:trPr>
          <w:jc w:val="center"/>
        </w:trPr>
        <w:tc>
          <w:tcPr>
            <w:tcW w:w="979" w:type="dxa"/>
            <w:vAlign w:val="center"/>
          </w:tcPr>
          <w:p w:rsidR="00943A4D" w:rsidRPr="00884696" w:rsidRDefault="00943A4D" w:rsidP="003F2023">
            <w:pPr>
              <w:spacing w:after="0"/>
              <w:rPr>
                <w:rStyle w:val="NormalDestaque"/>
                <w:rFonts w:cs="Arial"/>
                <w:color w:val="auto"/>
                <w:sz w:val="16"/>
                <w:szCs w:val="16"/>
              </w:rPr>
            </w:pPr>
            <w:r w:rsidRPr="00884696">
              <w:rPr>
                <w:rStyle w:val="NormalDestaque"/>
                <w:rFonts w:cs="Arial"/>
                <w:color w:val="auto"/>
                <w:sz w:val="16"/>
                <w:szCs w:val="16"/>
              </w:rPr>
              <w:t>F33</w:t>
            </w:r>
          </w:p>
        </w:tc>
        <w:tc>
          <w:tcPr>
            <w:tcW w:w="94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390"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417"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55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560"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55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27,0833</w:t>
            </w:r>
          </w:p>
        </w:tc>
      </w:tr>
      <w:tr w:rsidR="00943A4D" w:rsidRPr="00884696" w:rsidTr="003F2023">
        <w:trPr>
          <w:jc w:val="center"/>
        </w:trPr>
        <w:tc>
          <w:tcPr>
            <w:tcW w:w="979" w:type="dxa"/>
            <w:vAlign w:val="center"/>
          </w:tcPr>
          <w:p w:rsidR="00943A4D" w:rsidRPr="00884696" w:rsidRDefault="00943A4D" w:rsidP="003F2023">
            <w:pPr>
              <w:spacing w:after="0"/>
              <w:rPr>
                <w:rStyle w:val="NormalDestaque"/>
                <w:rFonts w:cs="Arial"/>
                <w:color w:val="auto"/>
                <w:sz w:val="16"/>
                <w:szCs w:val="16"/>
              </w:rPr>
            </w:pPr>
            <w:r w:rsidRPr="00884696">
              <w:rPr>
                <w:rStyle w:val="NormalDestaque"/>
                <w:rFonts w:cs="Arial"/>
                <w:color w:val="auto"/>
                <w:sz w:val="16"/>
                <w:szCs w:val="16"/>
              </w:rPr>
              <w:t>F37</w:t>
            </w:r>
          </w:p>
        </w:tc>
        <w:tc>
          <w:tcPr>
            <w:tcW w:w="94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390"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417"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55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560"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c>
          <w:tcPr>
            <w:tcW w:w="1559" w:type="dxa"/>
            <w:vAlign w:val="center"/>
          </w:tcPr>
          <w:p w:rsidR="00943A4D" w:rsidRPr="00884696" w:rsidRDefault="00943A4D" w:rsidP="003F2023">
            <w:pPr>
              <w:spacing w:after="0"/>
              <w:rPr>
                <w:rStyle w:val="NormalDestaque"/>
                <w:rFonts w:cs="Arial"/>
                <w:b w:val="0"/>
                <w:color w:val="auto"/>
                <w:sz w:val="16"/>
                <w:szCs w:val="16"/>
              </w:rPr>
            </w:pPr>
            <w:r w:rsidRPr="00884696">
              <w:rPr>
                <w:rStyle w:val="NormalDestaque"/>
                <w:rFonts w:cs="Arial"/>
                <w:b w:val="0"/>
                <w:color w:val="auto"/>
                <w:sz w:val="16"/>
                <w:szCs w:val="16"/>
              </w:rPr>
              <w:t>*</w:t>
            </w:r>
          </w:p>
        </w:tc>
      </w:tr>
    </w:tbl>
    <w:p w:rsidR="00943A4D" w:rsidRPr="00884696" w:rsidRDefault="00943A4D" w:rsidP="002D708B">
      <w:pPr>
        <w:tabs>
          <w:tab w:val="left" w:pos="720"/>
          <w:tab w:val="left" w:pos="1080"/>
          <w:tab w:val="left" w:pos="3175"/>
        </w:tabs>
        <w:spacing w:before="120"/>
        <w:rPr>
          <w:rStyle w:val="NormalDestaque"/>
          <w:rFonts w:cs="Arial"/>
          <w:b w:val="0"/>
          <w:color w:val="auto"/>
        </w:rPr>
      </w:pPr>
      <w:r w:rsidRPr="00884696">
        <w:rPr>
          <w:rStyle w:val="NormalDestaque"/>
          <w:rFonts w:cs="Arial"/>
          <w:b w:val="0"/>
          <w:color w:val="auto"/>
        </w:rPr>
        <w:t xml:space="preserve">Os resultados de análise da similaridade florística foram condizentes com as observações gerais de campo, sendo registrada maior similaridade entre fragmentos que se encontram em estágios sucessionais </w:t>
      </w:r>
      <w:r w:rsidRPr="00392B3A">
        <w:rPr>
          <w:rStyle w:val="NormalDestaque"/>
          <w:rFonts w:cs="Arial"/>
          <w:b w:val="0"/>
          <w:color w:val="auto"/>
        </w:rPr>
        <w:t>semelhantes</w:t>
      </w:r>
      <w:r w:rsidRPr="00884696">
        <w:rPr>
          <w:rStyle w:val="NormalDestaque"/>
          <w:rFonts w:cs="Arial"/>
          <w:b w:val="0"/>
          <w:color w:val="auto"/>
        </w:rPr>
        <w:t>: (a) Médio a avançado - F28, F33, e F37, que também apresentam proximidade geográfica, F8, mais distante geograficamente; (b) Inicial a médio - F3 e F24, distantes geograficamente.</w:t>
      </w:r>
    </w:p>
    <w:p w:rsidR="00943A4D" w:rsidRPr="00AD5A02" w:rsidRDefault="00943A4D" w:rsidP="00943A4D">
      <w:r w:rsidRPr="009F0B60">
        <w:t xml:space="preserve">Vale destacar que apesar de se tratarem, em grande parte, de formações secundárias, de modo geral os locais amostrados preservam espécies características de estágios mais avançados, entre elas </w:t>
      </w:r>
      <w:r w:rsidRPr="009F0B60">
        <w:rPr>
          <w:rFonts w:cs="Arial"/>
          <w:i/>
          <w:iCs/>
        </w:rPr>
        <w:t>Ocotea odorifera</w:t>
      </w:r>
      <w:r w:rsidRPr="009F0B60">
        <w:rPr>
          <w:rFonts w:cs="Arial"/>
        </w:rPr>
        <w:t xml:space="preserve"> (canela-sassafrás) e </w:t>
      </w:r>
      <w:r w:rsidRPr="009F0B60">
        <w:rPr>
          <w:rFonts w:cs="Arial"/>
          <w:i/>
          <w:iCs/>
        </w:rPr>
        <w:t>Euterpe edulis</w:t>
      </w:r>
      <w:r w:rsidRPr="009F0B60">
        <w:rPr>
          <w:rFonts w:cs="Arial"/>
        </w:rPr>
        <w:t xml:space="preserve"> (palmito jussara). </w:t>
      </w:r>
      <w:r w:rsidRPr="009F0B60">
        <w:t>Destaca-se ainda a alta diversidade de espífitas, sobretudo Bromeliaceas (</w:t>
      </w:r>
      <w:r w:rsidRPr="009F0B60">
        <w:rPr>
          <w:i/>
          <w:iCs/>
        </w:rPr>
        <w:t>Tillandsia</w:t>
      </w:r>
      <w:r w:rsidRPr="009F0B60">
        <w:t xml:space="preserve">, </w:t>
      </w:r>
      <w:r w:rsidRPr="009F0B60">
        <w:rPr>
          <w:i/>
          <w:iCs/>
        </w:rPr>
        <w:t>Vriesea</w:t>
      </w:r>
      <w:r w:rsidRPr="009F0B60">
        <w:t xml:space="preserve">, </w:t>
      </w:r>
      <w:r w:rsidRPr="009F0B60">
        <w:rPr>
          <w:i/>
          <w:iCs/>
        </w:rPr>
        <w:t>Aechmea, Canistrum</w:t>
      </w:r>
      <w:r w:rsidRPr="009F0B60">
        <w:rPr>
          <w:iCs/>
        </w:rPr>
        <w:t>)</w:t>
      </w:r>
      <w:r w:rsidRPr="009F0B60">
        <w:rPr>
          <w:i/>
          <w:iCs/>
        </w:rPr>
        <w:t xml:space="preserve">, </w:t>
      </w:r>
      <w:r w:rsidRPr="009F0B60">
        <w:rPr>
          <w:iCs/>
        </w:rPr>
        <w:t xml:space="preserve">Orchidaceae </w:t>
      </w:r>
      <w:r w:rsidRPr="009F0B60">
        <w:rPr>
          <w:rFonts w:cs="Arial"/>
        </w:rPr>
        <w:t>(</w:t>
      </w:r>
      <w:r w:rsidRPr="009F0B60">
        <w:rPr>
          <w:rFonts w:cs="Arial"/>
          <w:i/>
        </w:rPr>
        <w:t>Campylocentrum, Oncidium, Catasetum, Vanilla</w:t>
      </w:r>
      <w:r w:rsidRPr="009F0B60">
        <w:rPr>
          <w:rFonts w:cs="Arial"/>
        </w:rPr>
        <w:t>)</w:t>
      </w:r>
      <w:r w:rsidRPr="009F0B60">
        <w:rPr>
          <w:iCs/>
        </w:rPr>
        <w:t xml:space="preserve"> </w:t>
      </w:r>
      <w:r w:rsidRPr="009F0B60">
        <w:t>e Cactacea</w:t>
      </w:r>
      <w:r>
        <w:t>e</w:t>
      </w:r>
      <w:r w:rsidRPr="009F0B60">
        <w:t xml:space="preserve"> (</w:t>
      </w:r>
      <w:r>
        <w:rPr>
          <w:i/>
          <w:iCs/>
        </w:rPr>
        <w:t>Rhipsalis</w:t>
      </w:r>
      <w:r w:rsidRPr="009F0B60">
        <w:t>)</w:t>
      </w:r>
      <w:r>
        <w:t>, evidenciando a riqueza florística desses remanescentes</w:t>
      </w:r>
      <w:r w:rsidRPr="009F0B60">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4"/>
        <w:gridCol w:w="4620"/>
      </w:tblGrid>
      <w:tr w:rsidR="00943A4D" w:rsidTr="00861F96">
        <w:tc>
          <w:tcPr>
            <w:tcW w:w="4831" w:type="dxa"/>
          </w:tcPr>
          <w:p w:rsidR="00943A4D" w:rsidRDefault="00943A4D" w:rsidP="003F2023">
            <w:pPr>
              <w:jc w:val="center"/>
            </w:pPr>
            <w:r>
              <w:rPr>
                <w:noProof/>
              </w:rPr>
              <w:lastRenderedPageBreak/>
              <w:drawing>
                <wp:inline distT="0" distB="0" distL="0" distR="0" wp14:anchorId="21B61E3E" wp14:editId="62B30737">
                  <wp:extent cx="2628900" cy="3068597"/>
                  <wp:effectExtent l="19050" t="0" r="0" b="0"/>
                  <wp:docPr id="195" name="Imagem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30061" cy="3069952"/>
                          </a:xfrm>
                          <a:prstGeom prst="rect">
                            <a:avLst/>
                          </a:prstGeom>
                          <a:noFill/>
                        </pic:spPr>
                      </pic:pic>
                    </a:graphicData>
                  </a:graphic>
                </wp:inline>
              </w:drawing>
            </w:r>
          </w:p>
        </w:tc>
        <w:tc>
          <w:tcPr>
            <w:tcW w:w="4739" w:type="dxa"/>
          </w:tcPr>
          <w:p w:rsidR="00943A4D" w:rsidRDefault="00943A4D" w:rsidP="003F2023">
            <w:pPr>
              <w:jc w:val="center"/>
            </w:pPr>
            <w:r>
              <w:rPr>
                <w:noProof/>
              </w:rPr>
              <w:drawing>
                <wp:inline distT="0" distB="0" distL="0" distR="0" wp14:anchorId="0928A8E4" wp14:editId="77E3F97B">
                  <wp:extent cx="2505075" cy="3078217"/>
                  <wp:effectExtent l="19050" t="0" r="0" b="0"/>
                  <wp:docPr id="196" name="Imagem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07240" cy="3080878"/>
                          </a:xfrm>
                          <a:prstGeom prst="rect">
                            <a:avLst/>
                          </a:prstGeom>
                          <a:noFill/>
                        </pic:spPr>
                      </pic:pic>
                    </a:graphicData>
                  </a:graphic>
                </wp:inline>
              </w:drawing>
            </w:r>
          </w:p>
        </w:tc>
      </w:tr>
      <w:tr w:rsidR="00943A4D" w:rsidTr="00861F96">
        <w:tc>
          <w:tcPr>
            <w:tcW w:w="4831" w:type="dxa"/>
            <w:vAlign w:val="center"/>
          </w:tcPr>
          <w:p w:rsidR="00943A4D" w:rsidRPr="00882B2C" w:rsidRDefault="00943A4D" w:rsidP="003F2023">
            <w:pPr>
              <w:rPr>
                <w:rStyle w:val="NormalDestaque"/>
                <w:rFonts w:cs="Arial"/>
                <w:b w:val="0"/>
                <w:color w:val="auto"/>
                <w:sz w:val="18"/>
                <w:szCs w:val="18"/>
              </w:rPr>
            </w:pPr>
            <w:r w:rsidRPr="00882B2C">
              <w:rPr>
                <w:rStyle w:val="NormalDestaque"/>
                <w:rFonts w:cs="Arial"/>
                <w:b w:val="0"/>
                <w:color w:val="auto"/>
                <w:sz w:val="18"/>
                <w:szCs w:val="18"/>
              </w:rPr>
              <w:t xml:space="preserve">Detalhe da área de amostragem F28, em AID da Adutora. Destaca-se a ocorrência de </w:t>
            </w:r>
            <w:r w:rsidRPr="00882B2C">
              <w:rPr>
                <w:rStyle w:val="NormalDestaque"/>
                <w:rFonts w:cs="Arial"/>
                <w:b w:val="0"/>
                <w:i/>
                <w:color w:val="auto"/>
                <w:sz w:val="18"/>
                <w:szCs w:val="18"/>
              </w:rPr>
              <w:t>Euterpe edulis</w:t>
            </w:r>
            <w:r w:rsidRPr="00882B2C">
              <w:rPr>
                <w:rStyle w:val="NormalDestaque"/>
                <w:rFonts w:cs="Arial"/>
                <w:b w:val="0"/>
                <w:color w:val="auto"/>
                <w:sz w:val="18"/>
                <w:szCs w:val="18"/>
              </w:rPr>
              <w:t xml:space="preserve"> (palmito jussara). Trecho</w:t>
            </w:r>
            <w:r w:rsidR="00780564">
              <w:rPr>
                <w:rStyle w:val="NormalDestaque"/>
                <w:rFonts w:cs="Arial"/>
                <w:b w:val="0"/>
                <w:color w:val="auto"/>
                <w:sz w:val="18"/>
                <w:szCs w:val="18"/>
              </w:rPr>
              <w:t xml:space="preserve"> </w:t>
            </w:r>
            <w:r w:rsidRPr="00882B2C">
              <w:rPr>
                <w:rStyle w:val="NormalDestaque"/>
                <w:rFonts w:cs="Arial"/>
                <w:b w:val="0"/>
                <w:color w:val="auto"/>
                <w:sz w:val="18"/>
                <w:szCs w:val="18"/>
              </w:rPr>
              <w:t>1.</w:t>
            </w:r>
          </w:p>
        </w:tc>
        <w:tc>
          <w:tcPr>
            <w:tcW w:w="4739" w:type="dxa"/>
            <w:vAlign w:val="center"/>
          </w:tcPr>
          <w:p w:rsidR="00943A4D" w:rsidRPr="00882B2C" w:rsidRDefault="00943A4D" w:rsidP="003F2023">
            <w:pPr>
              <w:rPr>
                <w:rStyle w:val="NormalDestaque"/>
                <w:rFonts w:cs="Arial"/>
                <w:b w:val="0"/>
                <w:color w:val="auto"/>
                <w:sz w:val="18"/>
                <w:szCs w:val="18"/>
              </w:rPr>
            </w:pPr>
            <w:r w:rsidRPr="00882B2C">
              <w:rPr>
                <w:rStyle w:val="NormalDestaque"/>
                <w:rFonts w:cs="Arial"/>
                <w:b w:val="0"/>
                <w:color w:val="auto"/>
                <w:sz w:val="18"/>
                <w:szCs w:val="18"/>
              </w:rPr>
              <w:t xml:space="preserve">Detalhe da área de amostragem F8, em AID da Adutora. Destaca-se a ocorrência de </w:t>
            </w:r>
            <w:r w:rsidRPr="00882B2C">
              <w:rPr>
                <w:rStyle w:val="NormalDestaque"/>
                <w:b w:val="0"/>
                <w:i/>
                <w:color w:val="auto"/>
                <w:sz w:val="18"/>
                <w:szCs w:val="18"/>
              </w:rPr>
              <w:t>Campylocentrum</w:t>
            </w:r>
            <w:r w:rsidRPr="00882B2C">
              <w:rPr>
                <w:rStyle w:val="NormalDestaque"/>
                <w:b w:val="0"/>
                <w:color w:val="auto"/>
                <w:sz w:val="18"/>
                <w:szCs w:val="18"/>
              </w:rPr>
              <w:t xml:space="preserve"> sp.</w:t>
            </w:r>
            <w:r w:rsidRPr="00882B2C">
              <w:rPr>
                <w:rStyle w:val="NormalDestaque"/>
                <w:rFonts w:cs="Arial"/>
                <w:b w:val="0"/>
                <w:color w:val="auto"/>
                <w:sz w:val="18"/>
                <w:szCs w:val="18"/>
              </w:rPr>
              <w:t xml:space="preserve"> (Orchidaceae). Trecho</w:t>
            </w:r>
            <w:r w:rsidR="00780564">
              <w:rPr>
                <w:rStyle w:val="NormalDestaque"/>
                <w:rFonts w:cs="Arial"/>
                <w:b w:val="0"/>
                <w:color w:val="auto"/>
                <w:sz w:val="18"/>
                <w:szCs w:val="18"/>
              </w:rPr>
              <w:t xml:space="preserve"> </w:t>
            </w:r>
            <w:r w:rsidRPr="00882B2C">
              <w:rPr>
                <w:rStyle w:val="NormalDestaque"/>
                <w:rFonts w:cs="Arial"/>
                <w:b w:val="0"/>
                <w:color w:val="auto"/>
                <w:sz w:val="18"/>
                <w:szCs w:val="18"/>
              </w:rPr>
              <w:t>1.</w:t>
            </w:r>
          </w:p>
        </w:tc>
      </w:tr>
    </w:tbl>
    <w:p w:rsidR="00943A4D" w:rsidRDefault="00943A4D" w:rsidP="00943A4D"/>
    <w:p w:rsidR="00943A4D" w:rsidRPr="00F74E6C" w:rsidRDefault="00943A4D" w:rsidP="00F74E6C">
      <w:pPr>
        <w:pStyle w:val="Ttulo4"/>
      </w:pPr>
      <w:bookmarkStart w:id="64" w:name="_Toc411871199"/>
      <w:r w:rsidRPr="00F74E6C">
        <w:t>Síntese dos Resultados</w:t>
      </w:r>
      <w:r w:rsidR="00F74E6C">
        <w:t xml:space="preserve"> do Levantamento Florístico</w:t>
      </w:r>
      <w:bookmarkEnd w:id="64"/>
    </w:p>
    <w:p w:rsidR="00943A4D" w:rsidRDefault="00943A4D" w:rsidP="00943A4D">
      <w:r>
        <w:t>Através de uma caracterização detalhada das fitofisionomias de ocorrência na AID e nas áreas li</w:t>
      </w:r>
      <w:r w:rsidR="00780564">
        <w:t>n</w:t>
      </w:r>
      <w:r>
        <w:t xml:space="preserve">deiras ao traçado, foram identificadas como principais categorias de uso e ocupação do solo: </w:t>
      </w:r>
      <w:r w:rsidRPr="00BA072D">
        <w:t>(a) Pastagens e Campos Antrópicos</w:t>
      </w:r>
      <w:r>
        <w:t>;</w:t>
      </w:r>
      <w:r w:rsidRPr="00BA072D">
        <w:t xml:space="preserve"> (</w:t>
      </w:r>
      <w:r>
        <w:t>b</w:t>
      </w:r>
      <w:r w:rsidRPr="00BA072D">
        <w:t>)</w:t>
      </w:r>
      <w:r>
        <w:t xml:space="preserve"> </w:t>
      </w:r>
      <w:r w:rsidRPr="00BA072D">
        <w:t>Cultivos</w:t>
      </w:r>
      <w:r>
        <w:t>;</w:t>
      </w:r>
      <w:r w:rsidRPr="00BA072D">
        <w:t xml:space="preserve"> (</w:t>
      </w:r>
      <w:r>
        <w:t>c</w:t>
      </w:r>
      <w:r w:rsidRPr="00BA072D">
        <w:t>)</w:t>
      </w:r>
      <w:r>
        <w:t xml:space="preserve"> </w:t>
      </w:r>
      <w:r w:rsidRPr="00BA072D">
        <w:t>Reflorestamentos</w:t>
      </w:r>
      <w:r>
        <w:t>;</w:t>
      </w:r>
      <w:r w:rsidRPr="00BA072D">
        <w:t xml:space="preserve"> (</w:t>
      </w:r>
      <w:r>
        <w:t>d</w:t>
      </w:r>
      <w:r w:rsidRPr="00BA072D">
        <w:t>)</w:t>
      </w:r>
      <w:r>
        <w:t xml:space="preserve"> </w:t>
      </w:r>
      <w:r w:rsidRPr="00BA072D">
        <w:t>Vegetação Antrópica e Cercas Vivas</w:t>
      </w:r>
      <w:r>
        <w:t>;</w:t>
      </w:r>
      <w:r w:rsidRPr="00BA072D">
        <w:t xml:space="preserve"> (</w:t>
      </w:r>
      <w:r>
        <w:t>e</w:t>
      </w:r>
      <w:r w:rsidRPr="00BA072D">
        <w:t>)</w:t>
      </w:r>
      <w:r>
        <w:t xml:space="preserve"> </w:t>
      </w:r>
      <w:r w:rsidRPr="00BA072D">
        <w:t>Vegetação Antropizada</w:t>
      </w:r>
      <w:r>
        <w:t>;</w:t>
      </w:r>
      <w:r w:rsidRPr="00BA072D">
        <w:t xml:space="preserve"> (</w:t>
      </w:r>
      <w:r>
        <w:t>f</w:t>
      </w:r>
      <w:r w:rsidRPr="00BA072D">
        <w:t>)</w:t>
      </w:r>
      <w:r>
        <w:t xml:space="preserve"> </w:t>
      </w:r>
      <w:r w:rsidRPr="00BA072D">
        <w:t>Vegetação Pioneira</w:t>
      </w:r>
      <w:r>
        <w:t>;</w:t>
      </w:r>
      <w:r w:rsidRPr="00BA072D">
        <w:t xml:space="preserve"> (</w:t>
      </w:r>
      <w:r>
        <w:t>g</w:t>
      </w:r>
      <w:r w:rsidRPr="00BA072D">
        <w:t>)</w:t>
      </w:r>
      <w:r>
        <w:t xml:space="preserve"> </w:t>
      </w:r>
      <w:r w:rsidRPr="00BA072D">
        <w:t>Floresta Ombrófila Estágio Inicial</w:t>
      </w:r>
      <w:r>
        <w:t>;</w:t>
      </w:r>
      <w:r w:rsidRPr="00BA072D">
        <w:t xml:space="preserve"> (h)</w:t>
      </w:r>
      <w:r>
        <w:t xml:space="preserve"> </w:t>
      </w:r>
      <w:r w:rsidRPr="00BA072D">
        <w:t>Floresta Ombrófila Estágio Médio</w:t>
      </w:r>
      <w:r>
        <w:t>;</w:t>
      </w:r>
      <w:r w:rsidRPr="00BA072D">
        <w:t xml:space="preserve"> (</w:t>
      </w:r>
      <w:r>
        <w:t>i</w:t>
      </w:r>
      <w:r w:rsidRPr="00BA072D">
        <w:t>)</w:t>
      </w:r>
      <w:r>
        <w:t xml:space="preserve"> </w:t>
      </w:r>
      <w:r w:rsidRPr="00BA072D">
        <w:t>Floresta Ombrófila Estágio Avançado</w:t>
      </w:r>
      <w:r>
        <w:t>;</w:t>
      </w:r>
      <w:r w:rsidRPr="00BA072D">
        <w:t xml:space="preserve"> (</w:t>
      </w:r>
      <w:r>
        <w:t>j</w:t>
      </w:r>
      <w:r w:rsidRPr="00BA072D">
        <w:t>)</w:t>
      </w:r>
      <w:r>
        <w:t xml:space="preserve"> </w:t>
      </w:r>
      <w:r w:rsidRPr="00BA072D">
        <w:t>Vegetação em área de Várzea</w:t>
      </w:r>
      <w:r>
        <w:t>.</w:t>
      </w:r>
      <w:r w:rsidRPr="00BA072D">
        <w:t xml:space="preserve"> </w:t>
      </w:r>
      <w:r>
        <w:t>Ocorre, de modo geral, um grau moderado de fragmentação da vegetação nativa na área de estudo.</w:t>
      </w:r>
    </w:p>
    <w:p w:rsidR="00943A4D" w:rsidRDefault="00943A4D" w:rsidP="00943A4D">
      <w:r>
        <w:t>Ao longo de todo o traçado da adutora, de uma forma mais específica, nota-se a ocupação por chácaras, pastagens, predominantes na região da represa Jaguari; reflorestamentos, intercalados por fragmentos remanescentes de tamanhos e estágios sucessionais variados, com maior representatividade na região da represa Atibainha.</w:t>
      </w:r>
      <w:r w:rsidRPr="00EA103D">
        <w:t xml:space="preserve"> </w:t>
      </w:r>
      <w:r>
        <w:t>Além destes, destaca-se a vegetação de várzea, com ampla distribuição em todo traçado, nas áreas planas de drenagem com solo encharcado.</w:t>
      </w:r>
    </w:p>
    <w:p w:rsidR="00943A4D" w:rsidRDefault="00943A4D" w:rsidP="00943A4D">
      <w:r>
        <w:t>Por tratar-se de uma região com restrições de uso do solo, muitos dos fragmentos, em especial aqueles localizados em áreas de difícil acesso, encontram-se em estágio sucessional médio a avançado, contendo elevada riqueza de espécies.</w:t>
      </w:r>
    </w:p>
    <w:p w:rsidR="00943A4D" w:rsidRDefault="00943A4D" w:rsidP="00943A4D">
      <w:r>
        <w:t xml:space="preserve">Os resultados de levantamento florístico abrangente, com foco na amostragem de espécies predominantes e representativas das diferentes fitofisionomias de ocorrência na AID evidenciaram elevada riqueza florística para a região, totalizando o registro de 365 espécies. Dessas, 354 espécies estão distribuídas em 70 famílias botânicas, além do grupo das Pteridófitas, com 11 espécies, que apresentaram maior representatividade em número de </w:t>
      </w:r>
      <w:r w:rsidRPr="005A3F39">
        <w:t xml:space="preserve">indivíduos. Os dados completos são fornecidos nas tabelas do </w:t>
      </w:r>
      <w:r w:rsidRPr="005A3F39">
        <w:rPr>
          <w:b/>
        </w:rPr>
        <w:t>Anexo 1.2</w:t>
      </w:r>
      <w:r w:rsidRPr="005A3F39">
        <w:t>.</w:t>
      </w:r>
      <w:r>
        <w:t xml:space="preserve"> </w:t>
      </w:r>
    </w:p>
    <w:p w:rsidR="00943A4D" w:rsidRDefault="00943A4D" w:rsidP="00943A4D">
      <w:r>
        <w:t xml:space="preserve">As </w:t>
      </w:r>
      <w:r w:rsidRPr="00601BCA">
        <w:t xml:space="preserve">Figuras </w:t>
      </w:r>
      <w:r>
        <w:t>apresentadas a seguir permitem uma rápida comparação entre as informações registradas nas diferentes áreas de amostragem florística.</w:t>
      </w:r>
    </w:p>
    <w:p w:rsidR="00861F96" w:rsidRPr="00861F96" w:rsidRDefault="00861F96" w:rsidP="00861F96">
      <w:pPr>
        <w:pStyle w:val="Quadro"/>
        <w:rPr>
          <w:b w:val="0"/>
          <w:bCs/>
        </w:rPr>
      </w:pPr>
      <w:r w:rsidRPr="00861F96">
        <w:rPr>
          <w:b w:val="0"/>
          <w:bCs/>
        </w:rPr>
        <w:lastRenderedPageBreak/>
        <w:t xml:space="preserve">Figura </w:t>
      </w:r>
      <w:r>
        <w:rPr>
          <w:b w:val="0"/>
          <w:bCs/>
        </w:rPr>
        <w:t>6.4.</w:t>
      </w:r>
      <w:r w:rsidR="0088373C">
        <w:rPr>
          <w:b w:val="0"/>
          <w:bCs/>
        </w:rPr>
        <w:t>2-9.</w:t>
      </w:r>
      <w:r w:rsidRPr="00861F96">
        <w:rPr>
          <w:b w:val="0"/>
          <w:bCs/>
        </w:rPr>
        <w:t xml:space="preserve"> Número de famílias e espécies registradas nas áreas de levantamento florístico na AID da Interligação entre </w:t>
      </w:r>
      <w:r>
        <w:rPr>
          <w:b w:val="0"/>
          <w:bCs/>
        </w:rPr>
        <w:t>as Represas Jaguari e Atibainha</w:t>
      </w:r>
    </w:p>
    <w:p w:rsidR="00943A4D" w:rsidRDefault="00943A4D" w:rsidP="00943A4D">
      <w:pPr>
        <w:jc w:val="center"/>
        <w:rPr>
          <w:rFonts w:ascii="Verdana" w:eastAsia="Times New Roman" w:hAnsi="Verdana" w:cs="Arial"/>
        </w:rPr>
      </w:pPr>
      <w:r>
        <w:rPr>
          <w:noProof/>
          <w:lang w:eastAsia="pt-BR"/>
        </w:rPr>
        <w:drawing>
          <wp:inline distT="0" distB="0" distL="0" distR="0" wp14:anchorId="7FE6EEE6" wp14:editId="5967DA46">
            <wp:extent cx="5434014" cy="3267075"/>
            <wp:effectExtent l="0" t="0" r="0" b="0"/>
            <wp:docPr id="197" name="Gráfico 19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861F96" w:rsidRPr="00861F96" w:rsidRDefault="00861F96" w:rsidP="00861F96">
      <w:pPr>
        <w:pStyle w:val="Quadro"/>
        <w:rPr>
          <w:b w:val="0"/>
          <w:bCs/>
        </w:rPr>
      </w:pPr>
      <w:r w:rsidRPr="00861F96">
        <w:rPr>
          <w:b w:val="0"/>
          <w:bCs/>
        </w:rPr>
        <w:t>Figura 6.4.</w:t>
      </w:r>
      <w:r w:rsidR="0088373C">
        <w:rPr>
          <w:b w:val="0"/>
          <w:bCs/>
        </w:rPr>
        <w:t>2-10.</w:t>
      </w:r>
      <w:r w:rsidRPr="00861F96">
        <w:rPr>
          <w:b w:val="0"/>
          <w:bCs/>
        </w:rPr>
        <w:t xml:space="preserve"> Número de espécies para cada classe sucessional registrado nas diferentes fitofisionomias de ocorrência na AID</w:t>
      </w:r>
    </w:p>
    <w:p w:rsidR="00943A4D" w:rsidRDefault="00943A4D" w:rsidP="00943A4D">
      <w:pPr>
        <w:jc w:val="center"/>
        <w:rPr>
          <w:rFonts w:ascii="Verdana" w:eastAsia="Times New Roman" w:hAnsi="Verdana" w:cs="Arial"/>
        </w:rPr>
      </w:pPr>
      <w:r>
        <w:rPr>
          <w:noProof/>
          <w:lang w:eastAsia="pt-BR"/>
        </w:rPr>
        <w:drawing>
          <wp:inline distT="0" distB="0" distL="0" distR="0" wp14:anchorId="002D9EDA" wp14:editId="7133C87D">
            <wp:extent cx="4572000" cy="2743200"/>
            <wp:effectExtent l="0" t="0" r="0" b="0"/>
            <wp:docPr id="198" name="Gráfico 19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943A4D" w:rsidRPr="00C45F31" w:rsidRDefault="00861F96" w:rsidP="00943A4D">
      <w:pPr>
        <w:rPr>
          <w:rFonts w:eastAsia="Times New Roman" w:cs="Arial"/>
        </w:rPr>
      </w:pPr>
      <w:r>
        <w:rPr>
          <w:rFonts w:eastAsia="Times New Roman" w:cs="Arial"/>
          <w:sz w:val="18"/>
          <w:szCs w:val="18"/>
        </w:rPr>
        <w:t xml:space="preserve">Nota - </w:t>
      </w:r>
      <w:r w:rsidR="00943A4D" w:rsidRPr="00C45F31">
        <w:rPr>
          <w:rFonts w:eastAsia="Times New Roman" w:cs="Arial"/>
          <w:sz w:val="18"/>
          <w:szCs w:val="18"/>
        </w:rPr>
        <w:t>Antropizada (ANT); Campo, Várzea (C\V); Vegetação Pioneira (PI); Floresta Ombrófila estágio Inicial (FI); Floresta Ombrófila estágio médio (FM); Floresta Ombrófila estágio Avançado (FA).</w:t>
      </w:r>
    </w:p>
    <w:p w:rsidR="00943A4D" w:rsidRDefault="00943A4D" w:rsidP="00943A4D">
      <w:r>
        <w:t>A ampliação desta amostragem foi realizada em 6 fragmentos remanescentes, priorizando-se a vegetação mais próxima da área de intervenção (ADA), porém abrangendo também a AID. Os dados obtidos evidenciaram</w:t>
      </w:r>
      <w:r w:rsidRPr="00996067">
        <w:t xml:space="preserve"> </w:t>
      </w:r>
      <w:r>
        <w:t xml:space="preserve">grande </w:t>
      </w:r>
      <w:r w:rsidRPr="00996067">
        <w:t xml:space="preserve">semelhança entre </w:t>
      </w:r>
      <w:r>
        <w:t>a</w:t>
      </w:r>
      <w:r w:rsidRPr="00996067">
        <w:t xml:space="preserve">s </w:t>
      </w:r>
      <w:r>
        <w:t>áreas amostrais, quanto a espécies pioneiras e secundárias iniciais registradas.</w:t>
      </w:r>
      <w:r w:rsidRPr="00996067">
        <w:t xml:space="preserve"> </w:t>
      </w:r>
      <w:r>
        <w:t>Verificou-se maior</w:t>
      </w:r>
      <w:r w:rsidRPr="00996067">
        <w:t xml:space="preserve"> diferenciação </w:t>
      </w:r>
      <w:r>
        <w:t>na</w:t>
      </w:r>
      <w:r w:rsidRPr="00996067">
        <w:t xml:space="preserve"> presença e quantidade de espécies </w:t>
      </w:r>
      <w:r>
        <w:t xml:space="preserve">de sub-bosque, </w:t>
      </w:r>
      <w:r w:rsidRPr="00996067">
        <w:t xml:space="preserve">secundárias tardias </w:t>
      </w:r>
      <w:r>
        <w:t>e de epífitas</w:t>
      </w:r>
      <w:r w:rsidRPr="00996067">
        <w:t>, bem como daquelas com algum risco de extinção, as quais se mostraram mais restritas a ambientes preservados</w:t>
      </w:r>
      <w:r>
        <w:t>, tendo distribuição irregular ao longo do traçado</w:t>
      </w:r>
      <w:r w:rsidRPr="00996067">
        <w:t xml:space="preserve">. </w:t>
      </w:r>
    </w:p>
    <w:p w:rsidR="00943A4D" w:rsidRDefault="00943A4D" w:rsidP="00943A4D">
      <w:r>
        <w:t>Para estas 6 áreas amostrais, foi re</w:t>
      </w:r>
      <w:r w:rsidRPr="00AD5A02">
        <w:t>gistrad</w:t>
      </w:r>
      <w:r>
        <w:t>o o total de</w:t>
      </w:r>
      <w:r w:rsidRPr="00AD5A02">
        <w:t xml:space="preserve"> </w:t>
      </w:r>
      <w:r w:rsidRPr="008756BB">
        <w:t>2</w:t>
      </w:r>
      <w:r>
        <w:t>35</w:t>
      </w:r>
      <w:r w:rsidRPr="00AD5A02">
        <w:t xml:space="preserve"> espécies, pertencentes a </w:t>
      </w:r>
      <w:r>
        <w:t>47</w:t>
      </w:r>
      <w:r w:rsidRPr="00AD5A02">
        <w:t xml:space="preserve"> famílias</w:t>
      </w:r>
      <w:r>
        <w:t>.</w:t>
      </w:r>
      <w:r w:rsidRPr="00AD5A02">
        <w:t xml:space="preserve"> Destaca</w:t>
      </w:r>
      <w:r>
        <w:t>m</w:t>
      </w:r>
      <w:r w:rsidRPr="00AD5A02">
        <w:t>-se</w:t>
      </w:r>
      <w:r>
        <w:t>,</w:t>
      </w:r>
      <w:r w:rsidRPr="00AD5A02">
        <w:t xml:space="preserve"> em número de </w:t>
      </w:r>
      <w:r>
        <w:t xml:space="preserve">espécies, as famílias: Fabaceae (30), Melastomataceae (26), </w:t>
      </w:r>
      <w:r>
        <w:lastRenderedPageBreak/>
        <w:t>Rubiaceae e Myrtaceae (13), Lauraceae (12), Euphorbiaceae (11), Compositae, Bromeliaceae e Piperaceae (9)</w:t>
      </w:r>
      <w:r w:rsidRPr="008C2CC3">
        <w:t xml:space="preserve"> (</w:t>
      </w:r>
      <w:r w:rsidRPr="008C2CC3">
        <w:rPr>
          <w:b/>
        </w:rPr>
        <w:t>Anexo 1.2</w:t>
      </w:r>
      <w:r w:rsidRPr="008C2CC3">
        <w:t>)</w:t>
      </w:r>
      <w:r>
        <w:t>.</w:t>
      </w:r>
    </w:p>
    <w:p w:rsidR="00943A4D" w:rsidRDefault="00943A4D" w:rsidP="00943A4D">
      <w:r>
        <w:t>Considerando-se o escopo do trabalho, a forma de vida predominante quanto ao número de espécies registradas foi a arbórea. Destaca-se a tendência ao aumento do número de epífitas e de espécies arbustivas nas áreas mais preservadas e com maior proximidade de cursos d’água.</w:t>
      </w:r>
    </w:p>
    <w:p w:rsidR="00943A4D" w:rsidRDefault="00943A4D" w:rsidP="00943A4D">
      <w:r>
        <w:t xml:space="preserve">Quanto às classes sucessionais, em todas as áreas amostrais foram predominantes espécies </w:t>
      </w:r>
      <w:r w:rsidRPr="00E9493A">
        <w:t xml:space="preserve">secundárias iniciais e aquelas típicas de sub-bosque, porém, observa-se na </w:t>
      </w:r>
      <w:r w:rsidRPr="00E9493A">
        <w:rPr>
          <w:b/>
        </w:rPr>
        <w:t xml:space="preserve">Figura </w:t>
      </w:r>
      <w:r w:rsidR="00E9493A" w:rsidRPr="00E9493A">
        <w:rPr>
          <w:b/>
        </w:rPr>
        <w:t>6.4.</w:t>
      </w:r>
      <w:r w:rsidR="0088373C">
        <w:rPr>
          <w:b/>
        </w:rPr>
        <w:t>2-</w:t>
      </w:r>
      <w:r w:rsidR="00E9493A" w:rsidRPr="00E9493A">
        <w:rPr>
          <w:b/>
        </w:rPr>
        <w:t>1</w:t>
      </w:r>
      <w:r w:rsidR="0088373C">
        <w:rPr>
          <w:b/>
        </w:rPr>
        <w:t>0</w:t>
      </w:r>
      <w:r w:rsidRPr="00E9493A">
        <w:t xml:space="preserve"> uma</w:t>
      </w:r>
      <w:r>
        <w:t xml:space="preserve"> confirmação dos resultados até aqui abordados, onde F28, F33 e F37, classificadas como em estágio médio a avançado, e concentradas na região da represa Atibainha, de fato apresentam maior proporção de espécies de sub-bosque e secundárias tardias, que as demais áreas de amostragem.</w:t>
      </w:r>
    </w:p>
    <w:p w:rsidR="00943A4D" w:rsidRDefault="00943A4D" w:rsidP="00943A4D">
      <w:r>
        <w:t>Vale destacar que a</w:t>
      </w:r>
      <w:r w:rsidRPr="00996067">
        <w:t xml:space="preserve"> maior expres</w:t>
      </w:r>
      <w:r>
        <w:t>são florística foi observada nas proximidades da represa Atibainha, em especial nos pontos F28, F33 e F37, bem como no ponto amostral</w:t>
      </w:r>
      <w:r w:rsidRPr="00996067">
        <w:t xml:space="preserve"> F</w:t>
      </w:r>
      <w:r>
        <w:t>29 (caracterização fitofisionômica).</w:t>
      </w:r>
    </w:p>
    <w:p w:rsidR="00943A4D" w:rsidRDefault="00943A4D" w:rsidP="00943A4D">
      <w:r>
        <w:t xml:space="preserve">A área localizada entre os pontos F28 e F29, em especial, </w:t>
      </w:r>
      <w:r w:rsidR="00861B1B">
        <w:t xml:space="preserve">também </w:t>
      </w:r>
      <w:r>
        <w:t xml:space="preserve">apresenta elevada riqueza de espécies </w:t>
      </w:r>
      <w:r w:rsidR="00861B1B">
        <w:t>de</w:t>
      </w:r>
      <w:r>
        <w:t xml:space="preserve"> fauna. Em termos florísticos e de preservação, destaca-se a representatividade das Famílias Orchidaceae, Bromeliaceae e Lauraceae, além da espécie </w:t>
      </w:r>
      <w:r w:rsidRPr="00EE3B06">
        <w:rPr>
          <w:i/>
        </w:rPr>
        <w:t>Euterpe edulis</w:t>
      </w:r>
      <w:r>
        <w:t xml:space="preserve"> (palmiteiro), que possui grau de ameaça. Por estas razões recomenda-se especial cuidado ambiental neste trecho, buscando-se evitar a supressão de vegetação para abertura de vias de acesso. </w:t>
      </w:r>
    </w:p>
    <w:p w:rsidR="00943A4D" w:rsidRPr="00861F96" w:rsidRDefault="00861F96" w:rsidP="00861F96">
      <w:pPr>
        <w:pStyle w:val="Quadro"/>
        <w:rPr>
          <w:b w:val="0"/>
          <w:bCs/>
        </w:rPr>
      </w:pPr>
      <w:r w:rsidRPr="00861F96">
        <w:rPr>
          <w:b w:val="0"/>
          <w:bCs/>
        </w:rPr>
        <w:t>Figura 6.4.</w:t>
      </w:r>
      <w:r w:rsidR="0088373C">
        <w:rPr>
          <w:b w:val="0"/>
          <w:bCs/>
        </w:rPr>
        <w:t>2-</w:t>
      </w:r>
      <w:r w:rsidRPr="00861F96">
        <w:rPr>
          <w:b w:val="0"/>
          <w:bCs/>
        </w:rPr>
        <w:t>1</w:t>
      </w:r>
      <w:r w:rsidR="0088373C">
        <w:rPr>
          <w:b w:val="0"/>
          <w:bCs/>
        </w:rPr>
        <w:t>1.</w:t>
      </w:r>
      <w:r w:rsidRPr="00861F96">
        <w:rPr>
          <w:b w:val="0"/>
          <w:bCs/>
        </w:rPr>
        <w:t xml:space="preserve"> Número de espécies para cada classe sucessional registrad</w:t>
      </w:r>
      <w:r w:rsidR="000F2964">
        <w:rPr>
          <w:b w:val="0"/>
          <w:bCs/>
        </w:rPr>
        <w:t>o</w:t>
      </w:r>
      <w:r w:rsidRPr="00861F96">
        <w:rPr>
          <w:b w:val="0"/>
          <w:bCs/>
        </w:rPr>
        <w:t xml:space="preserve"> nas áreas de levantamento florístico sistematizado, ADA e AID</w:t>
      </w:r>
    </w:p>
    <w:p w:rsidR="00943A4D" w:rsidRDefault="00943A4D" w:rsidP="00943A4D">
      <w:pPr>
        <w:jc w:val="center"/>
        <w:rPr>
          <w:rFonts w:ascii="Verdana" w:eastAsia="Times New Roman" w:hAnsi="Verdana" w:cs="Arial"/>
        </w:rPr>
      </w:pPr>
      <w:r>
        <w:rPr>
          <w:noProof/>
          <w:lang w:eastAsia="pt-BR"/>
        </w:rPr>
        <w:drawing>
          <wp:inline distT="0" distB="0" distL="0" distR="0" wp14:anchorId="6A9F658F" wp14:editId="00081ACF">
            <wp:extent cx="4572000" cy="2743200"/>
            <wp:effectExtent l="0" t="0" r="0" b="0"/>
            <wp:docPr id="199" name="Gráfico 199"/>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943A4D" w:rsidRDefault="00943A4D" w:rsidP="00943A4D">
      <w:r>
        <w:t xml:space="preserve">Considera-se que os resultados obtidos representam de forma satisfatória a realidade observada em campo. Informações complementares poderão ser fornecidas pelo Inventário Florestal a ser realizado na seguinte etapa de licenciamento, que poderão englobar espécies com baixo número de indivíduos ou distribuição espacial mais restrita, que eventualmente não tenham sido observadas no presente estudo. </w:t>
      </w:r>
    </w:p>
    <w:p w:rsidR="00943A4D" w:rsidRPr="00D6335D" w:rsidRDefault="00943A4D" w:rsidP="00943A4D">
      <w:pPr>
        <w:rPr>
          <w:sz w:val="20"/>
          <w:szCs w:val="20"/>
        </w:rPr>
      </w:pPr>
      <w:r>
        <w:t>Vale ainda destacar a semelhança entre a composição florística aqui registrada com informações provenientes de levantamento</w:t>
      </w:r>
      <w:r w:rsidRPr="005C5B11">
        <w:t xml:space="preserve"> desenvolvido nas Serras de Itaberaba e de Itapetinga</w:t>
      </w:r>
      <w:r>
        <w:t xml:space="preserve"> </w:t>
      </w:r>
      <w:r w:rsidRPr="005C5B11">
        <w:t>(Fundação Florestal, 2010),</w:t>
      </w:r>
      <w:r>
        <w:t xml:space="preserve"> em região próxima à área de estudo, cujos dados gerais são apresentados no item “</w:t>
      </w:r>
      <w:r w:rsidRPr="003D2FC4">
        <w:t xml:space="preserve">Estudos florísticos </w:t>
      </w:r>
      <w:r>
        <w:t xml:space="preserve">anteriores </w:t>
      </w:r>
      <w:r w:rsidRPr="003D2FC4">
        <w:t xml:space="preserve">desenvolvidos </w:t>
      </w:r>
      <w:r>
        <w:t>para a</w:t>
      </w:r>
      <w:r w:rsidRPr="003D2FC4">
        <w:t xml:space="preserve"> </w:t>
      </w:r>
      <w:r w:rsidRPr="00D6335D">
        <w:rPr>
          <w:sz w:val="20"/>
          <w:szCs w:val="20"/>
        </w:rPr>
        <w:t>AII</w:t>
      </w:r>
      <w:r>
        <w:rPr>
          <w:sz w:val="20"/>
          <w:szCs w:val="20"/>
        </w:rPr>
        <w:t>”</w:t>
      </w:r>
      <w:r w:rsidRPr="00D6335D">
        <w:rPr>
          <w:sz w:val="20"/>
          <w:szCs w:val="20"/>
        </w:rPr>
        <w:t>.</w:t>
      </w:r>
    </w:p>
    <w:p w:rsidR="00943A4D" w:rsidRDefault="00943A4D" w:rsidP="00943A4D">
      <w:r>
        <w:t xml:space="preserve">De fato, a região de estudo apresenta importância biológica alta, fazendo parte </w:t>
      </w:r>
      <w:r w:rsidRPr="00AA278F">
        <w:t>da Reserva da Biosfera da Mata Atlântica (RBMA), bem como da Reserva Biosfera do Cinturão Verde (RBCV)</w:t>
      </w:r>
      <w:r>
        <w:t xml:space="preserve">, sendo também destacada no Mapa de Conectividade (2008). </w:t>
      </w:r>
      <w:r w:rsidRPr="00996067">
        <w:t xml:space="preserve">Todos estes fatores conferem </w:t>
      </w:r>
      <w:r w:rsidRPr="00996067">
        <w:lastRenderedPageBreak/>
        <w:t xml:space="preserve">importância às formações vegetais avaliadas, </w:t>
      </w:r>
      <w:r>
        <w:t>sendo recomendável um esforço especial para reduzir ao mínimo a supressão de formações florestais e o efeito de borda sobre fragmentos florestais adjacentes ao traçado e às vias de acesso.</w:t>
      </w:r>
    </w:p>
    <w:p w:rsidR="00943A4D" w:rsidRDefault="00943A4D" w:rsidP="00943A4D">
      <w:r w:rsidRPr="00996067">
        <w:t>Considerando-se que a sobrevivência das espécies nos fragmentos e a regeneração da floresta secundária podem ser fortemente influenciadas pelo histórico de uso passado, pela freq</w:t>
      </w:r>
      <w:r>
        <w:t>u</w:t>
      </w:r>
      <w:r w:rsidRPr="00996067">
        <w:t xml:space="preserve">ência e tipo de distúrbio, e pelo tempo de isolamento (Tilman </w:t>
      </w:r>
      <w:r w:rsidRPr="0011541D">
        <w:rPr>
          <w:i/>
        </w:rPr>
        <w:t>et al</w:t>
      </w:r>
      <w:r>
        <w:t>.</w:t>
      </w:r>
      <w:r w:rsidRPr="00996067">
        <w:t xml:space="preserve">, 1994), os resultados florísticos, aliados aos valores de </w:t>
      </w:r>
      <w:r>
        <w:t>riqueza</w:t>
      </w:r>
      <w:r w:rsidRPr="00996067">
        <w:t xml:space="preserve"> registrados no presente estudo, permitem concluir que, a despeito do grau de antropização das áreas avaliadas, as mesmas ainda preservam espécies típicas de estágios sucessionais mais avançados e características da região</w:t>
      </w:r>
      <w:r>
        <w:t>. Assim, o Projeto</w:t>
      </w:r>
      <w:r w:rsidRPr="00996067">
        <w:t xml:space="preserve"> </w:t>
      </w:r>
      <w:r>
        <w:t>de Interligação entre as Represas Jaguari e Atibainha</w:t>
      </w:r>
      <w:r w:rsidRPr="00996067">
        <w:t xml:space="preserve"> </w:t>
      </w:r>
      <w:r>
        <w:t xml:space="preserve">deverá contemplar o </w:t>
      </w:r>
      <w:r w:rsidRPr="00996067">
        <w:t>resgate de epífitas e de germoplasma de</w:t>
      </w:r>
      <w:r>
        <w:t xml:space="preserve"> espécies de interesse</w:t>
      </w:r>
      <w:r w:rsidRPr="00996067">
        <w:t xml:space="preserve">, </w:t>
      </w:r>
      <w:r>
        <w:t xml:space="preserve">além de </w:t>
      </w:r>
      <w:r w:rsidRPr="00996067">
        <w:t xml:space="preserve">outras medidas </w:t>
      </w:r>
      <w:r w:rsidR="00780564">
        <w:t>conducentes</w:t>
      </w:r>
      <w:r>
        <w:t xml:space="preserve"> à preservação e enriquecimento d</w:t>
      </w:r>
      <w:r w:rsidRPr="00996067">
        <w:t xml:space="preserve">e áreas </w:t>
      </w:r>
      <w:r>
        <w:t xml:space="preserve">vegetadas </w:t>
      </w:r>
      <w:r w:rsidRPr="00996067">
        <w:t>remanescentes.</w:t>
      </w:r>
    </w:p>
    <w:p w:rsidR="00943A4D" w:rsidRPr="0069310A" w:rsidRDefault="00943A4D" w:rsidP="00943A4D">
      <w:pPr>
        <w:pStyle w:val="Ttulo3"/>
      </w:pPr>
      <w:bookmarkStart w:id="65" w:name="_Toc404450876"/>
      <w:bookmarkStart w:id="66" w:name="_Toc411871200"/>
      <w:r w:rsidRPr="0069310A">
        <w:t>Vegetação Potencialmente Afetada</w:t>
      </w:r>
      <w:bookmarkEnd w:id="65"/>
      <w:bookmarkEnd w:id="66"/>
    </w:p>
    <w:p w:rsidR="00943A4D" w:rsidRDefault="00943A4D" w:rsidP="00B84E57">
      <w:pPr>
        <w:rPr>
          <w:lang w:eastAsia="pt-BR"/>
        </w:rPr>
      </w:pPr>
      <w:r w:rsidRPr="00B13BF5">
        <w:rPr>
          <w:lang w:eastAsia="pt-BR"/>
        </w:rPr>
        <w:t xml:space="preserve">A vegetação </w:t>
      </w:r>
      <w:r w:rsidR="00B13BF5">
        <w:rPr>
          <w:lang w:eastAsia="pt-BR"/>
        </w:rPr>
        <w:t xml:space="preserve">a ser </w:t>
      </w:r>
      <w:r w:rsidRPr="00B13BF5">
        <w:rPr>
          <w:lang w:eastAsia="pt-BR"/>
        </w:rPr>
        <w:t xml:space="preserve">afetada </w:t>
      </w:r>
      <w:r w:rsidR="00B13BF5">
        <w:rPr>
          <w:lang w:eastAsia="pt-BR"/>
        </w:rPr>
        <w:t xml:space="preserve">pela implantação do empreendimento </w:t>
      </w:r>
      <w:r w:rsidR="00B13BF5" w:rsidRPr="00B13BF5">
        <w:rPr>
          <w:lang w:eastAsia="pt-BR"/>
        </w:rPr>
        <w:t>foi</w:t>
      </w:r>
      <w:r w:rsidRPr="00B13BF5">
        <w:rPr>
          <w:lang w:eastAsia="pt-BR"/>
        </w:rPr>
        <w:t xml:space="preserve"> determinada </w:t>
      </w:r>
      <w:r w:rsidR="00B13BF5" w:rsidRPr="00B13BF5">
        <w:rPr>
          <w:lang w:eastAsia="pt-BR"/>
        </w:rPr>
        <w:t>a partir d</w:t>
      </w:r>
      <w:r w:rsidR="00745D90">
        <w:rPr>
          <w:lang w:eastAsia="pt-BR"/>
        </w:rPr>
        <w:t xml:space="preserve">os levantamentos efetuados em campo e </w:t>
      </w:r>
      <w:r w:rsidR="000006C8">
        <w:rPr>
          <w:lang w:eastAsia="pt-BR"/>
        </w:rPr>
        <w:t>d</w:t>
      </w:r>
      <w:r w:rsidRPr="00B13BF5">
        <w:rPr>
          <w:lang w:eastAsia="pt-BR"/>
        </w:rPr>
        <w:t>a delimitação da área de intervenção</w:t>
      </w:r>
      <w:r w:rsidR="00745D90">
        <w:rPr>
          <w:lang w:eastAsia="pt-BR"/>
        </w:rPr>
        <w:t xml:space="preserve"> (ADA)</w:t>
      </w:r>
      <w:r w:rsidRPr="00B13BF5">
        <w:rPr>
          <w:lang w:eastAsia="pt-BR"/>
        </w:rPr>
        <w:t>, com base no levantamento planialtimétrico e no Anteprojeto consolidado</w:t>
      </w:r>
      <w:r w:rsidR="0065140D">
        <w:rPr>
          <w:lang w:eastAsia="pt-BR"/>
        </w:rPr>
        <w:t xml:space="preserve"> do sistema hidráulico</w:t>
      </w:r>
      <w:r w:rsidR="00861B1B" w:rsidRPr="00861B1B">
        <w:rPr>
          <w:lang w:eastAsia="pt-BR"/>
        </w:rPr>
        <w:t xml:space="preserve"> </w:t>
      </w:r>
      <w:r w:rsidR="00861B1B">
        <w:rPr>
          <w:lang w:eastAsia="pt-BR"/>
        </w:rPr>
        <w:t>e da linha de transmissão</w:t>
      </w:r>
      <w:r w:rsidRPr="00B13BF5">
        <w:rPr>
          <w:lang w:eastAsia="pt-BR"/>
        </w:rPr>
        <w:t>, envolvendo: (i) a localização do eixo da adutora</w:t>
      </w:r>
      <w:r w:rsidR="00861B1B">
        <w:rPr>
          <w:lang w:eastAsia="pt-BR"/>
        </w:rPr>
        <w:t xml:space="preserve"> e LT</w:t>
      </w:r>
      <w:r w:rsidRPr="00B13BF5">
        <w:rPr>
          <w:lang w:eastAsia="pt-BR"/>
        </w:rPr>
        <w:t>, (ii) a localização da faixa de trabalho necessária para o assentamento da adutora</w:t>
      </w:r>
      <w:r w:rsidR="00861B1B">
        <w:rPr>
          <w:lang w:eastAsia="pt-BR"/>
        </w:rPr>
        <w:t xml:space="preserve"> e faixa de segurança da LT</w:t>
      </w:r>
      <w:r w:rsidRPr="00B13BF5">
        <w:rPr>
          <w:lang w:eastAsia="pt-BR"/>
        </w:rPr>
        <w:t>; e (iii) os limites das áreas de intervenção nas obras localizadas.</w:t>
      </w:r>
    </w:p>
    <w:p w:rsidR="000006C8" w:rsidRDefault="000006C8" w:rsidP="000006C8">
      <w:pPr>
        <w:rPr>
          <w:rFonts w:eastAsia="Lucida Sans Unicode"/>
        </w:rPr>
      </w:pPr>
      <w:r>
        <w:rPr>
          <w:rFonts w:eastAsia="Lucida Sans Unicode"/>
        </w:rPr>
        <w:t>As formaçõ</w:t>
      </w:r>
      <w:r w:rsidR="00AA3D77">
        <w:rPr>
          <w:rFonts w:eastAsia="Lucida Sans Unicode"/>
        </w:rPr>
        <w:t xml:space="preserve">es vegetais presentes na ADA das </w:t>
      </w:r>
      <w:r>
        <w:rPr>
          <w:rFonts w:eastAsia="Lucida Sans Unicode"/>
        </w:rPr>
        <w:t xml:space="preserve">instalações hidráulicas </w:t>
      </w:r>
      <w:r w:rsidR="00895696">
        <w:rPr>
          <w:rFonts w:eastAsia="Lucida Sans Unicode"/>
        </w:rPr>
        <w:t xml:space="preserve">e </w:t>
      </w:r>
      <w:r w:rsidR="00861B1B">
        <w:rPr>
          <w:rFonts w:eastAsia="Lucida Sans Unicode"/>
        </w:rPr>
        <w:t xml:space="preserve">LT </w:t>
      </w:r>
      <w:r>
        <w:rPr>
          <w:rFonts w:eastAsia="Lucida Sans Unicode"/>
        </w:rPr>
        <w:t xml:space="preserve">foram mapeadas a partir de reconhecimento em campo das fitofisionomias </w:t>
      </w:r>
      <w:r w:rsidR="00895696">
        <w:rPr>
          <w:rFonts w:eastAsia="Lucida Sans Unicode"/>
        </w:rPr>
        <w:t>presentes nas ár</w:t>
      </w:r>
      <w:r w:rsidR="00AA3D77">
        <w:rPr>
          <w:rFonts w:eastAsia="Lucida Sans Unicode"/>
        </w:rPr>
        <w:t>e</w:t>
      </w:r>
      <w:r w:rsidR="00895696">
        <w:rPr>
          <w:rFonts w:eastAsia="Lucida Sans Unicode"/>
        </w:rPr>
        <w:t xml:space="preserve">as de intervenção </w:t>
      </w:r>
      <w:r w:rsidRPr="00895696">
        <w:rPr>
          <w:rFonts w:eastAsia="Lucida Sans Unicode"/>
        </w:rPr>
        <w:t xml:space="preserve">e da interpretação das </w:t>
      </w:r>
      <w:r w:rsidR="00895696">
        <w:rPr>
          <w:rFonts w:eastAsia="Lucida Sans Unicode"/>
        </w:rPr>
        <w:t>imagens</w:t>
      </w:r>
      <w:r w:rsidRPr="00895696">
        <w:rPr>
          <w:rFonts w:eastAsia="Lucida Sans Unicode"/>
        </w:rPr>
        <w:t xml:space="preserve"> aéreas </w:t>
      </w:r>
      <w:r w:rsidR="00895696">
        <w:rPr>
          <w:rFonts w:eastAsia="Lucida Sans Unicode"/>
        </w:rPr>
        <w:t xml:space="preserve">Google Earth </w:t>
      </w:r>
      <w:r w:rsidRPr="00895696">
        <w:rPr>
          <w:rFonts w:eastAsia="Lucida Sans Unicode"/>
        </w:rPr>
        <w:t>na escala 1:</w:t>
      </w:r>
      <w:r w:rsidR="00895696" w:rsidRPr="00895696">
        <w:rPr>
          <w:rFonts w:eastAsia="Lucida Sans Unicode"/>
        </w:rPr>
        <w:t>500</w:t>
      </w:r>
      <w:r w:rsidRPr="00895696">
        <w:rPr>
          <w:rFonts w:eastAsia="Lucida Sans Unicode"/>
        </w:rPr>
        <w:t xml:space="preserve">, recentes (várias datas, período </w:t>
      </w:r>
      <w:r w:rsidR="00895696" w:rsidRPr="00895696">
        <w:rPr>
          <w:rFonts w:eastAsia="Lucida Sans Unicode"/>
        </w:rPr>
        <w:t xml:space="preserve">2013 </w:t>
      </w:r>
      <w:r w:rsidRPr="00895696">
        <w:rPr>
          <w:rFonts w:eastAsia="Lucida Sans Unicode"/>
        </w:rPr>
        <w:t>a 20</w:t>
      </w:r>
      <w:r w:rsidR="00895696" w:rsidRPr="00895696">
        <w:rPr>
          <w:rFonts w:eastAsia="Lucida Sans Unicode"/>
        </w:rPr>
        <w:t>14</w:t>
      </w:r>
      <w:r w:rsidRPr="00895696">
        <w:rPr>
          <w:rFonts w:eastAsia="Lucida Sans Unicode"/>
        </w:rPr>
        <w:t>). Foram consideradas todas as tipologias vegetais presentes ao longo do</w:t>
      </w:r>
      <w:r w:rsidR="00AA3D77">
        <w:rPr>
          <w:rFonts w:eastAsia="Lucida Sans Unicode"/>
        </w:rPr>
        <w:t>s</w:t>
      </w:r>
      <w:r w:rsidRPr="00895696">
        <w:rPr>
          <w:rFonts w:eastAsia="Lucida Sans Unicode"/>
        </w:rPr>
        <w:t xml:space="preserve"> traçado</w:t>
      </w:r>
      <w:r w:rsidR="00AA3D77">
        <w:rPr>
          <w:rFonts w:eastAsia="Lucida Sans Unicode"/>
        </w:rPr>
        <w:t>s</w:t>
      </w:r>
      <w:r w:rsidRPr="00895696">
        <w:rPr>
          <w:rFonts w:eastAsia="Lucida Sans Unicode"/>
        </w:rPr>
        <w:t xml:space="preserve"> e nas obras localizadas, sendo quantificadas por tipo de vegetação e por estágio sucessional, nesse caso, as ocorrências da vegetação secundár</w:t>
      </w:r>
      <w:r w:rsidR="00895696" w:rsidRPr="00895696">
        <w:rPr>
          <w:rFonts w:eastAsia="Lucida Sans Unicode"/>
        </w:rPr>
        <w:t>ia da Floresta Ombrófila Densa.</w:t>
      </w:r>
    </w:p>
    <w:p w:rsidR="000006C8" w:rsidRPr="006B6C55" w:rsidRDefault="000006C8" w:rsidP="000006C8">
      <w:pPr>
        <w:rPr>
          <w:rFonts w:eastAsia="Lucida Sans Unicode"/>
        </w:rPr>
      </w:pPr>
      <w:r w:rsidRPr="006B6C55">
        <w:rPr>
          <w:rFonts w:eastAsia="Lucida Sans Unicode"/>
        </w:rPr>
        <w:t>Estão presentes na ADA as s</w:t>
      </w:r>
      <w:r w:rsidR="00CB3DCF">
        <w:rPr>
          <w:rFonts w:eastAsia="Lucida Sans Unicode"/>
        </w:rPr>
        <w:t xml:space="preserve">eguintes tipologias </w:t>
      </w:r>
      <w:r w:rsidR="00F721AF">
        <w:rPr>
          <w:rFonts w:eastAsia="Lucida Sans Unicode"/>
        </w:rPr>
        <w:t xml:space="preserve">de </w:t>
      </w:r>
      <w:r w:rsidR="00CB3DCF">
        <w:rPr>
          <w:rFonts w:eastAsia="Lucida Sans Unicode"/>
        </w:rPr>
        <w:t>vegeta</w:t>
      </w:r>
      <w:r w:rsidR="00F721AF">
        <w:rPr>
          <w:rFonts w:eastAsia="Lucida Sans Unicode"/>
        </w:rPr>
        <w:t>ção</w:t>
      </w:r>
      <w:r w:rsidR="00CB3DCF">
        <w:rPr>
          <w:rFonts w:eastAsia="Lucida Sans Unicode"/>
        </w:rPr>
        <w:t xml:space="preserve"> nativa</w:t>
      </w:r>
      <w:r w:rsidRPr="006B6C55">
        <w:rPr>
          <w:rFonts w:eastAsia="Lucida Sans Unicode"/>
        </w:rPr>
        <w:t xml:space="preserve">: </w:t>
      </w:r>
      <w:r w:rsidR="00F721AF">
        <w:rPr>
          <w:rFonts w:eastAsia="Lucida Sans Unicode"/>
        </w:rPr>
        <w:t>v</w:t>
      </w:r>
      <w:r w:rsidR="00CB3DCF" w:rsidRPr="006B6C55">
        <w:rPr>
          <w:rFonts w:eastAsia="Lucida Sans Unicode"/>
        </w:rPr>
        <w:t xml:space="preserve">egetação em </w:t>
      </w:r>
      <w:r w:rsidR="00F721AF">
        <w:rPr>
          <w:rFonts w:eastAsia="Lucida Sans Unicode"/>
        </w:rPr>
        <w:t>e</w:t>
      </w:r>
      <w:r w:rsidR="00CB3DCF" w:rsidRPr="006B6C55">
        <w:rPr>
          <w:rFonts w:eastAsia="Lucida Sans Unicode"/>
        </w:rPr>
        <w:t>stágio</w:t>
      </w:r>
      <w:r w:rsidR="00F721AF">
        <w:rPr>
          <w:rFonts w:eastAsia="Lucida Sans Unicode"/>
        </w:rPr>
        <w:t>s</w:t>
      </w:r>
      <w:r w:rsidR="00CB3DCF" w:rsidRPr="006B6C55">
        <w:rPr>
          <w:rFonts w:eastAsia="Lucida Sans Unicode"/>
        </w:rPr>
        <w:t xml:space="preserve"> </w:t>
      </w:r>
      <w:r w:rsidR="00F721AF">
        <w:rPr>
          <w:rFonts w:eastAsia="Lucida Sans Unicode"/>
        </w:rPr>
        <w:t xml:space="preserve">avançado, </w:t>
      </w:r>
      <w:r w:rsidR="00F721AF" w:rsidRPr="006B6C55">
        <w:rPr>
          <w:rFonts w:eastAsia="Lucida Sans Unicode"/>
        </w:rPr>
        <w:t>médio, inicial</w:t>
      </w:r>
      <w:r w:rsidR="00F721AF">
        <w:rPr>
          <w:rFonts w:eastAsia="Lucida Sans Unicode"/>
        </w:rPr>
        <w:t xml:space="preserve"> e</w:t>
      </w:r>
      <w:r w:rsidR="00F721AF" w:rsidRPr="006B6C55">
        <w:rPr>
          <w:rFonts w:eastAsia="Lucida Sans Unicode"/>
        </w:rPr>
        <w:t xml:space="preserve"> pioneiro</w:t>
      </w:r>
      <w:r w:rsidR="00F721AF">
        <w:rPr>
          <w:rFonts w:eastAsia="Lucida Sans Unicode"/>
        </w:rPr>
        <w:t xml:space="preserve"> e </w:t>
      </w:r>
      <w:r w:rsidR="00F721AF" w:rsidRPr="006B6C55">
        <w:rPr>
          <w:rFonts w:eastAsia="Lucida Sans Unicode"/>
        </w:rPr>
        <w:t>vegetação de várzea</w:t>
      </w:r>
      <w:r w:rsidR="00F721AF">
        <w:rPr>
          <w:rFonts w:eastAsia="Lucida Sans Unicode"/>
        </w:rPr>
        <w:t xml:space="preserve"> e/ou de</w:t>
      </w:r>
      <w:r w:rsidR="00F721AF" w:rsidRPr="006B6C55">
        <w:rPr>
          <w:rFonts w:eastAsia="Lucida Sans Unicode"/>
        </w:rPr>
        <w:t xml:space="preserve"> brejo</w:t>
      </w:r>
      <w:r w:rsidR="00F721AF">
        <w:rPr>
          <w:rFonts w:eastAsia="Lucida Sans Unicode"/>
        </w:rPr>
        <w:t xml:space="preserve">. Da vegetação antropizada (mista), estão </w:t>
      </w:r>
      <w:r w:rsidR="0065140D">
        <w:rPr>
          <w:rFonts w:eastAsia="Lucida Sans Unicode"/>
        </w:rPr>
        <w:t xml:space="preserve">presentes </w:t>
      </w:r>
      <w:r w:rsidR="00F721AF">
        <w:rPr>
          <w:rFonts w:eastAsia="Lucida Sans Unicode"/>
        </w:rPr>
        <w:t xml:space="preserve">as tipologias </w:t>
      </w:r>
      <w:r w:rsidR="00F721AF" w:rsidRPr="006B6C55">
        <w:rPr>
          <w:rFonts w:eastAsia="Lucida Sans Unicode"/>
        </w:rPr>
        <w:t>vegetação antropizada</w:t>
      </w:r>
      <w:r w:rsidR="00F721AF">
        <w:rPr>
          <w:rFonts w:eastAsia="Lucida Sans Unicode"/>
        </w:rPr>
        <w:t xml:space="preserve">, </w:t>
      </w:r>
      <w:r w:rsidR="00F721AF" w:rsidRPr="006B6C55">
        <w:rPr>
          <w:rFonts w:eastAsia="Lucida Sans Unicode"/>
        </w:rPr>
        <w:t>campo antrópico</w:t>
      </w:r>
      <w:r w:rsidR="00F721AF">
        <w:rPr>
          <w:rFonts w:eastAsia="Lucida Sans Unicode"/>
        </w:rPr>
        <w:t>, agrupamento</w:t>
      </w:r>
      <w:r w:rsidR="00861B1B">
        <w:rPr>
          <w:rFonts w:eastAsia="Lucida Sans Unicode"/>
        </w:rPr>
        <w:t xml:space="preserve"> </w:t>
      </w:r>
      <w:r w:rsidR="00F721AF">
        <w:rPr>
          <w:rFonts w:eastAsia="Lucida Sans Unicode"/>
        </w:rPr>
        <w:t>/</w:t>
      </w:r>
      <w:r w:rsidR="00861B1B">
        <w:rPr>
          <w:rFonts w:eastAsia="Lucida Sans Unicode"/>
        </w:rPr>
        <w:t xml:space="preserve"> </w:t>
      </w:r>
      <w:r w:rsidR="00F721AF">
        <w:rPr>
          <w:rFonts w:eastAsia="Lucida Sans Unicode"/>
        </w:rPr>
        <w:t>cerca viva e reflorestamento.</w:t>
      </w:r>
      <w:r w:rsidR="00507279">
        <w:rPr>
          <w:rFonts w:eastAsia="Lucida Sans Unicode"/>
        </w:rPr>
        <w:t xml:space="preserve"> As </w:t>
      </w:r>
      <w:r w:rsidR="00507279" w:rsidRPr="00507279">
        <w:rPr>
          <w:rFonts w:eastAsia="Lucida Sans Unicode"/>
          <w:b/>
        </w:rPr>
        <w:t xml:space="preserve">Figuras </w:t>
      </w:r>
      <w:r w:rsidR="00552F64">
        <w:rPr>
          <w:rFonts w:eastAsia="Lucida Sans Unicode"/>
          <w:b/>
        </w:rPr>
        <w:t>A2</w:t>
      </w:r>
      <w:r w:rsidR="00552F64" w:rsidRPr="00552F64">
        <w:rPr>
          <w:rFonts w:eastAsia="Lucida Sans Unicode"/>
        </w:rPr>
        <w:t xml:space="preserve"> e</w:t>
      </w:r>
      <w:r w:rsidR="00552F64">
        <w:rPr>
          <w:rFonts w:eastAsia="Lucida Sans Unicode"/>
          <w:b/>
        </w:rPr>
        <w:t xml:space="preserve"> </w:t>
      </w:r>
      <w:r w:rsidR="00552F64" w:rsidRPr="00552F64">
        <w:rPr>
          <w:rFonts w:eastAsia="Lucida Sans Unicode"/>
          <w:b/>
        </w:rPr>
        <w:t>A5</w:t>
      </w:r>
      <w:r w:rsidR="00552F64">
        <w:rPr>
          <w:rFonts w:eastAsia="Lucida Sans Unicode"/>
        </w:rPr>
        <w:t xml:space="preserve">, escala </w:t>
      </w:r>
      <w:r w:rsidR="00507279" w:rsidRPr="00552F64">
        <w:rPr>
          <w:rFonts w:eastAsia="Lucida Sans Unicode"/>
        </w:rPr>
        <w:t>1:1.000 e 1:7.500</w:t>
      </w:r>
      <w:r w:rsidR="00507279">
        <w:rPr>
          <w:rFonts w:eastAsia="Lucida Sans Unicode"/>
        </w:rPr>
        <w:t xml:space="preserve">, no </w:t>
      </w:r>
      <w:r w:rsidR="00507279" w:rsidRPr="00507279">
        <w:rPr>
          <w:rFonts w:eastAsia="Lucida Sans Unicode"/>
          <w:b/>
        </w:rPr>
        <w:t>Volume III</w:t>
      </w:r>
      <w:r w:rsidR="00507279">
        <w:rPr>
          <w:rFonts w:eastAsia="Lucida Sans Unicode"/>
        </w:rPr>
        <w:t>, apresentam o mapeamento das tipologias de cobertura vegetal e outros usos.</w:t>
      </w:r>
    </w:p>
    <w:p w:rsidR="000006C8" w:rsidRDefault="00861B1B" w:rsidP="000006C8">
      <w:pPr>
        <w:rPr>
          <w:rFonts w:eastAsia="Lucida Sans Unicode"/>
        </w:rPr>
      </w:pPr>
      <w:r>
        <w:rPr>
          <w:rFonts w:eastAsia="Lucida Sans Unicode"/>
        </w:rPr>
        <w:t>As</w:t>
      </w:r>
      <w:r w:rsidRPr="006A7FFE">
        <w:rPr>
          <w:rFonts w:eastAsia="Lucida Sans Unicode"/>
        </w:rPr>
        <w:t xml:space="preserve"> </w:t>
      </w:r>
      <w:r w:rsidRPr="006B6C55">
        <w:rPr>
          <w:rFonts w:eastAsia="Lucida Sans Unicode"/>
          <w:b/>
        </w:rPr>
        <w:t>Tabela</w:t>
      </w:r>
      <w:r>
        <w:rPr>
          <w:rFonts w:eastAsia="Lucida Sans Unicode"/>
          <w:b/>
        </w:rPr>
        <w:t>s</w:t>
      </w:r>
      <w:r w:rsidRPr="006B6C55">
        <w:rPr>
          <w:rFonts w:eastAsia="Lucida Sans Unicode"/>
          <w:b/>
        </w:rPr>
        <w:t xml:space="preserve"> </w:t>
      </w:r>
      <w:r>
        <w:rPr>
          <w:rFonts w:eastAsia="Lucida Sans Unicode"/>
          <w:b/>
        </w:rPr>
        <w:t>6.4.3-1 e 6.4.3-2</w:t>
      </w:r>
      <w:r w:rsidRPr="00861B1B">
        <w:rPr>
          <w:rFonts w:eastAsia="Lucida Sans Unicode"/>
        </w:rPr>
        <w:t xml:space="preserve"> </w:t>
      </w:r>
      <w:r>
        <w:rPr>
          <w:rFonts w:eastAsia="Lucida Sans Unicode"/>
        </w:rPr>
        <w:t>apresentam</w:t>
      </w:r>
      <w:r w:rsidRPr="00C5562A">
        <w:rPr>
          <w:rFonts w:eastAsia="Lucida Sans Unicode"/>
        </w:rPr>
        <w:t>,</w:t>
      </w:r>
      <w:r w:rsidRPr="00DB6B72">
        <w:rPr>
          <w:rFonts w:eastAsia="Lucida Sans Unicode"/>
        </w:rPr>
        <w:t xml:space="preserve"> respectivamente,</w:t>
      </w:r>
      <w:r>
        <w:rPr>
          <w:rFonts w:eastAsia="Lucida Sans Unicode"/>
        </w:rPr>
        <w:t xml:space="preserve"> o</w:t>
      </w:r>
      <w:r w:rsidR="000006C8" w:rsidRPr="006A7FFE">
        <w:rPr>
          <w:rFonts w:eastAsia="Lucida Sans Unicode"/>
        </w:rPr>
        <w:t xml:space="preserve"> detalhamento quantitativo das formações </w:t>
      </w:r>
      <w:r w:rsidR="000006C8">
        <w:rPr>
          <w:rFonts w:eastAsia="Lucida Sans Unicode"/>
        </w:rPr>
        <w:t xml:space="preserve">vegetais na ADA </w:t>
      </w:r>
      <w:r>
        <w:rPr>
          <w:rFonts w:eastAsia="Lucida Sans Unicode"/>
        </w:rPr>
        <w:t xml:space="preserve">do sistema hidráulico e da LT </w:t>
      </w:r>
      <w:r w:rsidR="000006C8">
        <w:rPr>
          <w:rFonts w:eastAsia="Lucida Sans Unicode"/>
        </w:rPr>
        <w:t>d</w:t>
      </w:r>
      <w:r w:rsidR="00CB3DCF">
        <w:rPr>
          <w:rFonts w:eastAsia="Lucida Sans Unicode"/>
        </w:rPr>
        <w:t>a Interligação</w:t>
      </w:r>
      <w:r>
        <w:rPr>
          <w:rFonts w:eastAsia="Lucida Sans Unicode"/>
        </w:rPr>
        <w:t>,</w:t>
      </w:r>
      <w:r w:rsidR="00CB3DCF">
        <w:rPr>
          <w:rFonts w:eastAsia="Lucida Sans Unicode"/>
        </w:rPr>
        <w:t xml:space="preserve"> </w:t>
      </w:r>
      <w:r w:rsidR="000006C8">
        <w:rPr>
          <w:rFonts w:eastAsia="Lucida Sans Unicode"/>
        </w:rPr>
        <w:t>por trecho e estrutura, em cada município percorrido</w:t>
      </w:r>
      <w:r w:rsidR="000006C8" w:rsidRPr="0012615A">
        <w:rPr>
          <w:rFonts w:eastAsia="Lucida Sans Unicode"/>
        </w:rPr>
        <w:t>.</w:t>
      </w:r>
      <w:r w:rsidR="00534A16">
        <w:rPr>
          <w:rFonts w:eastAsia="Lucida Sans Unicode"/>
        </w:rPr>
        <w:t xml:space="preserve"> A LT está presente somente no município de Santa Isabel.</w:t>
      </w:r>
    </w:p>
    <w:p w:rsidR="00711059" w:rsidRDefault="00BB2C0C" w:rsidP="00C61DCD">
      <w:pPr>
        <w:pStyle w:val="Quadro"/>
      </w:pPr>
      <w:r w:rsidRPr="00006214">
        <w:t>Tabela 6.4.3-1. Formações Vegetais presentes na ADA – Sistema Hidráulico</w:t>
      </w:r>
    </w:p>
    <w:tbl>
      <w:tblPr>
        <w:tblW w:w="9438" w:type="dxa"/>
        <w:tblInd w:w="56" w:type="dxa"/>
        <w:tblLayout w:type="fixed"/>
        <w:tblCellMar>
          <w:left w:w="57" w:type="dxa"/>
          <w:right w:w="57" w:type="dxa"/>
        </w:tblCellMar>
        <w:tblLook w:val="04A0" w:firstRow="1" w:lastRow="0" w:firstColumn="1" w:lastColumn="0" w:noHBand="0" w:noVBand="1"/>
      </w:tblPr>
      <w:tblGrid>
        <w:gridCol w:w="1135"/>
        <w:gridCol w:w="1677"/>
        <w:gridCol w:w="758"/>
        <w:gridCol w:w="708"/>
        <w:gridCol w:w="758"/>
        <w:gridCol w:w="708"/>
        <w:gridCol w:w="758"/>
        <w:gridCol w:w="708"/>
        <w:gridCol w:w="762"/>
        <w:gridCol w:w="758"/>
        <w:gridCol w:w="708"/>
      </w:tblGrid>
      <w:tr w:rsidR="004065CF" w:rsidRPr="004065CF" w:rsidTr="00D40571">
        <w:trPr>
          <w:cantSplit/>
          <w:tblHeader/>
        </w:trPr>
        <w:tc>
          <w:tcPr>
            <w:tcW w:w="1135"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4065CF" w:rsidRPr="00EB23ED" w:rsidRDefault="004065CF" w:rsidP="004065CF">
            <w:pPr>
              <w:spacing w:after="0"/>
              <w:jc w:val="center"/>
              <w:rPr>
                <w:rFonts w:eastAsia="Times New Roman" w:cs="Arial"/>
                <w:b/>
                <w:color w:val="000000"/>
                <w:sz w:val="16"/>
                <w:szCs w:val="16"/>
                <w:lang w:eastAsia="pt-BR"/>
              </w:rPr>
            </w:pPr>
            <w:r w:rsidRPr="00EB23ED">
              <w:rPr>
                <w:rFonts w:eastAsia="Times New Roman" w:cs="Arial"/>
                <w:b/>
                <w:color w:val="000000"/>
                <w:sz w:val="16"/>
                <w:szCs w:val="16"/>
                <w:lang w:eastAsia="pt-BR"/>
              </w:rPr>
              <w:t>Categorias</w:t>
            </w:r>
          </w:p>
        </w:tc>
        <w:tc>
          <w:tcPr>
            <w:tcW w:w="1677"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4065CF" w:rsidRPr="00EB23ED" w:rsidRDefault="004065CF" w:rsidP="004065CF">
            <w:pPr>
              <w:spacing w:after="0"/>
              <w:jc w:val="center"/>
              <w:rPr>
                <w:rFonts w:eastAsia="Times New Roman" w:cs="Arial"/>
                <w:b/>
                <w:color w:val="000000"/>
                <w:sz w:val="16"/>
                <w:szCs w:val="16"/>
                <w:lang w:eastAsia="pt-BR"/>
              </w:rPr>
            </w:pPr>
            <w:r w:rsidRPr="00EB23ED">
              <w:rPr>
                <w:rFonts w:eastAsia="Times New Roman" w:cs="Arial"/>
                <w:b/>
                <w:color w:val="000000"/>
                <w:sz w:val="16"/>
                <w:szCs w:val="16"/>
                <w:lang w:eastAsia="pt-BR"/>
              </w:rPr>
              <w:t>Tipologias de Uso do Solo</w:t>
            </w:r>
          </w:p>
        </w:tc>
        <w:tc>
          <w:tcPr>
            <w:tcW w:w="1466" w:type="dxa"/>
            <w:gridSpan w:val="2"/>
            <w:tcBorders>
              <w:top w:val="single" w:sz="4" w:space="0" w:color="auto"/>
              <w:left w:val="nil"/>
              <w:bottom w:val="single" w:sz="4" w:space="0" w:color="auto"/>
              <w:right w:val="single" w:sz="4" w:space="0" w:color="auto"/>
            </w:tcBorders>
            <w:shd w:val="clear" w:color="000000" w:fill="BFBFBF"/>
            <w:vAlign w:val="center"/>
            <w:hideMark/>
          </w:tcPr>
          <w:p w:rsidR="004065CF" w:rsidRPr="00EB23ED" w:rsidRDefault="004065CF" w:rsidP="004065CF">
            <w:pPr>
              <w:spacing w:after="0"/>
              <w:jc w:val="center"/>
              <w:rPr>
                <w:rFonts w:eastAsia="Times New Roman" w:cs="Arial"/>
                <w:b/>
                <w:bCs/>
                <w:color w:val="000000"/>
                <w:sz w:val="16"/>
                <w:szCs w:val="16"/>
                <w:lang w:eastAsia="pt-BR"/>
              </w:rPr>
            </w:pPr>
            <w:r w:rsidRPr="00EB23ED">
              <w:rPr>
                <w:rFonts w:eastAsia="Times New Roman" w:cs="Arial"/>
                <w:b/>
                <w:bCs/>
                <w:color w:val="000000"/>
                <w:sz w:val="16"/>
                <w:szCs w:val="16"/>
                <w:lang w:eastAsia="pt-BR"/>
              </w:rPr>
              <w:t>Santa Isabel</w:t>
            </w:r>
          </w:p>
        </w:tc>
        <w:tc>
          <w:tcPr>
            <w:tcW w:w="1466" w:type="dxa"/>
            <w:gridSpan w:val="2"/>
            <w:tcBorders>
              <w:top w:val="single" w:sz="4" w:space="0" w:color="auto"/>
              <w:left w:val="nil"/>
              <w:bottom w:val="single" w:sz="4" w:space="0" w:color="auto"/>
              <w:right w:val="single" w:sz="4" w:space="0" w:color="auto"/>
            </w:tcBorders>
            <w:shd w:val="clear" w:color="000000" w:fill="BFBFBF"/>
            <w:vAlign w:val="center"/>
            <w:hideMark/>
          </w:tcPr>
          <w:p w:rsidR="004065CF" w:rsidRPr="00EB23ED" w:rsidRDefault="004065CF" w:rsidP="004065CF">
            <w:pPr>
              <w:spacing w:after="0"/>
              <w:jc w:val="center"/>
              <w:rPr>
                <w:rFonts w:eastAsia="Times New Roman" w:cs="Arial"/>
                <w:b/>
                <w:bCs/>
                <w:color w:val="000000"/>
                <w:sz w:val="16"/>
                <w:szCs w:val="16"/>
                <w:lang w:eastAsia="pt-BR"/>
              </w:rPr>
            </w:pPr>
            <w:r w:rsidRPr="00EB23ED">
              <w:rPr>
                <w:rFonts w:eastAsia="Times New Roman" w:cs="Arial"/>
                <w:b/>
                <w:bCs/>
                <w:color w:val="000000"/>
                <w:sz w:val="16"/>
                <w:szCs w:val="16"/>
                <w:lang w:eastAsia="pt-BR"/>
              </w:rPr>
              <w:t>Igaratá</w:t>
            </w:r>
          </w:p>
        </w:tc>
        <w:tc>
          <w:tcPr>
            <w:tcW w:w="1466" w:type="dxa"/>
            <w:gridSpan w:val="2"/>
            <w:tcBorders>
              <w:top w:val="single" w:sz="4" w:space="0" w:color="auto"/>
              <w:left w:val="nil"/>
              <w:bottom w:val="single" w:sz="4" w:space="0" w:color="auto"/>
              <w:right w:val="single" w:sz="4" w:space="0" w:color="auto"/>
            </w:tcBorders>
            <w:shd w:val="clear" w:color="000000" w:fill="BFBFBF"/>
            <w:vAlign w:val="center"/>
            <w:hideMark/>
          </w:tcPr>
          <w:p w:rsidR="004065CF" w:rsidRPr="00EB23ED" w:rsidRDefault="00D40571" w:rsidP="004065CF">
            <w:pPr>
              <w:spacing w:after="0"/>
              <w:jc w:val="center"/>
              <w:rPr>
                <w:rFonts w:eastAsia="Times New Roman" w:cs="Arial"/>
                <w:b/>
                <w:bCs/>
                <w:color w:val="000000"/>
                <w:sz w:val="16"/>
                <w:szCs w:val="16"/>
                <w:lang w:eastAsia="pt-BR"/>
              </w:rPr>
            </w:pPr>
            <w:r w:rsidRPr="00EB23ED">
              <w:rPr>
                <w:rFonts w:eastAsia="Times New Roman" w:cs="Arial"/>
                <w:b/>
                <w:bCs/>
                <w:color w:val="000000"/>
                <w:sz w:val="16"/>
                <w:szCs w:val="16"/>
                <w:lang w:eastAsia="pt-BR"/>
              </w:rPr>
              <w:t>Nazaré</w:t>
            </w:r>
            <w:r w:rsidR="004065CF" w:rsidRPr="00EB23ED">
              <w:rPr>
                <w:rFonts w:eastAsia="Times New Roman" w:cs="Arial"/>
                <w:b/>
                <w:bCs/>
                <w:color w:val="000000"/>
                <w:sz w:val="16"/>
                <w:szCs w:val="16"/>
                <w:lang w:eastAsia="pt-BR"/>
              </w:rPr>
              <w:t xml:space="preserve"> Paulista</w:t>
            </w:r>
          </w:p>
        </w:tc>
        <w:tc>
          <w:tcPr>
            <w:tcW w:w="762" w:type="dxa"/>
            <w:vMerge w:val="restart"/>
            <w:tcBorders>
              <w:top w:val="single" w:sz="4" w:space="0" w:color="auto"/>
              <w:left w:val="single" w:sz="4" w:space="0" w:color="auto"/>
              <w:bottom w:val="single" w:sz="4" w:space="0" w:color="auto"/>
              <w:right w:val="nil"/>
            </w:tcBorders>
            <w:shd w:val="clear" w:color="000000" w:fill="BFBFBF"/>
            <w:vAlign w:val="center"/>
            <w:hideMark/>
          </w:tcPr>
          <w:p w:rsidR="004065CF" w:rsidRPr="00EB23ED" w:rsidRDefault="004065CF" w:rsidP="004065CF">
            <w:pPr>
              <w:spacing w:after="0"/>
              <w:jc w:val="center"/>
              <w:rPr>
                <w:rFonts w:eastAsia="Times New Roman" w:cs="Arial"/>
                <w:b/>
                <w:color w:val="000000"/>
                <w:sz w:val="16"/>
                <w:szCs w:val="16"/>
                <w:lang w:eastAsia="pt-BR"/>
              </w:rPr>
            </w:pPr>
            <w:r w:rsidRPr="00EB23ED">
              <w:rPr>
                <w:rFonts w:eastAsia="Times New Roman" w:cs="Arial"/>
                <w:b/>
                <w:color w:val="000000"/>
                <w:sz w:val="16"/>
                <w:szCs w:val="16"/>
                <w:lang w:eastAsia="pt-BR"/>
              </w:rPr>
              <w:t>Total Geral</w:t>
            </w:r>
          </w:p>
        </w:tc>
        <w:tc>
          <w:tcPr>
            <w:tcW w:w="1466" w:type="dxa"/>
            <w:gridSpan w:val="2"/>
            <w:tcBorders>
              <w:top w:val="single" w:sz="4" w:space="0" w:color="auto"/>
              <w:left w:val="double" w:sz="6" w:space="0" w:color="auto"/>
              <w:bottom w:val="single" w:sz="4" w:space="0" w:color="auto"/>
              <w:right w:val="single" w:sz="4" w:space="0" w:color="auto"/>
            </w:tcBorders>
            <w:shd w:val="clear" w:color="000000" w:fill="BFBFBF"/>
            <w:vAlign w:val="center"/>
            <w:hideMark/>
          </w:tcPr>
          <w:p w:rsidR="004065CF" w:rsidRPr="00EB23ED" w:rsidRDefault="004065CF" w:rsidP="004065CF">
            <w:pPr>
              <w:spacing w:after="0"/>
              <w:jc w:val="center"/>
              <w:rPr>
                <w:rFonts w:eastAsia="Times New Roman" w:cs="Arial"/>
                <w:b/>
                <w:bCs/>
                <w:color w:val="000000"/>
                <w:sz w:val="16"/>
                <w:szCs w:val="16"/>
                <w:lang w:eastAsia="pt-BR"/>
              </w:rPr>
            </w:pPr>
            <w:r w:rsidRPr="00EB23ED">
              <w:rPr>
                <w:rFonts w:eastAsia="Times New Roman" w:cs="Arial"/>
                <w:b/>
                <w:bCs/>
                <w:color w:val="000000"/>
                <w:sz w:val="16"/>
                <w:szCs w:val="16"/>
                <w:lang w:eastAsia="pt-BR"/>
              </w:rPr>
              <w:t>Total</w:t>
            </w:r>
          </w:p>
        </w:tc>
      </w:tr>
      <w:tr w:rsidR="00EB23ED" w:rsidRPr="004065CF" w:rsidTr="00D40571">
        <w:trPr>
          <w:cantSplit/>
          <w:tblHeader/>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4065CF" w:rsidRPr="00EB23ED" w:rsidRDefault="004065CF" w:rsidP="004065CF">
            <w:pPr>
              <w:spacing w:after="0"/>
              <w:jc w:val="center"/>
              <w:rPr>
                <w:rFonts w:eastAsia="Times New Roman" w:cs="Arial"/>
                <w:b/>
                <w:color w:val="000000"/>
                <w:sz w:val="16"/>
                <w:szCs w:val="16"/>
                <w:lang w:eastAsia="pt-BR"/>
              </w:rPr>
            </w:pPr>
          </w:p>
        </w:tc>
        <w:tc>
          <w:tcPr>
            <w:tcW w:w="1677" w:type="dxa"/>
            <w:vMerge/>
            <w:tcBorders>
              <w:top w:val="single" w:sz="4" w:space="0" w:color="auto"/>
              <w:left w:val="single" w:sz="4" w:space="0" w:color="auto"/>
              <w:bottom w:val="single" w:sz="4" w:space="0" w:color="auto"/>
              <w:right w:val="single" w:sz="4" w:space="0" w:color="auto"/>
            </w:tcBorders>
            <w:vAlign w:val="center"/>
            <w:hideMark/>
          </w:tcPr>
          <w:p w:rsidR="004065CF" w:rsidRPr="00EB23ED" w:rsidRDefault="004065CF" w:rsidP="004065CF">
            <w:pPr>
              <w:spacing w:after="0"/>
              <w:jc w:val="center"/>
              <w:rPr>
                <w:rFonts w:eastAsia="Times New Roman" w:cs="Arial"/>
                <w:b/>
                <w:color w:val="000000"/>
                <w:sz w:val="16"/>
                <w:szCs w:val="16"/>
                <w:lang w:eastAsia="pt-BR"/>
              </w:rPr>
            </w:pPr>
          </w:p>
        </w:tc>
        <w:tc>
          <w:tcPr>
            <w:tcW w:w="758" w:type="dxa"/>
            <w:tcBorders>
              <w:top w:val="nil"/>
              <w:left w:val="nil"/>
              <w:bottom w:val="single" w:sz="4" w:space="0" w:color="auto"/>
              <w:right w:val="single" w:sz="4" w:space="0" w:color="auto"/>
            </w:tcBorders>
            <w:shd w:val="clear" w:color="000000" w:fill="BFBFBF"/>
            <w:vAlign w:val="center"/>
            <w:hideMark/>
          </w:tcPr>
          <w:p w:rsidR="004065CF" w:rsidRPr="00EB23ED" w:rsidRDefault="004065CF" w:rsidP="004065CF">
            <w:pPr>
              <w:spacing w:after="0"/>
              <w:jc w:val="center"/>
              <w:rPr>
                <w:rFonts w:eastAsia="Times New Roman" w:cs="Arial"/>
                <w:b/>
                <w:color w:val="000000"/>
                <w:sz w:val="16"/>
                <w:szCs w:val="16"/>
                <w:lang w:eastAsia="pt-BR"/>
              </w:rPr>
            </w:pPr>
            <w:r w:rsidRPr="00EB23ED">
              <w:rPr>
                <w:rFonts w:eastAsia="Times New Roman" w:cs="Arial"/>
                <w:b/>
                <w:color w:val="000000"/>
                <w:sz w:val="16"/>
                <w:szCs w:val="16"/>
                <w:lang w:eastAsia="pt-BR"/>
              </w:rPr>
              <w:t>Dentro de APP</w:t>
            </w:r>
          </w:p>
        </w:tc>
        <w:tc>
          <w:tcPr>
            <w:tcW w:w="708" w:type="dxa"/>
            <w:tcBorders>
              <w:top w:val="nil"/>
              <w:left w:val="nil"/>
              <w:bottom w:val="single" w:sz="4" w:space="0" w:color="auto"/>
              <w:right w:val="single" w:sz="4" w:space="0" w:color="auto"/>
            </w:tcBorders>
            <w:shd w:val="clear" w:color="000000" w:fill="BFBFBF"/>
            <w:vAlign w:val="center"/>
            <w:hideMark/>
          </w:tcPr>
          <w:p w:rsidR="004065CF" w:rsidRPr="00EB23ED" w:rsidRDefault="004065CF" w:rsidP="004065CF">
            <w:pPr>
              <w:spacing w:after="0"/>
              <w:jc w:val="center"/>
              <w:rPr>
                <w:rFonts w:eastAsia="Times New Roman" w:cs="Arial"/>
                <w:b/>
                <w:color w:val="000000"/>
                <w:sz w:val="16"/>
                <w:szCs w:val="16"/>
                <w:lang w:eastAsia="pt-BR"/>
              </w:rPr>
            </w:pPr>
            <w:r w:rsidRPr="00EB23ED">
              <w:rPr>
                <w:rFonts w:eastAsia="Times New Roman" w:cs="Arial"/>
                <w:b/>
                <w:color w:val="000000"/>
                <w:sz w:val="16"/>
                <w:szCs w:val="16"/>
                <w:lang w:eastAsia="pt-BR"/>
              </w:rPr>
              <w:t>Fora de APP</w:t>
            </w:r>
          </w:p>
        </w:tc>
        <w:tc>
          <w:tcPr>
            <w:tcW w:w="758" w:type="dxa"/>
            <w:tcBorders>
              <w:top w:val="nil"/>
              <w:left w:val="nil"/>
              <w:bottom w:val="single" w:sz="4" w:space="0" w:color="auto"/>
              <w:right w:val="single" w:sz="4" w:space="0" w:color="auto"/>
            </w:tcBorders>
            <w:shd w:val="clear" w:color="000000" w:fill="BFBFBF"/>
            <w:vAlign w:val="center"/>
            <w:hideMark/>
          </w:tcPr>
          <w:p w:rsidR="004065CF" w:rsidRPr="00EB23ED" w:rsidRDefault="004065CF" w:rsidP="004065CF">
            <w:pPr>
              <w:spacing w:after="0"/>
              <w:jc w:val="center"/>
              <w:rPr>
                <w:rFonts w:eastAsia="Times New Roman" w:cs="Arial"/>
                <w:b/>
                <w:color w:val="000000"/>
                <w:sz w:val="16"/>
                <w:szCs w:val="16"/>
                <w:lang w:eastAsia="pt-BR"/>
              </w:rPr>
            </w:pPr>
            <w:r w:rsidRPr="00EB23ED">
              <w:rPr>
                <w:rFonts w:eastAsia="Times New Roman" w:cs="Arial"/>
                <w:b/>
                <w:color w:val="000000"/>
                <w:sz w:val="16"/>
                <w:szCs w:val="16"/>
                <w:lang w:eastAsia="pt-BR"/>
              </w:rPr>
              <w:t>Dentro de APP</w:t>
            </w:r>
          </w:p>
        </w:tc>
        <w:tc>
          <w:tcPr>
            <w:tcW w:w="708" w:type="dxa"/>
            <w:tcBorders>
              <w:top w:val="nil"/>
              <w:left w:val="nil"/>
              <w:bottom w:val="single" w:sz="4" w:space="0" w:color="auto"/>
              <w:right w:val="single" w:sz="4" w:space="0" w:color="auto"/>
            </w:tcBorders>
            <w:shd w:val="clear" w:color="000000" w:fill="BFBFBF"/>
            <w:vAlign w:val="center"/>
            <w:hideMark/>
          </w:tcPr>
          <w:p w:rsidR="004065CF" w:rsidRPr="00EB23ED" w:rsidRDefault="004065CF" w:rsidP="004065CF">
            <w:pPr>
              <w:spacing w:after="0"/>
              <w:jc w:val="center"/>
              <w:rPr>
                <w:rFonts w:eastAsia="Times New Roman" w:cs="Arial"/>
                <w:b/>
                <w:color w:val="000000"/>
                <w:sz w:val="16"/>
                <w:szCs w:val="16"/>
                <w:lang w:eastAsia="pt-BR"/>
              </w:rPr>
            </w:pPr>
            <w:r w:rsidRPr="00EB23ED">
              <w:rPr>
                <w:rFonts w:eastAsia="Times New Roman" w:cs="Arial"/>
                <w:b/>
                <w:color w:val="000000"/>
                <w:sz w:val="16"/>
                <w:szCs w:val="16"/>
                <w:lang w:eastAsia="pt-BR"/>
              </w:rPr>
              <w:t>Fora de APP</w:t>
            </w:r>
          </w:p>
        </w:tc>
        <w:tc>
          <w:tcPr>
            <w:tcW w:w="758" w:type="dxa"/>
            <w:tcBorders>
              <w:top w:val="nil"/>
              <w:left w:val="nil"/>
              <w:bottom w:val="single" w:sz="4" w:space="0" w:color="auto"/>
              <w:right w:val="single" w:sz="4" w:space="0" w:color="auto"/>
            </w:tcBorders>
            <w:shd w:val="clear" w:color="000000" w:fill="BFBFBF"/>
            <w:vAlign w:val="center"/>
            <w:hideMark/>
          </w:tcPr>
          <w:p w:rsidR="004065CF" w:rsidRPr="00EB23ED" w:rsidRDefault="004065CF" w:rsidP="004065CF">
            <w:pPr>
              <w:spacing w:after="0"/>
              <w:jc w:val="center"/>
              <w:rPr>
                <w:rFonts w:eastAsia="Times New Roman" w:cs="Arial"/>
                <w:b/>
                <w:color w:val="000000"/>
                <w:sz w:val="16"/>
                <w:szCs w:val="16"/>
                <w:lang w:eastAsia="pt-BR"/>
              </w:rPr>
            </w:pPr>
            <w:r w:rsidRPr="00EB23ED">
              <w:rPr>
                <w:rFonts w:eastAsia="Times New Roman" w:cs="Arial"/>
                <w:b/>
                <w:color w:val="000000"/>
                <w:sz w:val="16"/>
                <w:szCs w:val="16"/>
                <w:lang w:eastAsia="pt-BR"/>
              </w:rPr>
              <w:t>Dentro de APP</w:t>
            </w:r>
          </w:p>
        </w:tc>
        <w:tc>
          <w:tcPr>
            <w:tcW w:w="708" w:type="dxa"/>
            <w:tcBorders>
              <w:top w:val="nil"/>
              <w:left w:val="nil"/>
              <w:bottom w:val="single" w:sz="4" w:space="0" w:color="auto"/>
              <w:right w:val="single" w:sz="4" w:space="0" w:color="auto"/>
            </w:tcBorders>
            <w:shd w:val="clear" w:color="000000" w:fill="BFBFBF"/>
            <w:vAlign w:val="center"/>
            <w:hideMark/>
          </w:tcPr>
          <w:p w:rsidR="004065CF" w:rsidRPr="00EB23ED" w:rsidRDefault="004065CF" w:rsidP="004065CF">
            <w:pPr>
              <w:spacing w:after="0"/>
              <w:jc w:val="center"/>
              <w:rPr>
                <w:rFonts w:eastAsia="Times New Roman" w:cs="Arial"/>
                <w:b/>
                <w:color w:val="000000"/>
                <w:sz w:val="16"/>
                <w:szCs w:val="16"/>
                <w:lang w:eastAsia="pt-BR"/>
              </w:rPr>
            </w:pPr>
            <w:r w:rsidRPr="00EB23ED">
              <w:rPr>
                <w:rFonts w:eastAsia="Times New Roman" w:cs="Arial"/>
                <w:b/>
                <w:color w:val="000000"/>
                <w:sz w:val="16"/>
                <w:szCs w:val="16"/>
                <w:lang w:eastAsia="pt-BR"/>
              </w:rPr>
              <w:t>Fora de APP</w:t>
            </w:r>
          </w:p>
        </w:tc>
        <w:tc>
          <w:tcPr>
            <w:tcW w:w="762" w:type="dxa"/>
            <w:vMerge/>
            <w:tcBorders>
              <w:top w:val="single" w:sz="4" w:space="0" w:color="auto"/>
              <w:left w:val="single" w:sz="4" w:space="0" w:color="auto"/>
              <w:bottom w:val="single" w:sz="4" w:space="0" w:color="auto"/>
              <w:right w:val="nil"/>
            </w:tcBorders>
            <w:vAlign w:val="center"/>
            <w:hideMark/>
          </w:tcPr>
          <w:p w:rsidR="004065CF" w:rsidRPr="00EB23ED" w:rsidRDefault="004065CF" w:rsidP="004065CF">
            <w:pPr>
              <w:spacing w:after="0"/>
              <w:jc w:val="center"/>
              <w:rPr>
                <w:rFonts w:eastAsia="Times New Roman" w:cs="Arial"/>
                <w:b/>
                <w:color w:val="000000"/>
                <w:sz w:val="16"/>
                <w:szCs w:val="16"/>
                <w:lang w:eastAsia="pt-BR"/>
              </w:rPr>
            </w:pPr>
          </w:p>
        </w:tc>
        <w:tc>
          <w:tcPr>
            <w:tcW w:w="758" w:type="dxa"/>
            <w:tcBorders>
              <w:top w:val="nil"/>
              <w:left w:val="double" w:sz="6" w:space="0" w:color="auto"/>
              <w:bottom w:val="single" w:sz="4" w:space="0" w:color="auto"/>
              <w:right w:val="single" w:sz="4" w:space="0" w:color="auto"/>
            </w:tcBorders>
            <w:shd w:val="clear" w:color="000000" w:fill="BFBFBF"/>
            <w:vAlign w:val="center"/>
            <w:hideMark/>
          </w:tcPr>
          <w:p w:rsidR="004065CF" w:rsidRPr="00EB23ED" w:rsidRDefault="004065CF" w:rsidP="004065CF">
            <w:pPr>
              <w:spacing w:after="0"/>
              <w:jc w:val="center"/>
              <w:rPr>
                <w:rFonts w:eastAsia="Times New Roman" w:cs="Arial"/>
                <w:b/>
                <w:color w:val="000000"/>
                <w:sz w:val="16"/>
                <w:szCs w:val="16"/>
                <w:lang w:eastAsia="pt-BR"/>
              </w:rPr>
            </w:pPr>
            <w:r w:rsidRPr="00EB23ED">
              <w:rPr>
                <w:rFonts w:eastAsia="Times New Roman" w:cs="Arial"/>
                <w:b/>
                <w:color w:val="000000"/>
                <w:sz w:val="16"/>
                <w:szCs w:val="16"/>
                <w:lang w:eastAsia="pt-BR"/>
              </w:rPr>
              <w:t>Dentro de APP</w:t>
            </w:r>
          </w:p>
        </w:tc>
        <w:tc>
          <w:tcPr>
            <w:tcW w:w="708" w:type="dxa"/>
            <w:tcBorders>
              <w:top w:val="nil"/>
              <w:left w:val="nil"/>
              <w:bottom w:val="single" w:sz="4" w:space="0" w:color="auto"/>
              <w:right w:val="single" w:sz="4" w:space="0" w:color="auto"/>
            </w:tcBorders>
            <w:shd w:val="clear" w:color="000000" w:fill="BFBFBF"/>
            <w:vAlign w:val="center"/>
            <w:hideMark/>
          </w:tcPr>
          <w:p w:rsidR="004065CF" w:rsidRPr="00EB23ED" w:rsidRDefault="004065CF" w:rsidP="004065CF">
            <w:pPr>
              <w:spacing w:after="0"/>
              <w:jc w:val="center"/>
              <w:rPr>
                <w:rFonts w:eastAsia="Times New Roman" w:cs="Arial"/>
                <w:b/>
                <w:color w:val="000000"/>
                <w:sz w:val="16"/>
                <w:szCs w:val="16"/>
                <w:lang w:eastAsia="pt-BR"/>
              </w:rPr>
            </w:pPr>
            <w:r w:rsidRPr="00EB23ED">
              <w:rPr>
                <w:rFonts w:eastAsia="Times New Roman" w:cs="Arial"/>
                <w:b/>
                <w:color w:val="000000"/>
                <w:sz w:val="16"/>
                <w:szCs w:val="16"/>
                <w:lang w:eastAsia="pt-BR"/>
              </w:rPr>
              <w:t>Fora de APP</w:t>
            </w:r>
          </w:p>
        </w:tc>
      </w:tr>
      <w:tr w:rsidR="00EB23ED" w:rsidRPr="004065CF" w:rsidTr="00D40571">
        <w:trPr>
          <w:cantSplit/>
        </w:trPr>
        <w:tc>
          <w:tcPr>
            <w:tcW w:w="1135" w:type="dxa"/>
            <w:vMerge w:val="restart"/>
            <w:tcBorders>
              <w:top w:val="nil"/>
              <w:left w:val="single" w:sz="4" w:space="0" w:color="auto"/>
              <w:bottom w:val="single" w:sz="4" w:space="0" w:color="auto"/>
              <w:right w:val="single" w:sz="4" w:space="0" w:color="auto"/>
            </w:tcBorders>
            <w:shd w:val="clear" w:color="000000" w:fill="C2D69A"/>
            <w:vAlign w:val="center"/>
            <w:hideMark/>
          </w:tcPr>
          <w:p w:rsidR="004065CF" w:rsidRPr="00EB23ED" w:rsidRDefault="004065CF" w:rsidP="004065CF">
            <w:pPr>
              <w:spacing w:after="0"/>
              <w:jc w:val="center"/>
              <w:rPr>
                <w:rFonts w:eastAsia="Times New Roman" w:cs="Arial"/>
                <w:b/>
                <w:color w:val="000000"/>
                <w:sz w:val="16"/>
                <w:szCs w:val="16"/>
                <w:lang w:eastAsia="pt-BR"/>
              </w:rPr>
            </w:pPr>
            <w:r w:rsidRPr="00EB23ED">
              <w:rPr>
                <w:rFonts w:eastAsia="Times New Roman" w:cs="Arial"/>
                <w:b/>
                <w:color w:val="000000"/>
                <w:sz w:val="16"/>
                <w:szCs w:val="16"/>
                <w:lang w:eastAsia="pt-BR"/>
              </w:rPr>
              <w:t>Vegetação Nativa</w:t>
            </w:r>
          </w:p>
        </w:tc>
        <w:tc>
          <w:tcPr>
            <w:tcW w:w="1677" w:type="dxa"/>
            <w:tcBorders>
              <w:top w:val="nil"/>
              <w:left w:val="nil"/>
              <w:bottom w:val="single" w:sz="4" w:space="0" w:color="auto"/>
              <w:right w:val="single" w:sz="4" w:space="0" w:color="auto"/>
            </w:tcBorders>
            <w:shd w:val="clear" w:color="000000" w:fill="C2D69A"/>
            <w:vAlign w:val="center"/>
            <w:hideMark/>
          </w:tcPr>
          <w:p w:rsidR="004065CF" w:rsidRPr="00933478" w:rsidRDefault="004065CF" w:rsidP="00D40571">
            <w:pPr>
              <w:spacing w:after="0"/>
              <w:jc w:val="left"/>
              <w:rPr>
                <w:rFonts w:eastAsia="Times New Roman" w:cs="Arial"/>
                <w:color w:val="000000"/>
                <w:sz w:val="16"/>
                <w:szCs w:val="16"/>
                <w:lang w:eastAsia="pt-BR"/>
              </w:rPr>
            </w:pPr>
            <w:r>
              <w:rPr>
                <w:rFonts w:eastAsia="Times New Roman" w:cs="Arial"/>
                <w:color w:val="000000"/>
                <w:sz w:val="16"/>
                <w:szCs w:val="16"/>
                <w:lang w:eastAsia="pt-BR"/>
              </w:rPr>
              <w:t xml:space="preserve">Floresta Ombrófila Densa </w:t>
            </w:r>
            <w:r w:rsidRPr="00933478">
              <w:rPr>
                <w:rFonts w:eastAsia="Times New Roman" w:cs="Arial"/>
                <w:color w:val="000000"/>
                <w:sz w:val="16"/>
                <w:szCs w:val="16"/>
                <w:lang w:eastAsia="pt-BR"/>
              </w:rPr>
              <w:t>Est</w:t>
            </w:r>
            <w:r>
              <w:rPr>
                <w:rFonts w:eastAsia="Times New Roman" w:cs="Arial"/>
                <w:color w:val="000000"/>
                <w:sz w:val="16"/>
                <w:szCs w:val="16"/>
                <w:lang w:eastAsia="pt-BR"/>
              </w:rPr>
              <w:t>.</w:t>
            </w:r>
            <w:r w:rsidRPr="00933478">
              <w:rPr>
                <w:rFonts w:eastAsia="Times New Roman" w:cs="Arial"/>
                <w:color w:val="000000"/>
                <w:sz w:val="16"/>
                <w:szCs w:val="16"/>
                <w:lang w:eastAsia="pt-BR"/>
              </w:rPr>
              <w:t xml:space="preserve"> </w:t>
            </w:r>
            <w:r w:rsidR="00D40571">
              <w:rPr>
                <w:rFonts w:eastAsia="Times New Roman" w:cs="Arial"/>
                <w:color w:val="000000"/>
                <w:sz w:val="16"/>
                <w:szCs w:val="16"/>
                <w:lang w:eastAsia="pt-BR"/>
              </w:rPr>
              <w:t>A</w:t>
            </w:r>
            <w:r w:rsidRPr="00933478">
              <w:rPr>
                <w:rFonts w:eastAsia="Times New Roman" w:cs="Arial"/>
                <w:color w:val="000000"/>
                <w:sz w:val="16"/>
                <w:szCs w:val="16"/>
                <w:lang w:eastAsia="pt-BR"/>
              </w:rPr>
              <w:t>vançado</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 </w:t>
            </w:r>
            <w:r>
              <w:rPr>
                <w:rFonts w:eastAsia="Times New Roman" w:cs="Arial"/>
                <w:color w:val="000000"/>
                <w:sz w:val="16"/>
                <w:szCs w:val="16"/>
                <w:lang w:eastAsia="pt-BR"/>
              </w:rPr>
              <w:t>-</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 </w:t>
            </w:r>
            <w:r>
              <w:rPr>
                <w:rFonts w:eastAsia="Times New Roman" w:cs="Arial"/>
                <w:color w:val="000000"/>
                <w:sz w:val="16"/>
                <w:szCs w:val="16"/>
                <w:lang w:eastAsia="pt-BR"/>
              </w:rPr>
              <w:t>-</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0,0005</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0,0012</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Pr>
                <w:rFonts w:eastAsia="Times New Roman" w:cs="Arial"/>
                <w:color w:val="000000"/>
                <w:sz w:val="16"/>
                <w:szCs w:val="16"/>
                <w:lang w:eastAsia="pt-BR"/>
              </w:rPr>
              <w:t>-</w:t>
            </w:r>
            <w:r w:rsidRPr="004065CF">
              <w:rPr>
                <w:rFonts w:eastAsia="Times New Roman" w:cs="Arial"/>
                <w:color w:val="000000"/>
                <w:sz w:val="16"/>
                <w:szCs w:val="16"/>
                <w:lang w:eastAsia="pt-BR"/>
              </w:rPr>
              <w:t> </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Pr>
                <w:rFonts w:eastAsia="Times New Roman" w:cs="Arial"/>
                <w:color w:val="000000"/>
                <w:sz w:val="16"/>
                <w:szCs w:val="16"/>
                <w:lang w:eastAsia="pt-BR"/>
              </w:rPr>
              <w:t>-</w:t>
            </w:r>
            <w:r w:rsidRPr="004065CF">
              <w:rPr>
                <w:rFonts w:eastAsia="Times New Roman" w:cs="Arial"/>
                <w:color w:val="000000"/>
                <w:sz w:val="16"/>
                <w:szCs w:val="16"/>
                <w:lang w:eastAsia="pt-BR"/>
              </w:rPr>
              <w:t> </w:t>
            </w:r>
          </w:p>
        </w:tc>
        <w:tc>
          <w:tcPr>
            <w:tcW w:w="762" w:type="dxa"/>
            <w:tcBorders>
              <w:top w:val="nil"/>
              <w:left w:val="nil"/>
              <w:bottom w:val="single" w:sz="4" w:space="0" w:color="auto"/>
              <w:right w:val="nil"/>
            </w:tcBorders>
            <w:shd w:val="clear" w:color="000000" w:fill="C2D69A"/>
            <w:vAlign w:val="center"/>
            <w:hideMark/>
          </w:tcPr>
          <w:p w:rsidR="004065CF" w:rsidRPr="004065CF" w:rsidRDefault="004065CF" w:rsidP="004E36F2">
            <w:pPr>
              <w:spacing w:after="0"/>
              <w:jc w:val="center"/>
              <w:rPr>
                <w:rFonts w:eastAsia="Times New Roman" w:cs="Arial"/>
                <w:b/>
                <w:color w:val="000000"/>
                <w:sz w:val="16"/>
                <w:szCs w:val="16"/>
                <w:lang w:eastAsia="pt-BR"/>
              </w:rPr>
            </w:pPr>
            <w:r w:rsidRPr="004065CF">
              <w:rPr>
                <w:rFonts w:eastAsia="Times New Roman" w:cs="Arial"/>
                <w:b/>
                <w:color w:val="000000"/>
                <w:sz w:val="16"/>
                <w:szCs w:val="16"/>
                <w:lang w:eastAsia="pt-BR"/>
              </w:rPr>
              <w:t>0,001</w:t>
            </w:r>
            <w:r w:rsidR="004E36F2">
              <w:rPr>
                <w:rFonts w:eastAsia="Times New Roman" w:cs="Arial"/>
                <w:b/>
                <w:color w:val="000000"/>
                <w:sz w:val="16"/>
                <w:szCs w:val="16"/>
                <w:lang w:eastAsia="pt-BR"/>
              </w:rPr>
              <w:t>7</w:t>
            </w:r>
          </w:p>
        </w:tc>
        <w:tc>
          <w:tcPr>
            <w:tcW w:w="758" w:type="dxa"/>
            <w:tcBorders>
              <w:top w:val="nil"/>
              <w:left w:val="double" w:sz="6" w:space="0" w:color="auto"/>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0,0005</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0,0012</w:t>
            </w:r>
          </w:p>
        </w:tc>
      </w:tr>
      <w:tr w:rsidR="00EB23ED" w:rsidRPr="004065CF" w:rsidTr="00D40571">
        <w:trPr>
          <w:cantSplit/>
        </w:trPr>
        <w:tc>
          <w:tcPr>
            <w:tcW w:w="1135" w:type="dxa"/>
            <w:vMerge/>
            <w:tcBorders>
              <w:top w:val="nil"/>
              <w:left w:val="single" w:sz="4" w:space="0" w:color="auto"/>
              <w:bottom w:val="single" w:sz="4" w:space="0" w:color="auto"/>
              <w:right w:val="single" w:sz="4" w:space="0" w:color="auto"/>
            </w:tcBorders>
            <w:vAlign w:val="center"/>
            <w:hideMark/>
          </w:tcPr>
          <w:p w:rsidR="004065CF" w:rsidRPr="00EB23ED" w:rsidRDefault="004065CF" w:rsidP="004065CF">
            <w:pPr>
              <w:spacing w:after="0"/>
              <w:jc w:val="center"/>
              <w:rPr>
                <w:rFonts w:eastAsia="Times New Roman" w:cs="Arial"/>
                <w:b/>
                <w:color w:val="000000"/>
                <w:sz w:val="16"/>
                <w:szCs w:val="16"/>
                <w:lang w:eastAsia="pt-BR"/>
              </w:rPr>
            </w:pPr>
          </w:p>
        </w:tc>
        <w:tc>
          <w:tcPr>
            <w:tcW w:w="1677" w:type="dxa"/>
            <w:tcBorders>
              <w:top w:val="nil"/>
              <w:left w:val="nil"/>
              <w:bottom w:val="single" w:sz="4" w:space="0" w:color="auto"/>
              <w:right w:val="single" w:sz="4" w:space="0" w:color="auto"/>
            </w:tcBorders>
            <w:shd w:val="clear" w:color="000000" w:fill="C2D69A"/>
            <w:vAlign w:val="center"/>
            <w:hideMark/>
          </w:tcPr>
          <w:p w:rsidR="004065CF" w:rsidRPr="00933478" w:rsidRDefault="004065CF" w:rsidP="004065CF">
            <w:pPr>
              <w:spacing w:after="0"/>
              <w:jc w:val="left"/>
              <w:rPr>
                <w:rFonts w:eastAsia="Times New Roman" w:cs="Arial"/>
                <w:color w:val="000000"/>
                <w:sz w:val="16"/>
                <w:szCs w:val="16"/>
                <w:lang w:eastAsia="pt-BR"/>
              </w:rPr>
            </w:pPr>
            <w:r>
              <w:rPr>
                <w:rFonts w:eastAsia="Times New Roman" w:cs="Arial"/>
                <w:color w:val="000000"/>
                <w:sz w:val="16"/>
                <w:szCs w:val="16"/>
                <w:lang w:eastAsia="pt-BR"/>
              </w:rPr>
              <w:t xml:space="preserve">Floresta Ombrófila Densa </w:t>
            </w:r>
            <w:r w:rsidRPr="00933478">
              <w:rPr>
                <w:rFonts w:eastAsia="Times New Roman" w:cs="Arial"/>
                <w:color w:val="000000"/>
                <w:sz w:val="16"/>
                <w:szCs w:val="16"/>
                <w:lang w:eastAsia="pt-BR"/>
              </w:rPr>
              <w:t>Estágio Médio</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0,0323</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0,0089</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0,0204</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0,0941</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0,1005</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Pr>
                <w:rFonts w:eastAsia="Times New Roman" w:cs="Arial"/>
                <w:color w:val="000000"/>
                <w:sz w:val="16"/>
                <w:szCs w:val="16"/>
                <w:lang w:eastAsia="pt-BR"/>
              </w:rPr>
              <w:t>-</w:t>
            </w:r>
            <w:r w:rsidRPr="004065CF">
              <w:rPr>
                <w:rFonts w:eastAsia="Times New Roman" w:cs="Arial"/>
                <w:color w:val="000000"/>
                <w:sz w:val="16"/>
                <w:szCs w:val="16"/>
                <w:lang w:eastAsia="pt-BR"/>
              </w:rPr>
              <w:t> </w:t>
            </w:r>
          </w:p>
        </w:tc>
        <w:tc>
          <w:tcPr>
            <w:tcW w:w="762" w:type="dxa"/>
            <w:tcBorders>
              <w:top w:val="nil"/>
              <w:left w:val="nil"/>
              <w:bottom w:val="single" w:sz="4" w:space="0" w:color="auto"/>
              <w:right w:val="nil"/>
            </w:tcBorders>
            <w:shd w:val="clear" w:color="000000" w:fill="C2D69A"/>
            <w:vAlign w:val="center"/>
            <w:hideMark/>
          </w:tcPr>
          <w:p w:rsidR="004065CF" w:rsidRPr="004065CF" w:rsidRDefault="004065CF" w:rsidP="004065CF">
            <w:pPr>
              <w:spacing w:after="0"/>
              <w:jc w:val="center"/>
              <w:rPr>
                <w:rFonts w:eastAsia="Times New Roman" w:cs="Arial"/>
                <w:b/>
                <w:color w:val="000000"/>
                <w:sz w:val="16"/>
                <w:szCs w:val="16"/>
                <w:lang w:eastAsia="pt-BR"/>
              </w:rPr>
            </w:pPr>
            <w:r w:rsidRPr="004065CF">
              <w:rPr>
                <w:rFonts w:eastAsia="Times New Roman" w:cs="Arial"/>
                <w:b/>
                <w:color w:val="000000"/>
                <w:sz w:val="16"/>
                <w:szCs w:val="16"/>
                <w:lang w:eastAsia="pt-BR"/>
              </w:rPr>
              <w:t>0,2563</w:t>
            </w:r>
          </w:p>
        </w:tc>
        <w:tc>
          <w:tcPr>
            <w:tcW w:w="758" w:type="dxa"/>
            <w:tcBorders>
              <w:top w:val="nil"/>
              <w:left w:val="double" w:sz="6" w:space="0" w:color="auto"/>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0,1532</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0,1031</w:t>
            </w:r>
          </w:p>
        </w:tc>
      </w:tr>
      <w:tr w:rsidR="00EB23ED" w:rsidRPr="004065CF" w:rsidTr="00D40571">
        <w:trPr>
          <w:cantSplit/>
        </w:trPr>
        <w:tc>
          <w:tcPr>
            <w:tcW w:w="1135" w:type="dxa"/>
            <w:vMerge/>
            <w:tcBorders>
              <w:top w:val="nil"/>
              <w:left w:val="single" w:sz="4" w:space="0" w:color="auto"/>
              <w:bottom w:val="single" w:sz="4" w:space="0" w:color="auto"/>
              <w:right w:val="single" w:sz="4" w:space="0" w:color="auto"/>
            </w:tcBorders>
            <w:vAlign w:val="center"/>
            <w:hideMark/>
          </w:tcPr>
          <w:p w:rsidR="004065CF" w:rsidRPr="00EB23ED" w:rsidRDefault="004065CF" w:rsidP="004065CF">
            <w:pPr>
              <w:spacing w:after="0"/>
              <w:jc w:val="center"/>
              <w:rPr>
                <w:rFonts w:eastAsia="Times New Roman" w:cs="Arial"/>
                <w:b/>
                <w:color w:val="000000"/>
                <w:sz w:val="16"/>
                <w:szCs w:val="16"/>
                <w:lang w:eastAsia="pt-BR"/>
              </w:rPr>
            </w:pPr>
          </w:p>
        </w:tc>
        <w:tc>
          <w:tcPr>
            <w:tcW w:w="1677" w:type="dxa"/>
            <w:tcBorders>
              <w:top w:val="nil"/>
              <w:left w:val="nil"/>
              <w:bottom w:val="single" w:sz="4" w:space="0" w:color="auto"/>
              <w:right w:val="single" w:sz="4" w:space="0" w:color="auto"/>
            </w:tcBorders>
            <w:shd w:val="clear" w:color="000000" w:fill="C2D69A"/>
            <w:vAlign w:val="center"/>
            <w:hideMark/>
          </w:tcPr>
          <w:p w:rsidR="004065CF" w:rsidRPr="00933478" w:rsidRDefault="004065CF" w:rsidP="004065CF">
            <w:pPr>
              <w:spacing w:after="0"/>
              <w:jc w:val="left"/>
              <w:rPr>
                <w:rFonts w:eastAsia="Times New Roman" w:cs="Arial"/>
                <w:color w:val="000000"/>
                <w:sz w:val="16"/>
                <w:szCs w:val="16"/>
                <w:lang w:eastAsia="pt-BR"/>
              </w:rPr>
            </w:pPr>
            <w:r>
              <w:rPr>
                <w:rFonts w:eastAsia="Times New Roman" w:cs="Arial"/>
                <w:color w:val="000000"/>
                <w:sz w:val="16"/>
                <w:szCs w:val="16"/>
                <w:lang w:eastAsia="pt-BR"/>
              </w:rPr>
              <w:t xml:space="preserve">Floresta Ombrófila Densa </w:t>
            </w:r>
            <w:r w:rsidRPr="00933478">
              <w:rPr>
                <w:rFonts w:eastAsia="Times New Roman" w:cs="Arial"/>
                <w:color w:val="000000"/>
                <w:sz w:val="16"/>
                <w:szCs w:val="16"/>
                <w:lang w:eastAsia="pt-BR"/>
              </w:rPr>
              <w:t>Estágio Inicial</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0,1178</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0,0265</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0,2762</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0,3015</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0,2039</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Pr>
                <w:rFonts w:eastAsia="Times New Roman" w:cs="Arial"/>
                <w:color w:val="000000"/>
                <w:sz w:val="16"/>
                <w:szCs w:val="16"/>
                <w:lang w:eastAsia="pt-BR"/>
              </w:rPr>
              <w:t>-</w:t>
            </w:r>
            <w:r w:rsidRPr="004065CF">
              <w:rPr>
                <w:rFonts w:eastAsia="Times New Roman" w:cs="Arial"/>
                <w:color w:val="000000"/>
                <w:sz w:val="16"/>
                <w:szCs w:val="16"/>
                <w:lang w:eastAsia="pt-BR"/>
              </w:rPr>
              <w:t> </w:t>
            </w:r>
          </w:p>
        </w:tc>
        <w:tc>
          <w:tcPr>
            <w:tcW w:w="762" w:type="dxa"/>
            <w:tcBorders>
              <w:top w:val="nil"/>
              <w:left w:val="nil"/>
              <w:bottom w:val="single" w:sz="4" w:space="0" w:color="auto"/>
              <w:right w:val="nil"/>
            </w:tcBorders>
            <w:shd w:val="clear" w:color="000000" w:fill="C2D69A"/>
            <w:vAlign w:val="center"/>
            <w:hideMark/>
          </w:tcPr>
          <w:p w:rsidR="004065CF" w:rsidRPr="004065CF" w:rsidRDefault="004065CF" w:rsidP="004065CF">
            <w:pPr>
              <w:spacing w:after="0"/>
              <w:jc w:val="center"/>
              <w:rPr>
                <w:rFonts w:eastAsia="Times New Roman" w:cs="Arial"/>
                <w:b/>
                <w:color w:val="000000"/>
                <w:sz w:val="16"/>
                <w:szCs w:val="16"/>
                <w:lang w:eastAsia="pt-BR"/>
              </w:rPr>
            </w:pPr>
            <w:r w:rsidRPr="004065CF">
              <w:rPr>
                <w:rFonts w:eastAsia="Times New Roman" w:cs="Arial"/>
                <w:b/>
                <w:color w:val="000000"/>
                <w:sz w:val="16"/>
                <w:szCs w:val="16"/>
                <w:lang w:eastAsia="pt-BR"/>
              </w:rPr>
              <w:t>0,9260</w:t>
            </w:r>
          </w:p>
        </w:tc>
        <w:tc>
          <w:tcPr>
            <w:tcW w:w="758" w:type="dxa"/>
            <w:tcBorders>
              <w:top w:val="nil"/>
              <w:left w:val="double" w:sz="6" w:space="0" w:color="auto"/>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0,5980</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0,3280</w:t>
            </w:r>
          </w:p>
        </w:tc>
      </w:tr>
      <w:tr w:rsidR="00EB23ED" w:rsidRPr="004065CF" w:rsidTr="00D40571">
        <w:trPr>
          <w:cantSplit/>
        </w:trPr>
        <w:tc>
          <w:tcPr>
            <w:tcW w:w="1135" w:type="dxa"/>
            <w:vMerge/>
            <w:tcBorders>
              <w:top w:val="nil"/>
              <w:left w:val="single" w:sz="4" w:space="0" w:color="auto"/>
              <w:bottom w:val="single" w:sz="4" w:space="0" w:color="auto"/>
              <w:right w:val="single" w:sz="4" w:space="0" w:color="auto"/>
            </w:tcBorders>
            <w:vAlign w:val="center"/>
            <w:hideMark/>
          </w:tcPr>
          <w:p w:rsidR="004065CF" w:rsidRPr="00EB23ED" w:rsidRDefault="004065CF" w:rsidP="004065CF">
            <w:pPr>
              <w:spacing w:after="0"/>
              <w:jc w:val="center"/>
              <w:rPr>
                <w:rFonts w:eastAsia="Times New Roman" w:cs="Arial"/>
                <w:b/>
                <w:color w:val="000000"/>
                <w:sz w:val="16"/>
                <w:szCs w:val="16"/>
                <w:lang w:eastAsia="pt-BR"/>
              </w:rPr>
            </w:pPr>
          </w:p>
        </w:tc>
        <w:tc>
          <w:tcPr>
            <w:tcW w:w="1677" w:type="dxa"/>
            <w:tcBorders>
              <w:top w:val="nil"/>
              <w:left w:val="nil"/>
              <w:bottom w:val="single" w:sz="4" w:space="0" w:color="auto"/>
              <w:right w:val="single" w:sz="4" w:space="0" w:color="auto"/>
            </w:tcBorders>
            <w:shd w:val="clear" w:color="000000" w:fill="C2D69A"/>
            <w:vAlign w:val="center"/>
            <w:hideMark/>
          </w:tcPr>
          <w:p w:rsidR="004065CF" w:rsidRPr="00933478" w:rsidRDefault="004065CF" w:rsidP="004065CF">
            <w:pPr>
              <w:spacing w:after="0"/>
              <w:jc w:val="left"/>
              <w:rPr>
                <w:rFonts w:eastAsia="Times New Roman" w:cs="Arial"/>
                <w:color w:val="000000"/>
                <w:sz w:val="16"/>
                <w:szCs w:val="16"/>
                <w:lang w:eastAsia="pt-BR"/>
              </w:rPr>
            </w:pPr>
            <w:r>
              <w:rPr>
                <w:rFonts w:eastAsia="Times New Roman" w:cs="Arial"/>
                <w:color w:val="000000"/>
                <w:sz w:val="16"/>
                <w:szCs w:val="16"/>
                <w:lang w:eastAsia="pt-BR"/>
              </w:rPr>
              <w:t xml:space="preserve">Floresta Ombrófila Densa </w:t>
            </w:r>
            <w:r w:rsidRPr="00933478">
              <w:rPr>
                <w:rFonts w:eastAsia="Times New Roman" w:cs="Arial"/>
                <w:color w:val="000000"/>
                <w:sz w:val="16"/>
                <w:szCs w:val="16"/>
                <w:lang w:eastAsia="pt-BR"/>
              </w:rPr>
              <w:t>Est</w:t>
            </w:r>
            <w:r>
              <w:rPr>
                <w:rFonts w:eastAsia="Times New Roman" w:cs="Arial"/>
                <w:color w:val="000000"/>
                <w:sz w:val="16"/>
                <w:szCs w:val="16"/>
                <w:lang w:eastAsia="pt-BR"/>
              </w:rPr>
              <w:t xml:space="preserve">. </w:t>
            </w:r>
            <w:r w:rsidRPr="00933478">
              <w:rPr>
                <w:rFonts w:eastAsia="Times New Roman" w:cs="Arial"/>
                <w:color w:val="000000"/>
                <w:sz w:val="16"/>
                <w:szCs w:val="16"/>
                <w:lang w:eastAsia="pt-BR"/>
              </w:rPr>
              <w:t>Pioneiro</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0,1107</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0,0818</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0,0164</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0,0558</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Pr>
                <w:rFonts w:eastAsia="Times New Roman" w:cs="Arial"/>
                <w:color w:val="000000"/>
                <w:sz w:val="16"/>
                <w:szCs w:val="16"/>
                <w:lang w:eastAsia="pt-BR"/>
              </w:rPr>
              <w:t>-</w:t>
            </w:r>
            <w:r w:rsidRPr="004065CF">
              <w:rPr>
                <w:rFonts w:eastAsia="Times New Roman" w:cs="Arial"/>
                <w:color w:val="000000"/>
                <w:sz w:val="16"/>
                <w:szCs w:val="16"/>
                <w:lang w:eastAsia="pt-BR"/>
              </w:rPr>
              <w:t> </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Pr>
                <w:rFonts w:eastAsia="Times New Roman" w:cs="Arial"/>
                <w:color w:val="000000"/>
                <w:sz w:val="16"/>
                <w:szCs w:val="16"/>
                <w:lang w:eastAsia="pt-BR"/>
              </w:rPr>
              <w:t>-</w:t>
            </w:r>
            <w:r w:rsidRPr="004065CF">
              <w:rPr>
                <w:rFonts w:eastAsia="Times New Roman" w:cs="Arial"/>
                <w:color w:val="000000"/>
                <w:sz w:val="16"/>
                <w:szCs w:val="16"/>
                <w:lang w:eastAsia="pt-BR"/>
              </w:rPr>
              <w:t> </w:t>
            </w:r>
          </w:p>
        </w:tc>
        <w:tc>
          <w:tcPr>
            <w:tcW w:w="762" w:type="dxa"/>
            <w:tcBorders>
              <w:top w:val="nil"/>
              <w:left w:val="nil"/>
              <w:bottom w:val="single" w:sz="4" w:space="0" w:color="auto"/>
              <w:right w:val="nil"/>
            </w:tcBorders>
            <w:shd w:val="clear" w:color="000000" w:fill="C2D69A"/>
            <w:vAlign w:val="center"/>
            <w:hideMark/>
          </w:tcPr>
          <w:p w:rsidR="004065CF" w:rsidRPr="004065CF" w:rsidRDefault="004065CF" w:rsidP="004065CF">
            <w:pPr>
              <w:spacing w:after="0"/>
              <w:jc w:val="center"/>
              <w:rPr>
                <w:rFonts w:eastAsia="Times New Roman" w:cs="Arial"/>
                <w:b/>
                <w:color w:val="000000"/>
                <w:sz w:val="16"/>
                <w:szCs w:val="16"/>
                <w:lang w:eastAsia="pt-BR"/>
              </w:rPr>
            </w:pPr>
            <w:r w:rsidRPr="004065CF">
              <w:rPr>
                <w:rFonts w:eastAsia="Times New Roman" w:cs="Arial"/>
                <w:b/>
                <w:color w:val="000000"/>
                <w:sz w:val="16"/>
                <w:szCs w:val="16"/>
                <w:lang w:eastAsia="pt-BR"/>
              </w:rPr>
              <w:t>0,2647</w:t>
            </w:r>
          </w:p>
        </w:tc>
        <w:tc>
          <w:tcPr>
            <w:tcW w:w="758" w:type="dxa"/>
            <w:tcBorders>
              <w:top w:val="nil"/>
              <w:left w:val="double" w:sz="6" w:space="0" w:color="auto"/>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0,1271</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0,1376</w:t>
            </w:r>
          </w:p>
        </w:tc>
      </w:tr>
      <w:tr w:rsidR="00EB23ED" w:rsidRPr="004065CF" w:rsidTr="00D40571">
        <w:trPr>
          <w:cantSplit/>
        </w:trPr>
        <w:tc>
          <w:tcPr>
            <w:tcW w:w="1135" w:type="dxa"/>
            <w:vMerge/>
            <w:tcBorders>
              <w:top w:val="nil"/>
              <w:left w:val="single" w:sz="4" w:space="0" w:color="auto"/>
              <w:bottom w:val="single" w:sz="4" w:space="0" w:color="auto"/>
              <w:right w:val="single" w:sz="4" w:space="0" w:color="auto"/>
            </w:tcBorders>
            <w:vAlign w:val="center"/>
            <w:hideMark/>
          </w:tcPr>
          <w:p w:rsidR="004065CF" w:rsidRPr="00EB23ED" w:rsidRDefault="004065CF" w:rsidP="004065CF">
            <w:pPr>
              <w:spacing w:after="0"/>
              <w:jc w:val="center"/>
              <w:rPr>
                <w:rFonts w:eastAsia="Times New Roman" w:cs="Arial"/>
                <w:b/>
                <w:color w:val="000000"/>
                <w:sz w:val="16"/>
                <w:szCs w:val="16"/>
                <w:lang w:eastAsia="pt-BR"/>
              </w:rPr>
            </w:pPr>
          </w:p>
        </w:tc>
        <w:tc>
          <w:tcPr>
            <w:tcW w:w="1677" w:type="dxa"/>
            <w:tcBorders>
              <w:top w:val="nil"/>
              <w:left w:val="nil"/>
              <w:bottom w:val="single" w:sz="4" w:space="0" w:color="auto"/>
              <w:right w:val="single" w:sz="4" w:space="0" w:color="auto"/>
            </w:tcBorders>
            <w:shd w:val="clear" w:color="000000" w:fill="C2D69A"/>
            <w:vAlign w:val="center"/>
            <w:hideMark/>
          </w:tcPr>
          <w:p w:rsidR="004065CF" w:rsidRPr="00933478" w:rsidRDefault="004065CF" w:rsidP="004065CF">
            <w:pPr>
              <w:spacing w:after="0"/>
              <w:jc w:val="left"/>
              <w:rPr>
                <w:rFonts w:eastAsia="Times New Roman" w:cs="Arial"/>
                <w:color w:val="000000"/>
                <w:sz w:val="16"/>
                <w:szCs w:val="16"/>
                <w:lang w:eastAsia="pt-BR"/>
              </w:rPr>
            </w:pPr>
            <w:r>
              <w:rPr>
                <w:rFonts w:eastAsia="Times New Roman" w:cs="Arial"/>
                <w:color w:val="000000"/>
                <w:sz w:val="16"/>
                <w:szCs w:val="16"/>
                <w:lang w:eastAsia="pt-BR"/>
              </w:rPr>
              <w:t xml:space="preserve">Vegetação de </w:t>
            </w:r>
            <w:r w:rsidRPr="00933478">
              <w:rPr>
                <w:rFonts w:eastAsia="Times New Roman" w:cs="Arial"/>
                <w:color w:val="000000"/>
                <w:sz w:val="16"/>
                <w:szCs w:val="16"/>
                <w:lang w:eastAsia="pt-BR"/>
              </w:rPr>
              <w:t>Várzea</w:t>
            </w:r>
            <w:r>
              <w:rPr>
                <w:rFonts w:eastAsia="Times New Roman" w:cs="Arial"/>
                <w:color w:val="000000"/>
                <w:sz w:val="16"/>
                <w:szCs w:val="16"/>
                <w:lang w:eastAsia="pt-BR"/>
              </w:rPr>
              <w:t xml:space="preserve"> </w:t>
            </w:r>
            <w:r w:rsidRPr="00933478">
              <w:rPr>
                <w:rFonts w:eastAsia="Times New Roman" w:cs="Arial"/>
                <w:color w:val="000000"/>
                <w:sz w:val="16"/>
                <w:szCs w:val="16"/>
                <w:lang w:eastAsia="pt-BR"/>
              </w:rPr>
              <w:t>/ Brejo</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0,0182</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 </w:t>
            </w:r>
            <w:r>
              <w:rPr>
                <w:rFonts w:eastAsia="Times New Roman" w:cs="Arial"/>
                <w:color w:val="000000"/>
                <w:sz w:val="16"/>
                <w:szCs w:val="16"/>
                <w:lang w:eastAsia="pt-BR"/>
              </w:rPr>
              <w:t>-</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0,1728</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 </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Pr>
                <w:rFonts w:eastAsia="Times New Roman" w:cs="Arial"/>
                <w:color w:val="000000"/>
                <w:sz w:val="16"/>
                <w:szCs w:val="16"/>
                <w:lang w:eastAsia="pt-BR"/>
              </w:rPr>
              <w:t>-</w:t>
            </w:r>
            <w:r w:rsidRPr="004065CF">
              <w:rPr>
                <w:rFonts w:eastAsia="Times New Roman" w:cs="Arial"/>
                <w:color w:val="000000"/>
                <w:sz w:val="16"/>
                <w:szCs w:val="16"/>
                <w:lang w:eastAsia="pt-BR"/>
              </w:rPr>
              <w:t> </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Pr>
                <w:rFonts w:eastAsia="Times New Roman" w:cs="Arial"/>
                <w:color w:val="000000"/>
                <w:sz w:val="16"/>
                <w:szCs w:val="16"/>
                <w:lang w:eastAsia="pt-BR"/>
              </w:rPr>
              <w:t>-</w:t>
            </w:r>
            <w:r w:rsidRPr="004065CF">
              <w:rPr>
                <w:rFonts w:eastAsia="Times New Roman" w:cs="Arial"/>
                <w:color w:val="000000"/>
                <w:sz w:val="16"/>
                <w:szCs w:val="16"/>
                <w:lang w:eastAsia="pt-BR"/>
              </w:rPr>
              <w:t> </w:t>
            </w:r>
          </w:p>
        </w:tc>
        <w:tc>
          <w:tcPr>
            <w:tcW w:w="762" w:type="dxa"/>
            <w:tcBorders>
              <w:top w:val="nil"/>
              <w:left w:val="nil"/>
              <w:bottom w:val="single" w:sz="4" w:space="0" w:color="auto"/>
              <w:right w:val="nil"/>
            </w:tcBorders>
            <w:shd w:val="clear" w:color="000000" w:fill="C2D69A"/>
            <w:vAlign w:val="center"/>
            <w:hideMark/>
          </w:tcPr>
          <w:p w:rsidR="004065CF" w:rsidRPr="004065CF" w:rsidRDefault="004065CF" w:rsidP="004065CF">
            <w:pPr>
              <w:spacing w:after="0"/>
              <w:jc w:val="center"/>
              <w:rPr>
                <w:rFonts w:eastAsia="Times New Roman" w:cs="Arial"/>
                <w:b/>
                <w:color w:val="000000"/>
                <w:sz w:val="16"/>
                <w:szCs w:val="16"/>
                <w:lang w:eastAsia="pt-BR"/>
              </w:rPr>
            </w:pPr>
            <w:r w:rsidRPr="004065CF">
              <w:rPr>
                <w:rFonts w:eastAsia="Times New Roman" w:cs="Arial"/>
                <w:b/>
                <w:color w:val="000000"/>
                <w:sz w:val="16"/>
                <w:szCs w:val="16"/>
                <w:lang w:eastAsia="pt-BR"/>
              </w:rPr>
              <w:t>0,1910</w:t>
            </w:r>
          </w:p>
        </w:tc>
        <w:tc>
          <w:tcPr>
            <w:tcW w:w="758" w:type="dxa"/>
            <w:tcBorders>
              <w:top w:val="nil"/>
              <w:left w:val="double" w:sz="6" w:space="0" w:color="auto"/>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0,1910</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 </w:t>
            </w:r>
            <w:r>
              <w:rPr>
                <w:rFonts w:eastAsia="Times New Roman" w:cs="Arial"/>
                <w:color w:val="000000"/>
                <w:sz w:val="16"/>
                <w:szCs w:val="16"/>
                <w:lang w:eastAsia="pt-BR"/>
              </w:rPr>
              <w:t>-</w:t>
            </w:r>
          </w:p>
        </w:tc>
      </w:tr>
      <w:tr w:rsidR="00EB23ED" w:rsidRPr="004065CF" w:rsidTr="00D40571">
        <w:trPr>
          <w:cantSplit/>
        </w:trPr>
        <w:tc>
          <w:tcPr>
            <w:tcW w:w="1135" w:type="dxa"/>
            <w:vMerge/>
            <w:tcBorders>
              <w:top w:val="nil"/>
              <w:left w:val="single" w:sz="4" w:space="0" w:color="auto"/>
              <w:bottom w:val="single" w:sz="4" w:space="0" w:color="auto"/>
              <w:right w:val="single" w:sz="4" w:space="0" w:color="auto"/>
            </w:tcBorders>
            <w:vAlign w:val="center"/>
            <w:hideMark/>
          </w:tcPr>
          <w:p w:rsidR="004065CF" w:rsidRPr="00EB23ED" w:rsidRDefault="004065CF" w:rsidP="004065CF">
            <w:pPr>
              <w:spacing w:after="0"/>
              <w:jc w:val="center"/>
              <w:rPr>
                <w:rFonts w:eastAsia="Times New Roman" w:cs="Arial"/>
                <w:b/>
                <w:color w:val="000000"/>
                <w:sz w:val="16"/>
                <w:szCs w:val="16"/>
                <w:lang w:eastAsia="pt-BR"/>
              </w:rPr>
            </w:pPr>
          </w:p>
        </w:tc>
        <w:tc>
          <w:tcPr>
            <w:tcW w:w="1677"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right"/>
              <w:rPr>
                <w:rFonts w:eastAsia="Times New Roman" w:cs="Arial"/>
                <w:b/>
                <w:bCs/>
                <w:color w:val="000000"/>
                <w:sz w:val="16"/>
                <w:szCs w:val="16"/>
                <w:lang w:eastAsia="pt-BR"/>
              </w:rPr>
            </w:pPr>
            <w:r w:rsidRPr="004065CF">
              <w:rPr>
                <w:rFonts w:eastAsia="Times New Roman" w:cs="Arial"/>
                <w:b/>
                <w:bCs/>
                <w:color w:val="000000"/>
                <w:sz w:val="16"/>
                <w:szCs w:val="16"/>
                <w:lang w:eastAsia="pt-BR"/>
              </w:rPr>
              <w:t>Subtotal</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0,2790</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0,1173</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0,4863</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0,4526</w:t>
            </w:r>
          </w:p>
        </w:tc>
        <w:tc>
          <w:tcPr>
            <w:tcW w:w="75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0,3044</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 </w:t>
            </w:r>
          </w:p>
        </w:tc>
        <w:tc>
          <w:tcPr>
            <w:tcW w:w="762" w:type="dxa"/>
            <w:tcBorders>
              <w:top w:val="nil"/>
              <w:left w:val="nil"/>
              <w:bottom w:val="single" w:sz="4" w:space="0" w:color="auto"/>
              <w:right w:val="nil"/>
            </w:tcBorders>
            <w:shd w:val="clear" w:color="000000" w:fill="C2D69A"/>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1,6396</w:t>
            </w:r>
          </w:p>
        </w:tc>
        <w:tc>
          <w:tcPr>
            <w:tcW w:w="758" w:type="dxa"/>
            <w:tcBorders>
              <w:top w:val="nil"/>
              <w:left w:val="double" w:sz="6" w:space="0" w:color="auto"/>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1,0697</w:t>
            </w:r>
          </w:p>
        </w:tc>
        <w:tc>
          <w:tcPr>
            <w:tcW w:w="708" w:type="dxa"/>
            <w:tcBorders>
              <w:top w:val="nil"/>
              <w:left w:val="nil"/>
              <w:bottom w:val="single" w:sz="4" w:space="0" w:color="auto"/>
              <w:right w:val="single" w:sz="4" w:space="0" w:color="auto"/>
            </w:tcBorders>
            <w:shd w:val="clear" w:color="000000" w:fill="C2D69A"/>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0,5698</w:t>
            </w:r>
          </w:p>
        </w:tc>
      </w:tr>
      <w:tr w:rsidR="00EB23ED" w:rsidRPr="004065CF" w:rsidTr="00D40571">
        <w:trPr>
          <w:cantSplit/>
        </w:trPr>
        <w:tc>
          <w:tcPr>
            <w:tcW w:w="1135" w:type="dxa"/>
            <w:vMerge w:val="restart"/>
            <w:tcBorders>
              <w:top w:val="nil"/>
              <w:left w:val="single" w:sz="4" w:space="0" w:color="auto"/>
              <w:bottom w:val="single" w:sz="4" w:space="0" w:color="auto"/>
              <w:right w:val="single" w:sz="4" w:space="0" w:color="auto"/>
            </w:tcBorders>
            <w:shd w:val="clear" w:color="000000" w:fill="EAF1DD"/>
            <w:vAlign w:val="center"/>
            <w:hideMark/>
          </w:tcPr>
          <w:p w:rsidR="004065CF" w:rsidRPr="00EB23ED" w:rsidRDefault="004065CF" w:rsidP="00EB23ED">
            <w:pPr>
              <w:spacing w:after="0"/>
              <w:jc w:val="center"/>
              <w:rPr>
                <w:rFonts w:eastAsia="Times New Roman" w:cs="Arial"/>
                <w:b/>
                <w:color w:val="000000"/>
                <w:sz w:val="16"/>
                <w:szCs w:val="16"/>
                <w:lang w:eastAsia="pt-BR"/>
              </w:rPr>
            </w:pPr>
            <w:r w:rsidRPr="00EB23ED">
              <w:rPr>
                <w:rFonts w:eastAsia="Times New Roman" w:cs="Arial"/>
                <w:b/>
                <w:color w:val="000000"/>
                <w:sz w:val="16"/>
                <w:szCs w:val="16"/>
                <w:lang w:eastAsia="pt-BR"/>
              </w:rPr>
              <w:t>Vegetação Antr</w:t>
            </w:r>
            <w:r w:rsidR="00EB23ED" w:rsidRPr="00EB23ED">
              <w:rPr>
                <w:rFonts w:eastAsia="Times New Roman" w:cs="Arial"/>
                <w:b/>
                <w:color w:val="000000"/>
                <w:sz w:val="16"/>
                <w:szCs w:val="16"/>
                <w:lang w:eastAsia="pt-BR"/>
              </w:rPr>
              <w:t>opizada</w:t>
            </w:r>
          </w:p>
        </w:tc>
        <w:tc>
          <w:tcPr>
            <w:tcW w:w="1677"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left"/>
              <w:rPr>
                <w:rFonts w:eastAsia="Times New Roman" w:cs="Arial"/>
                <w:color w:val="000000"/>
                <w:sz w:val="16"/>
                <w:szCs w:val="16"/>
                <w:lang w:eastAsia="pt-BR"/>
              </w:rPr>
            </w:pPr>
            <w:r w:rsidRPr="004065CF">
              <w:rPr>
                <w:rFonts w:eastAsia="Times New Roman" w:cs="Arial"/>
                <w:color w:val="000000"/>
                <w:sz w:val="16"/>
                <w:szCs w:val="16"/>
                <w:lang w:eastAsia="pt-BR"/>
              </w:rPr>
              <w:t>Veg. Antropizada</w:t>
            </w:r>
          </w:p>
        </w:tc>
        <w:tc>
          <w:tcPr>
            <w:tcW w:w="75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 </w:t>
            </w:r>
            <w:r w:rsidR="004E36F2">
              <w:rPr>
                <w:rFonts w:eastAsia="Times New Roman" w:cs="Arial"/>
                <w:color w:val="000000"/>
                <w:sz w:val="16"/>
                <w:szCs w:val="16"/>
                <w:lang w:eastAsia="pt-BR"/>
              </w:rPr>
              <w:t>-</w:t>
            </w:r>
          </w:p>
        </w:tc>
        <w:tc>
          <w:tcPr>
            <w:tcW w:w="70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 </w:t>
            </w:r>
            <w:r w:rsidR="004E36F2">
              <w:rPr>
                <w:rFonts w:eastAsia="Times New Roman" w:cs="Arial"/>
                <w:color w:val="000000"/>
                <w:sz w:val="16"/>
                <w:szCs w:val="16"/>
                <w:lang w:eastAsia="pt-BR"/>
              </w:rPr>
              <w:t>-</w:t>
            </w:r>
          </w:p>
        </w:tc>
        <w:tc>
          <w:tcPr>
            <w:tcW w:w="75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0,1894</w:t>
            </w:r>
          </w:p>
        </w:tc>
        <w:tc>
          <w:tcPr>
            <w:tcW w:w="70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0,8124</w:t>
            </w:r>
          </w:p>
        </w:tc>
        <w:tc>
          <w:tcPr>
            <w:tcW w:w="75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 </w:t>
            </w:r>
          </w:p>
        </w:tc>
        <w:tc>
          <w:tcPr>
            <w:tcW w:w="708" w:type="dxa"/>
            <w:tcBorders>
              <w:top w:val="nil"/>
              <w:left w:val="nil"/>
              <w:bottom w:val="single" w:sz="4" w:space="0" w:color="auto"/>
              <w:right w:val="single" w:sz="4" w:space="0" w:color="auto"/>
            </w:tcBorders>
            <w:shd w:val="clear" w:color="000000" w:fill="EAF1DD"/>
            <w:vAlign w:val="center"/>
            <w:hideMark/>
          </w:tcPr>
          <w:p w:rsidR="004065CF" w:rsidRPr="004065CF" w:rsidRDefault="004E36F2" w:rsidP="004065CF">
            <w:pPr>
              <w:spacing w:after="0"/>
              <w:jc w:val="center"/>
              <w:rPr>
                <w:rFonts w:eastAsia="Times New Roman" w:cs="Arial"/>
                <w:color w:val="000000"/>
                <w:sz w:val="16"/>
                <w:szCs w:val="16"/>
                <w:lang w:eastAsia="pt-BR"/>
              </w:rPr>
            </w:pPr>
            <w:r>
              <w:rPr>
                <w:rFonts w:eastAsia="Times New Roman" w:cs="Arial"/>
                <w:color w:val="000000"/>
                <w:sz w:val="16"/>
                <w:szCs w:val="16"/>
                <w:lang w:eastAsia="pt-BR"/>
              </w:rPr>
              <w:t>-</w:t>
            </w:r>
            <w:r w:rsidR="004065CF" w:rsidRPr="004065CF">
              <w:rPr>
                <w:rFonts w:eastAsia="Times New Roman" w:cs="Arial"/>
                <w:color w:val="000000"/>
                <w:sz w:val="16"/>
                <w:szCs w:val="16"/>
                <w:lang w:eastAsia="pt-BR"/>
              </w:rPr>
              <w:t> </w:t>
            </w:r>
          </w:p>
        </w:tc>
        <w:tc>
          <w:tcPr>
            <w:tcW w:w="762" w:type="dxa"/>
            <w:tcBorders>
              <w:top w:val="nil"/>
              <w:left w:val="nil"/>
              <w:bottom w:val="single" w:sz="4" w:space="0" w:color="auto"/>
              <w:right w:val="nil"/>
            </w:tcBorders>
            <w:shd w:val="clear" w:color="000000" w:fill="EAF1DD"/>
            <w:vAlign w:val="center"/>
            <w:hideMark/>
          </w:tcPr>
          <w:p w:rsidR="004065CF" w:rsidRPr="004065CF" w:rsidRDefault="004065CF" w:rsidP="004065CF">
            <w:pPr>
              <w:spacing w:after="0"/>
              <w:jc w:val="center"/>
              <w:rPr>
                <w:rFonts w:eastAsia="Times New Roman" w:cs="Arial"/>
                <w:b/>
                <w:color w:val="000000"/>
                <w:sz w:val="16"/>
                <w:szCs w:val="16"/>
                <w:lang w:eastAsia="pt-BR"/>
              </w:rPr>
            </w:pPr>
            <w:r w:rsidRPr="004065CF">
              <w:rPr>
                <w:rFonts w:eastAsia="Times New Roman" w:cs="Arial"/>
                <w:b/>
                <w:color w:val="000000"/>
                <w:sz w:val="16"/>
                <w:szCs w:val="16"/>
                <w:lang w:eastAsia="pt-BR"/>
              </w:rPr>
              <w:t>1,0018</w:t>
            </w:r>
          </w:p>
        </w:tc>
        <w:tc>
          <w:tcPr>
            <w:tcW w:w="758" w:type="dxa"/>
            <w:tcBorders>
              <w:top w:val="nil"/>
              <w:left w:val="double" w:sz="6" w:space="0" w:color="auto"/>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0,1894</w:t>
            </w:r>
          </w:p>
        </w:tc>
        <w:tc>
          <w:tcPr>
            <w:tcW w:w="70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0,8124</w:t>
            </w:r>
          </w:p>
        </w:tc>
      </w:tr>
      <w:tr w:rsidR="00EB23ED" w:rsidRPr="004065CF" w:rsidTr="00D40571">
        <w:trPr>
          <w:cantSplit/>
        </w:trPr>
        <w:tc>
          <w:tcPr>
            <w:tcW w:w="1135" w:type="dxa"/>
            <w:vMerge/>
            <w:tcBorders>
              <w:top w:val="nil"/>
              <w:left w:val="single" w:sz="4" w:space="0" w:color="auto"/>
              <w:bottom w:val="single" w:sz="4" w:space="0" w:color="auto"/>
              <w:right w:val="single" w:sz="4" w:space="0" w:color="auto"/>
            </w:tcBorders>
            <w:shd w:val="clear" w:color="000000" w:fill="EAF1DD"/>
            <w:vAlign w:val="center"/>
            <w:hideMark/>
          </w:tcPr>
          <w:p w:rsidR="004E36F2" w:rsidRPr="00EB23ED" w:rsidRDefault="004E36F2" w:rsidP="004065CF">
            <w:pPr>
              <w:spacing w:after="0"/>
              <w:jc w:val="center"/>
              <w:rPr>
                <w:rFonts w:eastAsia="Times New Roman" w:cs="Arial"/>
                <w:b/>
                <w:color w:val="000000"/>
                <w:sz w:val="16"/>
                <w:szCs w:val="16"/>
                <w:lang w:eastAsia="pt-BR"/>
              </w:rPr>
            </w:pPr>
          </w:p>
        </w:tc>
        <w:tc>
          <w:tcPr>
            <w:tcW w:w="1677" w:type="dxa"/>
            <w:tcBorders>
              <w:top w:val="nil"/>
              <w:left w:val="nil"/>
              <w:bottom w:val="single" w:sz="4" w:space="0" w:color="auto"/>
              <w:right w:val="single" w:sz="4" w:space="0" w:color="auto"/>
            </w:tcBorders>
            <w:shd w:val="clear" w:color="000000" w:fill="EAF1DD"/>
            <w:vAlign w:val="center"/>
            <w:hideMark/>
          </w:tcPr>
          <w:p w:rsidR="004E36F2" w:rsidRPr="004065CF" w:rsidRDefault="004E36F2" w:rsidP="00D40571">
            <w:pPr>
              <w:spacing w:after="0"/>
              <w:jc w:val="left"/>
              <w:rPr>
                <w:rFonts w:eastAsia="Times New Roman" w:cs="Arial"/>
                <w:color w:val="000000"/>
                <w:sz w:val="16"/>
                <w:szCs w:val="16"/>
                <w:lang w:eastAsia="pt-BR"/>
              </w:rPr>
            </w:pPr>
            <w:r w:rsidRPr="004065CF">
              <w:rPr>
                <w:rFonts w:eastAsia="Times New Roman" w:cs="Arial"/>
                <w:color w:val="000000"/>
                <w:sz w:val="16"/>
                <w:szCs w:val="16"/>
                <w:lang w:eastAsia="pt-BR"/>
              </w:rPr>
              <w:t>Campo Antrópico</w:t>
            </w:r>
          </w:p>
        </w:tc>
        <w:tc>
          <w:tcPr>
            <w:tcW w:w="758" w:type="dxa"/>
            <w:tcBorders>
              <w:top w:val="nil"/>
              <w:left w:val="nil"/>
              <w:bottom w:val="single" w:sz="4" w:space="0" w:color="auto"/>
              <w:right w:val="single" w:sz="4" w:space="0" w:color="auto"/>
            </w:tcBorders>
            <w:shd w:val="clear" w:color="000000" w:fill="EAF1DD"/>
            <w:vAlign w:val="center"/>
            <w:hideMark/>
          </w:tcPr>
          <w:p w:rsidR="004E36F2" w:rsidRPr="004065CF" w:rsidRDefault="004E36F2" w:rsidP="00D40571">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0,2769</w:t>
            </w:r>
          </w:p>
        </w:tc>
        <w:tc>
          <w:tcPr>
            <w:tcW w:w="708" w:type="dxa"/>
            <w:tcBorders>
              <w:top w:val="nil"/>
              <w:left w:val="nil"/>
              <w:bottom w:val="single" w:sz="4" w:space="0" w:color="auto"/>
              <w:right w:val="single" w:sz="4" w:space="0" w:color="auto"/>
            </w:tcBorders>
            <w:shd w:val="clear" w:color="000000" w:fill="EAF1DD"/>
            <w:vAlign w:val="center"/>
            <w:hideMark/>
          </w:tcPr>
          <w:p w:rsidR="004E36F2" w:rsidRPr="004065CF" w:rsidRDefault="004E36F2" w:rsidP="00D40571">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0,3344</w:t>
            </w:r>
          </w:p>
        </w:tc>
        <w:tc>
          <w:tcPr>
            <w:tcW w:w="758" w:type="dxa"/>
            <w:tcBorders>
              <w:top w:val="nil"/>
              <w:left w:val="nil"/>
              <w:bottom w:val="single" w:sz="4" w:space="0" w:color="auto"/>
              <w:right w:val="single" w:sz="4" w:space="0" w:color="auto"/>
            </w:tcBorders>
            <w:shd w:val="clear" w:color="000000" w:fill="EAF1DD"/>
            <w:vAlign w:val="center"/>
            <w:hideMark/>
          </w:tcPr>
          <w:p w:rsidR="004E36F2" w:rsidRPr="004065CF" w:rsidRDefault="004E36F2" w:rsidP="00D40571">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1,0708</w:t>
            </w:r>
          </w:p>
        </w:tc>
        <w:tc>
          <w:tcPr>
            <w:tcW w:w="708" w:type="dxa"/>
            <w:tcBorders>
              <w:top w:val="nil"/>
              <w:left w:val="nil"/>
              <w:bottom w:val="single" w:sz="4" w:space="0" w:color="auto"/>
              <w:right w:val="single" w:sz="4" w:space="0" w:color="auto"/>
            </w:tcBorders>
            <w:shd w:val="clear" w:color="000000" w:fill="EAF1DD"/>
            <w:vAlign w:val="center"/>
            <w:hideMark/>
          </w:tcPr>
          <w:p w:rsidR="004E36F2" w:rsidRPr="004065CF" w:rsidRDefault="004E36F2" w:rsidP="00D40571">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2,6068</w:t>
            </w:r>
          </w:p>
        </w:tc>
        <w:tc>
          <w:tcPr>
            <w:tcW w:w="758" w:type="dxa"/>
            <w:tcBorders>
              <w:top w:val="nil"/>
              <w:left w:val="nil"/>
              <w:bottom w:val="single" w:sz="4" w:space="0" w:color="auto"/>
              <w:right w:val="single" w:sz="4" w:space="0" w:color="auto"/>
            </w:tcBorders>
            <w:shd w:val="clear" w:color="000000" w:fill="EAF1DD"/>
            <w:vAlign w:val="center"/>
            <w:hideMark/>
          </w:tcPr>
          <w:p w:rsidR="004E36F2" w:rsidRPr="004065CF" w:rsidRDefault="004E36F2" w:rsidP="00D40571">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0,4118</w:t>
            </w:r>
          </w:p>
        </w:tc>
        <w:tc>
          <w:tcPr>
            <w:tcW w:w="708" w:type="dxa"/>
            <w:tcBorders>
              <w:top w:val="nil"/>
              <w:left w:val="nil"/>
              <w:bottom w:val="single" w:sz="4" w:space="0" w:color="auto"/>
              <w:right w:val="single" w:sz="4" w:space="0" w:color="auto"/>
            </w:tcBorders>
            <w:shd w:val="clear" w:color="000000" w:fill="EAF1DD"/>
            <w:vAlign w:val="center"/>
            <w:hideMark/>
          </w:tcPr>
          <w:p w:rsidR="004E36F2" w:rsidRPr="004065CF" w:rsidRDefault="004E36F2" w:rsidP="00D40571">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0,1801</w:t>
            </w:r>
          </w:p>
        </w:tc>
        <w:tc>
          <w:tcPr>
            <w:tcW w:w="762" w:type="dxa"/>
            <w:tcBorders>
              <w:top w:val="nil"/>
              <w:left w:val="nil"/>
              <w:bottom w:val="single" w:sz="4" w:space="0" w:color="auto"/>
              <w:right w:val="nil"/>
            </w:tcBorders>
            <w:shd w:val="clear" w:color="000000" w:fill="EAF1DD"/>
            <w:vAlign w:val="center"/>
            <w:hideMark/>
          </w:tcPr>
          <w:p w:rsidR="004E36F2" w:rsidRPr="004065CF" w:rsidRDefault="004E36F2" w:rsidP="00D40571">
            <w:pPr>
              <w:spacing w:after="0"/>
              <w:jc w:val="center"/>
              <w:rPr>
                <w:rFonts w:eastAsia="Times New Roman" w:cs="Arial"/>
                <w:b/>
                <w:color w:val="000000"/>
                <w:sz w:val="16"/>
                <w:szCs w:val="16"/>
                <w:lang w:eastAsia="pt-BR"/>
              </w:rPr>
            </w:pPr>
            <w:r w:rsidRPr="004065CF">
              <w:rPr>
                <w:rFonts w:eastAsia="Times New Roman" w:cs="Arial"/>
                <w:b/>
                <w:color w:val="000000"/>
                <w:sz w:val="16"/>
                <w:szCs w:val="16"/>
                <w:lang w:eastAsia="pt-BR"/>
              </w:rPr>
              <w:t>4,8809</w:t>
            </w:r>
          </w:p>
        </w:tc>
        <w:tc>
          <w:tcPr>
            <w:tcW w:w="758" w:type="dxa"/>
            <w:tcBorders>
              <w:top w:val="nil"/>
              <w:left w:val="double" w:sz="6" w:space="0" w:color="auto"/>
              <w:bottom w:val="single" w:sz="4" w:space="0" w:color="auto"/>
              <w:right w:val="single" w:sz="4" w:space="0" w:color="auto"/>
            </w:tcBorders>
            <w:shd w:val="clear" w:color="000000" w:fill="EAF1DD"/>
            <w:vAlign w:val="center"/>
            <w:hideMark/>
          </w:tcPr>
          <w:p w:rsidR="004E36F2" w:rsidRPr="004065CF" w:rsidRDefault="004E36F2" w:rsidP="00D40571">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1,7596</w:t>
            </w:r>
          </w:p>
        </w:tc>
        <w:tc>
          <w:tcPr>
            <w:tcW w:w="708" w:type="dxa"/>
            <w:tcBorders>
              <w:top w:val="nil"/>
              <w:left w:val="nil"/>
              <w:bottom w:val="single" w:sz="4" w:space="0" w:color="auto"/>
              <w:right w:val="single" w:sz="4" w:space="0" w:color="auto"/>
            </w:tcBorders>
            <w:shd w:val="clear" w:color="000000" w:fill="EAF1DD"/>
            <w:vAlign w:val="center"/>
            <w:hideMark/>
          </w:tcPr>
          <w:p w:rsidR="004E36F2" w:rsidRPr="004065CF" w:rsidRDefault="004E36F2" w:rsidP="00D40571">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3,1213</w:t>
            </w:r>
          </w:p>
        </w:tc>
      </w:tr>
      <w:tr w:rsidR="00EB23ED" w:rsidRPr="004065CF" w:rsidTr="00D40571">
        <w:trPr>
          <w:cantSplit/>
        </w:trPr>
        <w:tc>
          <w:tcPr>
            <w:tcW w:w="1135" w:type="dxa"/>
            <w:vMerge/>
            <w:tcBorders>
              <w:top w:val="nil"/>
              <w:left w:val="single" w:sz="4" w:space="0" w:color="auto"/>
              <w:bottom w:val="single" w:sz="4" w:space="0" w:color="auto"/>
              <w:right w:val="single" w:sz="4" w:space="0" w:color="auto"/>
            </w:tcBorders>
            <w:vAlign w:val="center"/>
            <w:hideMark/>
          </w:tcPr>
          <w:p w:rsidR="004065CF" w:rsidRPr="00EB23ED" w:rsidRDefault="004065CF" w:rsidP="004065CF">
            <w:pPr>
              <w:spacing w:after="0"/>
              <w:jc w:val="center"/>
              <w:rPr>
                <w:rFonts w:eastAsia="Times New Roman" w:cs="Arial"/>
                <w:b/>
                <w:color w:val="000000"/>
                <w:sz w:val="16"/>
                <w:szCs w:val="16"/>
                <w:lang w:eastAsia="pt-BR"/>
              </w:rPr>
            </w:pPr>
          </w:p>
        </w:tc>
        <w:tc>
          <w:tcPr>
            <w:tcW w:w="1677"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left"/>
              <w:rPr>
                <w:rFonts w:eastAsia="Times New Roman" w:cs="Arial"/>
                <w:color w:val="000000"/>
                <w:sz w:val="16"/>
                <w:szCs w:val="16"/>
                <w:lang w:eastAsia="pt-BR"/>
              </w:rPr>
            </w:pPr>
            <w:r w:rsidRPr="004065CF">
              <w:rPr>
                <w:rFonts w:eastAsia="Times New Roman" w:cs="Arial"/>
                <w:color w:val="000000"/>
                <w:sz w:val="16"/>
                <w:szCs w:val="16"/>
                <w:lang w:eastAsia="pt-BR"/>
              </w:rPr>
              <w:t>Reflorestamento</w:t>
            </w:r>
          </w:p>
        </w:tc>
        <w:tc>
          <w:tcPr>
            <w:tcW w:w="75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0,2297</w:t>
            </w:r>
          </w:p>
        </w:tc>
        <w:tc>
          <w:tcPr>
            <w:tcW w:w="70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1,0308</w:t>
            </w:r>
          </w:p>
        </w:tc>
        <w:tc>
          <w:tcPr>
            <w:tcW w:w="75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0,2511</w:t>
            </w:r>
          </w:p>
        </w:tc>
        <w:tc>
          <w:tcPr>
            <w:tcW w:w="70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3,5156</w:t>
            </w:r>
          </w:p>
        </w:tc>
        <w:tc>
          <w:tcPr>
            <w:tcW w:w="75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0,0192</w:t>
            </w:r>
          </w:p>
        </w:tc>
        <w:tc>
          <w:tcPr>
            <w:tcW w:w="70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 </w:t>
            </w:r>
            <w:r w:rsidR="004E36F2">
              <w:rPr>
                <w:rFonts w:eastAsia="Times New Roman" w:cs="Arial"/>
                <w:color w:val="000000"/>
                <w:sz w:val="16"/>
                <w:szCs w:val="16"/>
                <w:lang w:eastAsia="pt-BR"/>
              </w:rPr>
              <w:t>-</w:t>
            </w:r>
          </w:p>
        </w:tc>
        <w:tc>
          <w:tcPr>
            <w:tcW w:w="762" w:type="dxa"/>
            <w:tcBorders>
              <w:top w:val="nil"/>
              <w:left w:val="nil"/>
              <w:bottom w:val="single" w:sz="4" w:space="0" w:color="auto"/>
              <w:right w:val="nil"/>
            </w:tcBorders>
            <w:shd w:val="clear" w:color="000000" w:fill="EAF1DD"/>
            <w:vAlign w:val="center"/>
            <w:hideMark/>
          </w:tcPr>
          <w:p w:rsidR="004065CF" w:rsidRPr="004065CF" w:rsidRDefault="004065CF" w:rsidP="004065CF">
            <w:pPr>
              <w:spacing w:after="0"/>
              <w:jc w:val="center"/>
              <w:rPr>
                <w:rFonts w:eastAsia="Times New Roman" w:cs="Arial"/>
                <w:b/>
                <w:color w:val="000000"/>
                <w:sz w:val="16"/>
                <w:szCs w:val="16"/>
                <w:lang w:eastAsia="pt-BR"/>
              </w:rPr>
            </w:pPr>
            <w:r w:rsidRPr="004065CF">
              <w:rPr>
                <w:rFonts w:eastAsia="Times New Roman" w:cs="Arial"/>
                <w:b/>
                <w:color w:val="000000"/>
                <w:sz w:val="16"/>
                <w:szCs w:val="16"/>
                <w:lang w:eastAsia="pt-BR"/>
              </w:rPr>
              <w:t>5,0464</w:t>
            </w:r>
          </w:p>
        </w:tc>
        <w:tc>
          <w:tcPr>
            <w:tcW w:w="758" w:type="dxa"/>
            <w:tcBorders>
              <w:top w:val="nil"/>
              <w:left w:val="double" w:sz="6" w:space="0" w:color="auto"/>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0,5000</w:t>
            </w:r>
          </w:p>
        </w:tc>
        <w:tc>
          <w:tcPr>
            <w:tcW w:w="70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4,5464</w:t>
            </w:r>
          </w:p>
        </w:tc>
      </w:tr>
      <w:tr w:rsidR="00EB23ED" w:rsidRPr="004065CF" w:rsidTr="00D40571">
        <w:trPr>
          <w:cantSplit/>
        </w:trPr>
        <w:tc>
          <w:tcPr>
            <w:tcW w:w="1135" w:type="dxa"/>
            <w:vMerge/>
            <w:tcBorders>
              <w:top w:val="nil"/>
              <w:left w:val="single" w:sz="4" w:space="0" w:color="auto"/>
              <w:bottom w:val="single" w:sz="4" w:space="0" w:color="auto"/>
              <w:right w:val="single" w:sz="4" w:space="0" w:color="auto"/>
            </w:tcBorders>
            <w:vAlign w:val="center"/>
            <w:hideMark/>
          </w:tcPr>
          <w:p w:rsidR="004065CF" w:rsidRPr="00EB23ED" w:rsidRDefault="004065CF" w:rsidP="004065CF">
            <w:pPr>
              <w:spacing w:after="0"/>
              <w:jc w:val="center"/>
              <w:rPr>
                <w:rFonts w:eastAsia="Times New Roman" w:cs="Arial"/>
                <w:b/>
                <w:color w:val="000000"/>
                <w:sz w:val="16"/>
                <w:szCs w:val="16"/>
                <w:lang w:eastAsia="pt-BR"/>
              </w:rPr>
            </w:pPr>
          </w:p>
        </w:tc>
        <w:tc>
          <w:tcPr>
            <w:tcW w:w="1677"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left"/>
              <w:rPr>
                <w:rFonts w:eastAsia="Times New Roman" w:cs="Arial"/>
                <w:color w:val="000000"/>
                <w:sz w:val="16"/>
                <w:szCs w:val="16"/>
                <w:lang w:eastAsia="pt-BR"/>
              </w:rPr>
            </w:pPr>
            <w:r w:rsidRPr="004065CF">
              <w:rPr>
                <w:rFonts w:eastAsia="Times New Roman" w:cs="Arial"/>
                <w:color w:val="000000"/>
                <w:sz w:val="16"/>
                <w:szCs w:val="16"/>
                <w:lang w:eastAsia="pt-BR"/>
              </w:rPr>
              <w:t>Agrupamento / Cerca Viva</w:t>
            </w:r>
          </w:p>
        </w:tc>
        <w:tc>
          <w:tcPr>
            <w:tcW w:w="75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 </w:t>
            </w:r>
            <w:r w:rsidR="004E36F2">
              <w:rPr>
                <w:rFonts w:eastAsia="Times New Roman" w:cs="Arial"/>
                <w:color w:val="000000"/>
                <w:sz w:val="16"/>
                <w:szCs w:val="16"/>
                <w:lang w:eastAsia="pt-BR"/>
              </w:rPr>
              <w:t>-</w:t>
            </w:r>
          </w:p>
        </w:tc>
        <w:tc>
          <w:tcPr>
            <w:tcW w:w="70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0,0059</w:t>
            </w:r>
          </w:p>
        </w:tc>
        <w:tc>
          <w:tcPr>
            <w:tcW w:w="75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0,1303</w:t>
            </w:r>
          </w:p>
        </w:tc>
        <w:tc>
          <w:tcPr>
            <w:tcW w:w="70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0,2419</w:t>
            </w:r>
          </w:p>
        </w:tc>
        <w:tc>
          <w:tcPr>
            <w:tcW w:w="75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0,0047</w:t>
            </w:r>
          </w:p>
        </w:tc>
        <w:tc>
          <w:tcPr>
            <w:tcW w:w="70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0,0041</w:t>
            </w:r>
          </w:p>
        </w:tc>
        <w:tc>
          <w:tcPr>
            <w:tcW w:w="762" w:type="dxa"/>
            <w:tcBorders>
              <w:top w:val="nil"/>
              <w:left w:val="nil"/>
              <w:bottom w:val="single" w:sz="4" w:space="0" w:color="auto"/>
              <w:right w:val="nil"/>
            </w:tcBorders>
            <w:shd w:val="clear" w:color="000000" w:fill="EAF1DD"/>
            <w:vAlign w:val="center"/>
            <w:hideMark/>
          </w:tcPr>
          <w:p w:rsidR="004065CF" w:rsidRPr="004065CF" w:rsidRDefault="004065CF" w:rsidP="004065CF">
            <w:pPr>
              <w:spacing w:after="0"/>
              <w:jc w:val="center"/>
              <w:rPr>
                <w:rFonts w:eastAsia="Times New Roman" w:cs="Arial"/>
                <w:b/>
                <w:color w:val="000000"/>
                <w:sz w:val="16"/>
                <w:szCs w:val="16"/>
                <w:lang w:eastAsia="pt-BR"/>
              </w:rPr>
            </w:pPr>
            <w:r w:rsidRPr="004065CF">
              <w:rPr>
                <w:rFonts w:eastAsia="Times New Roman" w:cs="Arial"/>
                <w:b/>
                <w:color w:val="000000"/>
                <w:sz w:val="16"/>
                <w:szCs w:val="16"/>
                <w:lang w:eastAsia="pt-BR"/>
              </w:rPr>
              <w:t>0,3868</w:t>
            </w:r>
          </w:p>
        </w:tc>
        <w:tc>
          <w:tcPr>
            <w:tcW w:w="758" w:type="dxa"/>
            <w:tcBorders>
              <w:top w:val="nil"/>
              <w:left w:val="double" w:sz="6" w:space="0" w:color="auto"/>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0,1350</w:t>
            </w:r>
          </w:p>
        </w:tc>
        <w:tc>
          <w:tcPr>
            <w:tcW w:w="70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0,2519</w:t>
            </w:r>
          </w:p>
        </w:tc>
      </w:tr>
      <w:tr w:rsidR="00EB23ED" w:rsidRPr="004065CF" w:rsidTr="00D40571">
        <w:trPr>
          <w:cantSplit/>
        </w:trPr>
        <w:tc>
          <w:tcPr>
            <w:tcW w:w="1135" w:type="dxa"/>
            <w:vMerge/>
            <w:tcBorders>
              <w:top w:val="nil"/>
              <w:left w:val="single" w:sz="4" w:space="0" w:color="auto"/>
              <w:bottom w:val="single" w:sz="4" w:space="0" w:color="auto"/>
              <w:right w:val="single" w:sz="4" w:space="0" w:color="auto"/>
            </w:tcBorders>
            <w:vAlign w:val="center"/>
            <w:hideMark/>
          </w:tcPr>
          <w:p w:rsidR="004065CF" w:rsidRPr="00EB23ED" w:rsidRDefault="004065CF" w:rsidP="004065CF">
            <w:pPr>
              <w:spacing w:after="0"/>
              <w:jc w:val="center"/>
              <w:rPr>
                <w:rFonts w:eastAsia="Times New Roman" w:cs="Arial"/>
                <w:b/>
                <w:color w:val="000000"/>
                <w:sz w:val="16"/>
                <w:szCs w:val="16"/>
                <w:lang w:eastAsia="pt-BR"/>
              </w:rPr>
            </w:pPr>
          </w:p>
        </w:tc>
        <w:tc>
          <w:tcPr>
            <w:tcW w:w="1677"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right"/>
              <w:rPr>
                <w:rFonts w:eastAsia="Times New Roman" w:cs="Arial"/>
                <w:b/>
                <w:bCs/>
                <w:color w:val="000000"/>
                <w:sz w:val="16"/>
                <w:szCs w:val="16"/>
                <w:lang w:eastAsia="pt-BR"/>
              </w:rPr>
            </w:pPr>
            <w:r w:rsidRPr="004065CF">
              <w:rPr>
                <w:rFonts w:eastAsia="Times New Roman" w:cs="Arial"/>
                <w:b/>
                <w:bCs/>
                <w:color w:val="000000"/>
                <w:sz w:val="16"/>
                <w:szCs w:val="16"/>
                <w:lang w:eastAsia="pt-BR"/>
              </w:rPr>
              <w:t>Subtotal</w:t>
            </w:r>
          </w:p>
        </w:tc>
        <w:tc>
          <w:tcPr>
            <w:tcW w:w="75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0,5066</w:t>
            </w:r>
          </w:p>
        </w:tc>
        <w:tc>
          <w:tcPr>
            <w:tcW w:w="70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1,3711</w:t>
            </w:r>
          </w:p>
        </w:tc>
        <w:tc>
          <w:tcPr>
            <w:tcW w:w="75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1,6416</w:t>
            </w:r>
          </w:p>
        </w:tc>
        <w:tc>
          <w:tcPr>
            <w:tcW w:w="70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7,1766</w:t>
            </w:r>
          </w:p>
        </w:tc>
        <w:tc>
          <w:tcPr>
            <w:tcW w:w="75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0,4357</w:t>
            </w:r>
          </w:p>
        </w:tc>
        <w:tc>
          <w:tcPr>
            <w:tcW w:w="70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0,1842</w:t>
            </w:r>
          </w:p>
        </w:tc>
        <w:tc>
          <w:tcPr>
            <w:tcW w:w="762" w:type="dxa"/>
            <w:tcBorders>
              <w:top w:val="nil"/>
              <w:left w:val="nil"/>
              <w:bottom w:val="single" w:sz="4" w:space="0" w:color="auto"/>
              <w:right w:val="nil"/>
            </w:tcBorders>
            <w:shd w:val="clear" w:color="000000" w:fill="EAF1DD"/>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11,3159</w:t>
            </w:r>
          </w:p>
        </w:tc>
        <w:tc>
          <w:tcPr>
            <w:tcW w:w="758" w:type="dxa"/>
            <w:tcBorders>
              <w:top w:val="nil"/>
              <w:left w:val="double" w:sz="6" w:space="0" w:color="auto"/>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2,5839</w:t>
            </w:r>
          </w:p>
        </w:tc>
        <w:tc>
          <w:tcPr>
            <w:tcW w:w="708" w:type="dxa"/>
            <w:tcBorders>
              <w:top w:val="nil"/>
              <w:left w:val="nil"/>
              <w:bottom w:val="single" w:sz="4" w:space="0" w:color="auto"/>
              <w:right w:val="single" w:sz="4" w:space="0" w:color="auto"/>
            </w:tcBorders>
            <w:shd w:val="clear" w:color="000000" w:fill="EAF1DD"/>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8,7320</w:t>
            </w:r>
          </w:p>
        </w:tc>
      </w:tr>
      <w:tr w:rsidR="00EB23ED" w:rsidRPr="004065CF" w:rsidTr="00D40571">
        <w:trPr>
          <w:cantSplit/>
        </w:trPr>
        <w:tc>
          <w:tcPr>
            <w:tcW w:w="2812" w:type="dxa"/>
            <w:gridSpan w:val="2"/>
            <w:tcBorders>
              <w:top w:val="single" w:sz="4" w:space="0" w:color="auto"/>
              <w:left w:val="single" w:sz="4" w:space="0" w:color="auto"/>
              <w:bottom w:val="single" w:sz="4" w:space="0" w:color="auto"/>
              <w:right w:val="single" w:sz="4" w:space="0" w:color="auto"/>
            </w:tcBorders>
            <w:shd w:val="clear" w:color="000000" w:fill="BFBFBF"/>
            <w:vAlign w:val="center"/>
            <w:hideMark/>
          </w:tcPr>
          <w:p w:rsidR="004065CF" w:rsidRPr="00EB23ED" w:rsidRDefault="004065CF" w:rsidP="00407873">
            <w:pPr>
              <w:spacing w:after="0"/>
              <w:jc w:val="center"/>
              <w:rPr>
                <w:rFonts w:eastAsia="Times New Roman" w:cs="Arial"/>
                <w:b/>
                <w:bCs/>
                <w:color w:val="000000"/>
                <w:sz w:val="16"/>
                <w:szCs w:val="16"/>
                <w:lang w:eastAsia="pt-BR"/>
              </w:rPr>
            </w:pPr>
            <w:r w:rsidRPr="00EB23ED">
              <w:rPr>
                <w:rFonts w:eastAsia="Times New Roman" w:cs="Arial"/>
                <w:b/>
                <w:bCs/>
                <w:color w:val="000000"/>
                <w:sz w:val="16"/>
                <w:szCs w:val="16"/>
                <w:lang w:eastAsia="pt-BR"/>
              </w:rPr>
              <w:t>Total Geral</w:t>
            </w:r>
            <w:r w:rsidR="00407873" w:rsidRPr="00EB23ED">
              <w:rPr>
                <w:rFonts w:eastAsia="Times New Roman" w:cs="Arial"/>
                <w:b/>
                <w:bCs/>
                <w:color w:val="000000"/>
                <w:sz w:val="16"/>
                <w:szCs w:val="16"/>
                <w:lang w:eastAsia="pt-BR"/>
              </w:rPr>
              <w:t xml:space="preserve"> – Sist. Hidráulico</w:t>
            </w:r>
          </w:p>
        </w:tc>
        <w:tc>
          <w:tcPr>
            <w:tcW w:w="758" w:type="dxa"/>
            <w:tcBorders>
              <w:top w:val="nil"/>
              <w:left w:val="nil"/>
              <w:bottom w:val="single" w:sz="4" w:space="0" w:color="auto"/>
              <w:right w:val="single" w:sz="4" w:space="0" w:color="auto"/>
            </w:tcBorders>
            <w:shd w:val="clear" w:color="000000" w:fill="BFBFBF"/>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0,7856</w:t>
            </w:r>
          </w:p>
        </w:tc>
        <w:tc>
          <w:tcPr>
            <w:tcW w:w="708" w:type="dxa"/>
            <w:tcBorders>
              <w:top w:val="nil"/>
              <w:left w:val="nil"/>
              <w:bottom w:val="single" w:sz="4" w:space="0" w:color="auto"/>
              <w:right w:val="single" w:sz="4" w:space="0" w:color="auto"/>
            </w:tcBorders>
            <w:shd w:val="clear" w:color="000000" w:fill="BFBFBF"/>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1,4884</w:t>
            </w:r>
          </w:p>
        </w:tc>
        <w:tc>
          <w:tcPr>
            <w:tcW w:w="758" w:type="dxa"/>
            <w:tcBorders>
              <w:top w:val="nil"/>
              <w:left w:val="nil"/>
              <w:bottom w:val="single" w:sz="4" w:space="0" w:color="auto"/>
              <w:right w:val="single" w:sz="4" w:space="0" w:color="auto"/>
            </w:tcBorders>
            <w:shd w:val="clear" w:color="000000" w:fill="BFBFBF"/>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2,1279</w:t>
            </w:r>
          </w:p>
        </w:tc>
        <w:tc>
          <w:tcPr>
            <w:tcW w:w="708" w:type="dxa"/>
            <w:tcBorders>
              <w:top w:val="nil"/>
              <w:left w:val="nil"/>
              <w:bottom w:val="single" w:sz="4" w:space="0" w:color="auto"/>
              <w:right w:val="single" w:sz="4" w:space="0" w:color="auto"/>
            </w:tcBorders>
            <w:shd w:val="clear" w:color="000000" w:fill="BFBFBF"/>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7,6292</w:t>
            </w:r>
          </w:p>
        </w:tc>
        <w:tc>
          <w:tcPr>
            <w:tcW w:w="758" w:type="dxa"/>
            <w:tcBorders>
              <w:top w:val="nil"/>
              <w:left w:val="nil"/>
              <w:bottom w:val="single" w:sz="4" w:space="0" w:color="auto"/>
              <w:right w:val="single" w:sz="4" w:space="0" w:color="auto"/>
            </w:tcBorders>
            <w:shd w:val="clear" w:color="000000" w:fill="BFBFBF"/>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0,7402</w:t>
            </w:r>
          </w:p>
        </w:tc>
        <w:tc>
          <w:tcPr>
            <w:tcW w:w="708" w:type="dxa"/>
            <w:tcBorders>
              <w:top w:val="nil"/>
              <w:left w:val="nil"/>
              <w:bottom w:val="single" w:sz="4" w:space="0" w:color="auto"/>
              <w:right w:val="single" w:sz="4" w:space="0" w:color="auto"/>
            </w:tcBorders>
            <w:shd w:val="clear" w:color="000000" w:fill="BFBFBF"/>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0,1842</w:t>
            </w:r>
          </w:p>
        </w:tc>
        <w:tc>
          <w:tcPr>
            <w:tcW w:w="762" w:type="dxa"/>
            <w:tcBorders>
              <w:top w:val="nil"/>
              <w:left w:val="nil"/>
              <w:bottom w:val="single" w:sz="4" w:space="0" w:color="auto"/>
              <w:right w:val="nil"/>
            </w:tcBorders>
            <w:shd w:val="clear" w:color="000000" w:fill="BFBFBF"/>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12,9554</w:t>
            </w:r>
          </w:p>
        </w:tc>
        <w:tc>
          <w:tcPr>
            <w:tcW w:w="758" w:type="dxa"/>
            <w:tcBorders>
              <w:top w:val="nil"/>
              <w:left w:val="double" w:sz="6" w:space="0" w:color="auto"/>
              <w:bottom w:val="single" w:sz="4" w:space="0" w:color="auto"/>
              <w:right w:val="single" w:sz="4" w:space="0" w:color="auto"/>
            </w:tcBorders>
            <w:shd w:val="clear" w:color="000000" w:fill="BFBFBF"/>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3,6536</w:t>
            </w:r>
          </w:p>
        </w:tc>
        <w:tc>
          <w:tcPr>
            <w:tcW w:w="708" w:type="dxa"/>
            <w:tcBorders>
              <w:top w:val="nil"/>
              <w:left w:val="nil"/>
              <w:bottom w:val="single" w:sz="4" w:space="0" w:color="auto"/>
              <w:right w:val="single" w:sz="4" w:space="0" w:color="auto"/>
            </w:tcBorders>
            <w:shd w:val="clear" w:color="000000" w:fill="BFBFBF"/>
            <w:vAlign w:val="center"/>
            <w:hideMark/>
          </w:tcPr>
          <w:p w:rsidR="004065CF" w:rsidRPr="004065CF" w:rsidRDefault="004065CF" w:rsidP="004065CF">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9,3018</w:t>
            </w:r>
          </w:p>
        </w:tc>
      </w:tr>
    </w:tbl>
    <w:p w:rsidR="00C37415" w:rsidRPr="00C61DCD" w:rsidRDefault="00C37415" w:rsidP="00C61DCD">
      <w:pPr>
        <w:pStyle w:val="Quadro"/>
      </w:pPr>
      <w:r w:rsidRPr="00006214">
        <w:lastRenderedPageBreak/>
        <w:t>Tabela 6.4.3-2. Formações Vegetais presentes na ADA – LT</w:t>
      </w:r>
      <w:r w:rsidR="00807A50" w:rsidRPr="00006214">
        <w:t>. Município de Santa Isabel</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425"/>
        <w:gridCol w:w="2409"/>
        <w:gridCol w:w="1560"/>
        <w:gridCol w:w="1275"/>
        <w:gridCol w:w="1134"/>
      </w:tblGrid>
      <w:tr w:rsidR="00807A50" w:rsidRPr="00807A50" w:rsidTr="009F172A">
        <w:trPr>
          <w:cantSplit/>
          <w:trHeight w:val="255"/>
          <w:jc w:val="center"/>
        </w:trPr>
        <w:tc>
          <w:tcPr>
            <w:tcW w:w="1425" w:type="dxa"/>
            <w:shd w:val="clear" w:color="auto" w:fill="D9D9D9" w:themeFill="background1" w:themeFillShade="D9"/>
            <w:vAlign w:val="center"/>
          </w:tcPr>
          <w:p w:rsidR="00807A50" w:rsidRPr="00933478" w:rsidRDefault="00807A50" w:rsidP="0065140D">
            <w:pPr>
              <w:spacing w:after="0"/>
              <w:jc w:val="center"/>
              <w:rPr>
                <w:rFonts w:eastAsia="Times New Roman" w:cs="Arial"/>
                <w:b/>
                <w:bCs/>
                <w:color w:val="000000"/>
                <w:sz w:val="16"/>
                <w:szCs w:val="16"/>
                <w:lang w:eastAsia="pt-BR"/>
              </w:rPr>
            </w:pPr>
            <w:r w:rsidRPr="00933478">
              <w:rPr>
                <w:rFonts w:eastAsia="Times New Roman" w:cs="Arial"/>
                <w:b/>
                <w:bCs/>
                <w:color w:val="000000"/>
                <w:sz w:val="16"/>
                <w:szCs w:val="16"/>
                <w:lang w:eastAsia="pt-BR"/>
              </w:rPr>
              <w:t>Categorias</w:t>
            </w:r>
          </w:p>
        </w:tc>
        <w:tc>
          <w:tcPr>
            <w:tcW w:w="2409" w:type="dxa"/>
            <w:shd w:val="clear" w:color="auto" w:fill="D9D9D9" w:themeFill="background1" w:themeFillShade="D9"/>
            <w:noWrap/>
            <w:vAlign w:val="center"/>
            <w:hideMark/>
          </w:tcPr>
          <w:p w:rsidR="00807A50" w:rsidRPr="00933478" w:rsidRDefault="00807A50" w:rsidP="0065140D">
            <w:pPr>
              <w:spacing w:after="0"/>
              <w:jc w:val="center"/>
              <w:rPr>
                <w:rFonts w:eastAsia="Times New Roman" w:cs="Arial"/>
                <w:b/>
                <w:bCs/>
                <w:color w:val="000000"/>
                <w:sz w:val="16"/>
                <w:szCs w:val="16"/>
                <w:lang w:eastAsia="pt-BR"/>
              </w:rPr>
            </w:pPr>
            <w:r w:rsidRPr="00933478">
              <w:rPr>
                <w:rFonts w:eastAsia="Times New Roman" w:cs="Arial"/>
                <w:b/>
                <w:bCs/>
                <w:color w:val="000000"/>
                <w:sz w:val="16"/>
                <w:szCs w:val="16"/>
                <w:lang w:eastAsia="pt-BR"/>
              </w:rPr>
              <w:t>Tipologias de Uso do Solo</w:t>
            </w:r>
          </w:p>
        </w:tc>
        <w:tc>
          <w:tcPr>
            <w:tcW w:w="1560" w:type="dxa"/>
            <w:shd w:val="clear" w:color="auto" w:fill="D9D9D9" w:themeFill="background1" w:themeFillShade="D9"/>
            <w:noWrap/>
            <w:vAlign w:val="center"/>
            <w:hideMark/>
          </w:tcPr>
          <w:p w:rsidR="00807A50" w:rsidRPr="00933478" w:rsidRDefault="00807A50" w:rsidP="007D3054">
            <w:pPr>
              <w:spacing w:after="0"/>
              <w:jc w:val="center"/>
              <w:rPr>
                <w:rFonts w:eastAsia="Times New Roman" w:cs="Arial"/>
                <w:b/>
                <w:bCs/>
                <w:color w:val="000000"/>
                <w:sz w:val="16"/>
                <w:szCs w:val="16"/>
                <w:lang w:eastAsia="pt-BR"/>
              </w:rPr>
            </w:pPr>
            <w:r>
              <w:rPr>
                <w:rFonts w:eastAsia="Times New Roman" w:cs="Arial"/>
                <w:b/>
                <w:bCs/>
                <w:color w:val="000000"/>
                <w:sz w:val="16"/>
                <w:szCs w:val="16"/>
                <w:lang w:eastAsia="pt-BR"/>
              </w:rPr>
              <w:t xml:space="preserve">Dentro de </w:t>
            </w:r>
            <w:r w:rsidRPr="00933478">
              <w:rPr>
                <w:rFonts w:eastAsia="Times New Roman" w:cs="Arial"/>
                <w:b/>
                <w:bCs/>
                <w:color w:val="000000"/>
                <w:sz w:val="16"/>
                <w:szCs w:val="16"/>
                <w:lang w:eastAsia="pt-BR"/>
              </w:rPr>
              <w:t>APP</w:t>
            </w:r>
            <w:r>
              <w:rPr>
                <w:rFonts w:eastAsia="Times New Roman" w:cs="Arial"/>
                <w:b/>
                <w:bCs/>
                <w:color w:val="000000"/>
                <w:sz w:val="16"/>
                <w:szCs w:val="16"/>
                <w:lang w:eastAsia="pt-BR"/>
              </w:rPr>
              <w:t xml:space="preserve"> </w:t>
            </w:r>
            <w:r w:rsidRPr="00933478">
              <w:rPr>
                <w:rFonts w:eastAsia="Times New Roman" w:cs="Arial"/>
                <w:b/>
                <w:bCs/>
                <w:color w:val="000000"/>
                <w:sz w:val="16"/>
                <w:szCs w:val="16"/>
                <w:lang w:eastAsia="pt-BR"/>
              </w:rPr>
              <w:t>(</w:t>
            </w:r>
            <w:r>
              <w:rPr>
                <w:rFonts w:eastAsia="Times New Roman" w:cs="Arial"/>
                <w:b/>
                <w:bCs/>
                <w:color w:val="000000"/>
                <w:sz w:val="16"/>
                <w:szCs w:val="16"/>
                <w:lang w:eastAsia="pt-BR"/>
              </w:rPr>
              <w:t>m</w:t>
            </w:r>
            <w:r w:rsidRPr="00807A50">
              <w:rPr>
                <w:rFonts w:eastAsia="Times New Roman" w:cs="Arial"/>
                <w:b/>
                <w:bCs/>
                <w:color w:val="000000"/>
                <w:sz w:val="16"/>
                <w:szCs w:val="16"/>
                <w:vertAlign w:val="superscript"/>
                <w:lang w:eastAsia="pt-BR"/>
              </w:rPr>
              <w:t>2</w:t>
            </w:r>
            <w:r w:rsidRPr="00933478">
              <w:rPr>
                <w:rFonts w:eastAsia="Times New Roman" w:cs="Arial"/>
                <w:b/>
                <w:bCs/>
                <w:color w:val="000000"/>
                <w:sz w:val="16"/>
                <w:szCs w:val="16"/>
                <w:lang w:eastAsia="pt-BR"/>
              </w:rPr>
              <w:t>)</w:t>
            </w:r>
          </w:p>
        </w:tc>
        <w:tc>
          <w:tcPr>
            <w:tcW w:w="1275" w:type="dxa"/>
            <w:shd w:val="clear" w:color="auto" w:fill="D9D9D9" w:themeFill="background1" w:themeFillShade="D9"/>
            <w:vAlign w:val="center"/>
          </w:tcPr>
          <w:p w:rsidR="00807A50" w:rsidRPr="00933478" w:rsidRDefault="00807A50" w:rsidP="007D3054">
            <w:pPr>
              <w:spacing w:after="0"/>
              <w:jc w:val="center"/>
              <w:rPr>
                <w:rFonts w:eastAsia="Times New Roman" w:cs="Arial"/>
                <w:b/>
                <w:bCs/>
                <w:color w:val="000000"/>
                <w:sz w:val="16"/>
                <w:szCs w:val="16"/>
                <w:lang w:eastAsia="pt-BR"/>
              </w:rPr>
            </w:pPr>
            <w:r w:rsidRPr="00933478">
              <w:rPr>
                <w:rFonts w:eastAsia="Times New Roman" w:cs="Arial"/>
                <w:b/>
                <w:bCs/>
                <w:color w:val="000000"/>
                <w:sz w:val="16"/>
                <w:szCs w:val="16"/>
                <w:lang w:eastAsia="pt-BR"/>
              </w:rPr>
              <w:t>Fora</w:t>
            </w:r>
            <w:r>
              <w:rPr>
                <w:rFonts w:eastAsia="Times New Roman" w:cs="Arial"/>
                <w:b/>
                <w:bCs/>
                <w:color w:val="000000"/>
                <w:sz w:val="16"/>
                <w:szCs w:val="16"/>
                <w:lang w:eastAsia="pt-BR"/>
              </w:rPr>
              <w:t xml:space="preserve"> de APP</w:t>
            </w:r>
            <w:r w:rsidR="007D3054">
              <w:rPr>
                <w:rFonts w:eastAsia="Times New Roman" w:cs="Arial"/>
                <w:b/>
                <w:bCs/>
                <w:color w:val="000000"/>
                <w:sz w:val="16"/>
                <w:szCs w:val="16"/>
                <w:lang w:eastAsia="pt-BR"/>
              </w:rPr>
              <w:t xml:space="preserve"> </w:t>
            </w:r>
            <w:r w:rsidRPr="00933478">
              <w:rPr>
                <w:rFonts w:eastAsia="Times New Roman" w:cs="Arial"/>
                <w:b/>
                <w:bCs/>
                <w:color w:val="000000"/>
                <w:sz w:val="16"/>
                <w:szCs w:val="16"/>
                <w:lang w:eastAsia="pt-BR"/>
              </w:rPr>
              <w:t>(</w:t>
            </w:r>
            <w:r>
              <w:rPr>
                <w:rFonts w:eastAsia="Times New Roman" w:cs="Arial"/>
                <w:b/>
                <w:bCs/>
                <w:color w:val="000000"/>
                <w:sz w:val="16"/>
                <w:szCs w:val="16"/>
                <w:lang w:eastAsia="pt-BR"/>
              </w:rPr>
              <w:t>m</w:t>
            </w:r>
            <w:r w:rsidRPr="00807A50">
              <w:rPr>
                <w:rFonts w:eastAsia="Times New Roman" w:cs="Arial"/>
                <w:b/>
                <w:bCs/>
                <w:color w:val="000000"/>
                <w:sz w:val="16"/>
                <w:szCs w:val="16"/>
                <w:vertAlign w:val="superscript"/>
                <w:lang w:eastAsia="pt-BR"/>
              </w:rPr>
              <w:t>2</w:t>
            </w:r>
            <w:r w:rsidRPr="00933478">
              <w:rPr>
                <w:rFonts w:eastAsia="Times New Roman" w:cs="Arial"/>
                <w:b/>
                <w:bCs/>
                <w:color w:val="000000"/>
                <w:sz w:val="16"/>
                <w:szCs w:val="16"/>
                <w:lang w:eastAsia="pt-BR"/>
              </w:rPr>
              <w:t>)</w:t>
            </w:r>
          </w:p>
        </w:tc>
        <w:tc>
          <w:tcPr>
            <w:tcW w:w="1134" w:type="dxa"/>
            <w:shd w:val="clear" w:color="auto" w:fill="D9D9D9" w:themeFill="background1" w:themeFillShade="D9"/>
            <w:noWrap/>
            <w:vAlign w:val="center"/>
            <w:hideMark/>
          </w:tcPr>
          <w:p w:rsidR="00807A50" w:rsidRPr="00933478" w:rsidRDefault="00807A50" w:rsidP="0065140D">
            <w:pPr>
              <w:spacing w:after="0"/>
              <w:jc w:val="center"/>
              <w:rPr>
                <w:rFonts w:eastAsia="Times New Roman" w:cs="Arial"/>
                <w:b/>
                <w:bCs/>
                <w:color w:val="000000"/>
                <w:sz w:val="16"/>
                <w:szCs w:val="16"/>
                <w:lang w:eastAsia="pt-BR"/>
              </w:rPr>
            </w:pPr>
            <w:r w:rsidRPr="00933478">
              <w:rPr>
                <w:rFonts w:eastAsia="Times New Roman" w:cs="Arial"/>
                <w:b/>
                <w:bCs/>
                <w:color w:val="000000"/>
                <w:sz w:val="16"/>
                <w:szCs w:val="16"/>
                <w:lang w:eastAsia="pt-BR"/>
              </w:rPr>
              <w:t>Total</w:t>
            </w:r>
            <w:r>
              <w:rPr>
                <w:rFonts w:eastAsia="Times New Roman" w:cs="Arial"/>
                <w:b/>
                <w:bCs/>
                <w:color w:val="000000"/>
                <w:sz w:val="16"/>
                <w:szCs w:val="16"/>
                <w:lang w:eastAsia="pt-BR"/>
              </w:rPr>
              <w:t xml:space="preserve"> geral</w:t>
            </w:r>
            <w:r w:rsidRPr="00933478">
              <w:rPr>
                <w:rFonts w:eastAsia="Times New Roman" w:cs="Arial"/>
                <w:b/>
                <w:bCs/>
                <w:color w:val="000000"/>
                <w:sz w:val="16"/>
                <w:szCs w:val="16"/>
                <w:lang w:eastAsia="pt-BR"/>
              </w:rPr>
              <w:t xml:space="preserve"> </w:t>
            </w:r>
          </w:p>
          <w:p w:rsidR="00807A50" w:rsidRPr="00933478" w:rsidRDefault="00807A50" w:rsidP="0065140D">
            <w:pPr>
              <w:spacing w:after="0"/>
              <w:jc w:val="center"/>
              <w:rPr>
                <w:rFonts w:eastAsia="Times New Roman" w:cs="Arial"/>
                <w:b/>
                <w:bCs/>
                <w:color w:val="000000"/>
                <w:sz w:val="16"/>
                <w:szCs w:val="16"/>
                <w:lang w:eastAsia="pt-BR"/>
              </w:rPr>
            </w:pPr>
            <w:r w:rsidRPr="00933478">
              <w:rPr>
                <w:rFonts w:eastAsia="Times New Roman" w:cs="Arial"/>
                <w:b/>
                <w:bCs/>
                <w:color w:val="000000"/>
                <w:sz w:val="16"/>
                <w:szCs w:val="16"/>
                <w:lang w:eastAsia="pt-BR"/>
              </w:rPr>
              <w:t>(</w:t>
            </w:r>
            <w:r>
              <w:rPr>
                <w:rFonts w:eastAsia="Times New Roman" w:cs="Arial"/>
                <w:b/>
                <w:bCs/>
                <w:color w:val="000000"/>
                <w:sz w:val="16"/>
                <w:szCs w:val="16"/>
                <w:lang w:eastAsia="pt-BR"/>
              </w:rPr>
              <w:t>m</w:t>
            </w:r>
            <w:r w:rsidRPr="00807A50">
              <w:rPr>
                <w:rFonts w:eastAsia="Times New Roman" w:cs="Arial"/>
                <w:b/>
                <w:bCs/>
                <w:color w:val="000000"/>
                <w:sz w:val="16"/>
                <w:szCs w:val="16"/>
                <w:vertAlign w:val="superscript"/>
                <w:lang w:eastAsia="pt-BR"/>
              </w:rPr>
              <w:t>2</w:t>
            </w:r>
            <w:r w:rsidRPr="00933478">
              <w:rPr>
                <w:rFonts w:eastAsia="Times New Roman" w:cs="Arial"/>
                <w:b/>
                <w:bCs/>
                <w:color w:val="000000"/>
                <w:sz w:val="16"/>
                <w:szCs w:val="16"/>
                <w:lang w:eastAsia="pt-BR"/>
              </w:rPr>
              <w:t>)</w:t>
            </w:r>
          </w:p>
        </w:tc>
      </w:tr>
      <w:tr w:rsidR="009F172A" w:rsidRPr="00933478" w:rsidTr="009F172A">
        <w:trPr>
          <w:cantSplit/>
          <w:trHeight w:val="255"/>
          <w:jc w:val="center"/>
        </w:trPr>
        <w:tc>
          <w:tcPr>
            <w:tcW w:w="1425" w:type="dxa"/>
            <w:vMerge w:val="restart"/>
            <w:shd w:val="clear" w:color="auto" w:fill="C2D69B" w:themeFill="accent3" w:themeFillTint="99"/>
            <w:vAlign w:val="center"/>
          </w:tcPr>
          <w:p w:rsidR="009F172A" w:rsidRPr="00933478" w:rsidRDefault="009F172A" w:rsidP="0065140D">
            <w:pPr>
              <w:spacing w:after="0"/>
              <w:jc w:val="center"/>
              <w:rPr>
                <w:rFonts w:eastAsia="Times New Roman" w:cs="Arial"/>
                <w:b/>
                <w:color w:val="000000"/>
                <w:sz w:val="16"/>
                <w:szCs w:val="16"/>
                <w:lang w:eastAsia="pt-BR"/>
              </w:rPr>
            </w:pPr>
            <w:r w:rsidRPr="00933478">
              <w:rPr>
                <w:rFonts w:eastAsia="Times New Roman" w:cs="Arial"/>
                <w:b/>
                <w:color w:val="000000"/>
                <w:sz w:val="16"/>
                <w:szCs w:val="16"/>
                <w:lang w:eastAsia="pt-BR"/>
              </w:rPr>
              <w:t>Vegetação Nativa</w:t>
            </w:r>
          </w:p>
        </w:tc>
        <w:tc>
          <w:tcPr>
            <w:tcW w:w="2409" w:type="dxa"/>
            <w:shd w:val="clear" w:color="auto" w:fill="C2D69B" w:themeFill="accent3" w:themeFillTint="99"/>
            <w:noWrap/>
            <w:vAlign w:val="center"/>
            <w:hideMark/>
          </w:tcPr>
          <w:p w:rsidR="009F172A" w:rsidRPr="00933478" w:rsidRDefault="009F172A" w:rsidP="0065140D">
            <w:pPr>
              <w:spacing w:after="0"/>
              <w:jc w:val="left"/>
              <w:rPr>
                <w:rFonts w:eastAsia="Times New Roman" w:cs="Arial"/>
                <w:color w:val="000000"/>
                <w:sz w:val="16"/>
                <w:szCs w:val="16"/>
                <w:lang w:eastAsia="pt-BR"/>
              </w:rPr>
            </w:pPr>
            <w:r>
              <w:rPr>
                <w:rFonts w:eastAsia="Times New Roman" w:cs="Arial"/>
                <w:color w:val="000000"/>
                <w:sz w:val="16"/>
                <w:szCs w:val="16"/>
                <w:lang w:eastAsia="pt-BR"/>
              </w:rPr>
              <w:t xml:space="preserve">Floresta Ombrófila Densa </w:t>
            </w:r>
            <w:r w:rsidRPr="00933478">
              <w:rPr>
                <w:rFonts w:eastAsia="Times New Roman" w:cs="Arial"/>
                <w:color w:val="000000"/>
                <w:sz w:val="16"/>
                <w:szCs w:val="16"/>
                <w:lang w:eastAsia="pt-BR"/>
              </w:rPr>
              <w:t>Estágio Pioneiro</w:t>
            </w:r>
          </w:p>
        </w:tc>
        <w:tc>
          <w:tcPr>
            <w:tcW w:w="1560" w:type="dxa"/>
            <w:shd w:val="clear" w:color="auto" w:fill="C2D69B" w:themeFill="accent3" w:themeFillTint="99"/>
            <w:noWrap/>
            <w:vAlign w:val="center"/>
            <w:hideMark/>
          </w:tcPr>
          <w:p w:rsidR="009F172A" w:rsidRPr="004065CF" w:rsidRDefault="009F172A" w:rsidP="009F172A">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1</w:t>
            </w:r>
          </w:p>
        </w:tc>
        <w:tc>
          <w:tcPr>
            <w:tcW w:w="1275" w:type="dxa"/>
            <w:shd w:val="clear" w:color="auto" w:fill="C2D69B" w:themeFill="accent3" w:themeFillTint="99"/>
            <w:noWrap/>
            <w:vAlign w:val="center"/>
            <w:hideMark/>
          </w:tcPr>
          <w:p w:rsidR="009F172A" w:rsidRPr="00933478" w:rsidRDefault="00407873" w:rsidP="009F172A">
            <w:pPr>
              <w:spacing w:after="0"/>
              <w:jc w:val="center"/>
              <w:rPr>
                <w:rFonts w:eastAsia="Times New Roman" w:cs="Arial"/>
                <w:color w:val="000000"/>
                <w:sz w:val="16"/>
                <w:szCs w:val="16"/>
                <w:lang w:eastAsia="pt-BR"/>
              </w:rPr>
            </w:pPr>
            <w:r>
              <w:rPr>
                <w:rFonts w:eastAsia="Times New Roman" w:cs="Arial"/>
                <w:color w:val="000000"/>
                <w:sz w:val="16"/>
                <w:szCs w:val="16"/>
                <w:lang w:eastAsia="pt-BR"/>
              </w:rPr>
              <w:t>-</w:t>
            </w:r>
          </w:p>
        </w:tc>
        <w:tc>
          <w:tcPr>
            <w:tcW w:w="1134" w:type="dxa"/>
            <w:shd w:val="clear" w:color="auto" w:fill="C2D69B" w:themeFill="accent3" w:themeFillTint="99"/>
            <w:noWrap/>
            <w:vAlign w:val="center"/>
            <w:hideMark/>
          </w:tcPr>
          <w:p w:rsidR="009F172A" w:rsidRPr="004065CF" w:rsidRDefault="009F172A" w:rsidP="009F172A">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1</w:t>
            </w:r>
          </w:p>
        </w:tc>
      </w:tr>
      <w:tr w:rsidR="009F172A" w:rsidRPr="00933478" w:rsidTr="009F172A">
        <w:trPr>
          <w:cantSplit/>
          <w:trHeight w:val="255"/>
          <w:jc w:val="center"/>
        </w:trPr>
        <w:tc>
          <w:tcPr>
            <w:tcW w:w="1425" w:type="dxa"/>
            <w:vMerge/>
            <w:shd w:val="clear" w:color="auto" w:fill="C2D69B" w:themeFill="accent3" w:themeFillTint="99"/>
            <w:vAlign w:val="center"/>
          </w:tcPr>
          <w:p w:rsidR="009F172A" w:rsidRPr="00933478" w:rsidRDefault="009F172A" w:rsidP="0065140D">
            <w:pPr>
              <w:spacing w:after="0"/>
              <w:jc w:val="center"/>
              <w:rPr>
                <w:rFonts w:eastAsia="Times New Roman" w:cs="Arial"/>
                <w:b/>
                <w:color w:val="000000"/>
                <w:sz w:val="16"/>
                <w:szCs w:val="16"/>
                <w:lang w:eastAsia="pt-BR"/>
              </w:rPr>
            </w:pPr>
          </w:p>
        </w:tc>
        <w:tc>
          <w:tcPr>
            <w:tcW w:w="2409" w:type="dxa"/>
            <w:shd w:val="clear" w:color="auto" w:fill="C2D69B" w:themeFill="accent3" w:themeFillTint="99"/>
            <w:noWrap/>
            <w:vAlign w:val="center"/>
            <w:hideMark/>
          </w:tcPr>
          <w:p w:rsidR="009F172A" w:rsidRPr="00933478" w:rsidRDefault="009F172A" w:rsidP="00407873">
            <w:pPr>
              <w:spacing w:after="0"/>
              <w:jc w:val="right"/>
              <w:rPr>
                <w:rFonts w:cs="Arial"/>
                <w:b/>
                <w:bCs/>
                <w:color w:val="000000"/>
                <w:sz w:val="16"/>
                <w:szCs w:val="16"/>
              </w:rPr>
            </w:pPr>
            <w:r w:rsidRPr="00933478">
              <w:rPr>
                <w:rFonts w:cs="Arial"/>
                <w:b/>
                <w:bCs/>
                <w:color w:val="000000"/>
                <w:sz w:val="16"/>
                <w:szCs w:val="16"/>
              </w:rPr>
              <w:t>Subtotal</w:t>
            </w:r>
          </w:p>
        </w:tc>
        <w:tc>
          <w:tcPr>
            <w:tcW w:w="1560" w:type="dxa"/>
            <w:shd w:val="clear" w:color="auto" w:fill="C2D69B" w:themeFill="accent3" w:themeFillTint="99"/>
            <w:noWrap/>
            <w:vAlign w:val="center"/>
            <w:hideMark/>
          </w:tcPr>
          <w:p w:rsidR="009F172A" w:rsidRPr="004065CF" w:rsidRDefault="009F172A" w:rsidP="009F172A">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1</w:t>
            </w:r>
          </w:p>
        </w:tc>
        <w:tc>
          <w:tcPr>
            <w:tcW w:w="1275" w:type="dxa"/>
            <w:shd w:val="clear" w:color="auto" w:fill="C2D69B" w:themeFill="accent3" w:themeFillTint="99"/>
            <w:noWrap/>
            <w:vAlign w:val="center"/>
            <w:hideMark/>
          </w:tcPr>
          <w:p w:rsidR="009F172A" w:rsidRPr="00933478" w:rsidRDefault="00407873" w:rsidP="009F172A">
            <w:pPr>
              <w:spacing w:after="0"/>
              <w:jc w:val="center"/>
              <w:rPr>
                <w:rFonts w:cs="Arial"/>
                <w:b/>
                <w:bCs/>
                <w:color w:val="000000"/>
                <w:sz w:val="16"/>
                <w:szCs w:val="16"/>
              </w:rPr>
            </w:pPr>
            <w:r>
              <w:rPr>
                <w:rFonts w:cs="Arial"/>
                <w:b/>
                <w:bCs/>
                <w:color w:val="000000"/>
                <w:sz w:val="16"/>
                <w:szCs w:val="16"/>
              </w:rPr>
              <w:t>-</w:t>
            </w:r>
          </w:p>
        </w:tc>
        <w:tc>
          <w:tcPr>
            <w:tcW w:w="1134" w:type="dxa"/>
            <w:shd w:val="clear" w:color="auto" w:fill="C2D69B" w:themeFill="accent3" w:themeFillTint="99"/>
            <w:noWrap/>
            <w:vAlign w:val="center"/>
            <w:hideMark/>
          </w:tcPr>
          <w:p w:rsidR="009F172A" w:rsidRPr="004065CF" w:rsidRDefault="009F172A" w:rsidP="009F172A">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1</w:t>
            </w:r>
          </w:p>
        </w:tc>
      </w:tr>
      <w:tr w:rsidR="003E06CC" w:rsidRPr="00933478" w:rsidTr="009F172A">
        <w:trPr>
          <w:cantSplit/>
          <w:trHeight w:val="255"/>
          <w:jc w:val="center"/>
        </w:trPr>
        <w:tc>
          <w:tcPr>
            <w:tcW w:w="1425" w:type="dxa"/>
            <w:vMerge w:val="restart"/>
            <w:shd w:val="clear" w:color="auto" w:fill="EAF1DD" w:themeFill="accent3" w:themeFillTint="33"/>
            <w:vAlign w:val="center"/>
          </w:tcPr>
          <w:p w:rsidR="003E06CC" w:rsidRPr="00933478" w:rsidRDefault="003E06CC" w:rsidP="0065140D">
            <w:pPr>
              <w:spacing w:after="0"/>
              <w:jc w:val="center"/>
              <w:rPr>
                <w:rFonts w:eastAsia="Times New Roman" w:cs="Arial"/>
                <w:b/>
                <w:color w:val="000000"/>
                <w:sz w:val="16"/>
                <w:szCs w:val="16"/>
                <w:lang w:eastAsia="pt-BR"/>
              </w:rPr>
            </w:pPr>
            <w:r w:rsidRPr="00933478">
              <w:rPr>
                <w:rFonts w:eastAsia="Times New Roman" w:cs="Arial"/>
                <w:b/>
                <w:color w:val="000000"/>
                <w:sz w:val="16"/>
                <w:szCs w:val="16"/>
                <w:lang w:eastAsia="pt-BR"/>
              </w:rPr>
              <w:t>Vegetação Antropizada</w:t>
            </w:r>
          </w:p>
        </w:tc>
        <w:tc>
          <w:tcPr>
            <w:tcW w:w="2409" w:type="dxa"/>
            <w:shd w:val="clear" w:color="auto" w:fill="EAF1DD" w:themeFill="accent3" w:themeFillTint="33"/>
            <w:noWrap/>
            <w:vAlign w:val="center"/>
            <w:hideMark/>
          </w:tcPr>
          <w:p w:rsidR="003E06CC" w:rsidRPr="00933478" w:rsidRDefault="003E06CC" w:rsidP="00D40571">
            <w:pPr>
              <w:spacing w:after="0"/>
              <w:jc w:val="left"/>
              <w:rPr>
                <w:rFonts w:eastAsia="Times New Roman" w:cs="Arial"/>
                <w:color w:val="000000"/>
                <w:sz w:val="16"/>
                <w:szCs w:val="16"/>
                <w:lang w:eastAsia="pt-BR"/>
              </w:rPr>
            </w:pPr>
            <w:r w:rsidRPr="00933478">
              <w:rPr>
                <w:rFonts w:eastAsia="Times New Roman" w:cs="Arial"/>
                <w:color w:val="000000"/>
                <w:sz w:val="16"/>
                <w:szCs w:val="16"/>
                <w:lang w:eastAsia="pt-BR"/>
              </w:rPr>
              <w:t>Campo Antrópico</w:t>
            </w:r>
          </w:p>
        </w:tc>
        <w:tc>
          <w:tcPr>
            <w:tcW w:w="1560" w:type="dxa"/>
            <w:shd w:val="clear" w:color="auto" w:fill="EAF1DD" w:themeFill="accent3" w:themeFillTint="33"/>
            <w:noWrap/>
            <w:vAlign w:val="center"/>
            <w:hideMark/>
          </w:tcPr>
          <w:p w:rsidR="003E06CC" w:rsidRPr="004065CF" w:rsidRDefault="003E06CC" w:rsidP="00D40571">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2.769</w:t>
            </w:r>
          </w:p>
        </w:tc>
        <w:tc>
          <w:tcPr>
            <w:tcW w:w="1275" w:type="dxa"/>
            <w:shd w:val="clear" w:color="auto" w:fill="EAF1DD" w:themeFill="accent3" w:themeFillTint="33"/>
            <w:noWrap/>
            <w:vAlign w:val="center"/>
            <w:hideMark/>
          </w:tcPr>
          <w:p w:rsidR="003E06CC" w:rsidRPr="004065CF" w:rsidRDefault="004E36F2" w:rsidP="00D40571">
            <w:pPr>
              <w:spacing w:after="0"/>
              <w:jc w:val="center"/>
              <w:rPr>
                <w:rFonts w:eastAsia="Times New Roman" w:cs="Arial"/>
                <w:color w:val="000000"/>
                <w:sz w:val="16"/>
                <w:szCs w:val="16"/>
                <w:lang w:eastAsia="pt-BR"/>
              </w:rPr>
            </w:pPr>
            <w:r>
              <w:rPr>
                <w:rFonts w:eastAsia="Times New Roman" w:cs="Arial"/>
                <w:color w:val="000000"/>
                <w:sz w:val="16"/>
                <w:szCs w:val="16"/>
                <w:lang w:eastAsia="pt-BR"/>
              </w:rPr>
              <w:t>-</w:t>
            </w:r>
          </w:p>
        </w:tc>
        <w:tc>
          <w:tcPr>
            <w:tcW w:w="1134" w:type="dxa"/>
            <w:shd w:val="clear" w:color="auto" w:fill="EAF1DD" w:themeFill="accent3" w:themeFillTint="33"/>
            <w:noWrap/>
            <w:vAlign w:val="center"/>
            <w:hideMark/>
          </w:tcPr>
          <w:p w:rsidR="003E06CC" w:rsidRPr="004065CF" w:rsidRDefault="003E06CC" w:rsidP="00D40571">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2.769</w:t>
            </w:r>
          </w:p>
        </w:tc>
      </w:tr>
      <w:tr w:rsidR="003E06CC" w:rsidRPr="00933478" w:rsidTr="009F172A">
        <w:trPr>
          <w:cantSplit/>
          <w:trHeight w:val="255"/>
          <w:jc w:val="center"/>
        </w:trPr>
        <w:tc>
          <w:tcPr>
            <w:tcW w:w="1425" w:type="dxa"/>
            <w:vMerge/>
            <w:shd w:val="clear" w:color="auto" w:fill="EAF1DD" w:themeFill="accent3" w:themeFillTint="33"/>
            <w:vAlign w:val="center"/>
          </w:tcPr>
          <w:p w:rsidR="003E06CC" w:rsidRPr="00933478" w:rsidRDefault="003E06CC" w:rsidP="0065140D">
            <w:pPr>
              <w:spacing w:after="0"/>
              <w:jc w:val="center"/>
              <w:rPr>
                <w:rFonts w:eastAsia="Times New Roman" w:cs="Arial"/>
                <w:b/>
                <w:color w:val="000000"/>
                <w:sz w:val="16"/>
                <w:szCs w:val="16"/>
                <w:lang w:eastAsia="pt-BR"/>
              </w:rPr>
            </w:pPr>
          </w:p>
        </w:tc>
        <w:tc>
          <w:tcPr>
            <w:tcW w:w="2409" w:type="dxa"/>
            <w:shd w:val="clear" w:color="auto" w:fill="EAF1DD" w:themeFill="accent3" w:themeFillTint="33"/>
            <w:noWrap/>
            <w:vAlign w:val="center"/>
            <w:hideMark/>
          </w:tcPr>
          <w:p w:rsidR="003E06CC" w:rsidRPr="00933478" w:rsidRDefault="003E06CC" w:rsidP="00D40571">
            <w:pPr>
              <w:spacing w:after="0"/>
              <w:jc w:val="left"/>
              <w:rPr>
                <w:rFonts w:eastAsia="Times New Roman" w:cs="Arial"/>
                <w:color w:val="000000"/>
                <w:sz w:val="16"/>
                <w:szCs w:val="16"/>
                <w:lang w:eastAsia="pt-BR"/>
              </w:rPr>
            </w:pPr>
            <w:r w:rsidRPr="00933478">
              <w:rPr>
                <w:rFonts w:eastAsia="Times New Roman" w:cs="Arial"/>
                <w:color w:val="000000"/>
                <w:sz w:val="16"/>
                <w:szCs w:val="16"/>
                <w:lang w:eastAsia="pt-BR"/>
              </w:rPr>
              <w:t>Reflorestamento</w:t>
            </w:r>
          </w:p>
        </w:tc>
        <w:tc>
          <w:tcPr>
            <w:tcW w:w="1560" w:type="dxa"/>
            <w:shd w:val="clear" w:color="auto" w:fill="EAF1DD" w:themeFill="accent3" w:themeFillTint="33"/>
            <w:noWrap/>
            <w:vAlign w:val="center"/>
            <w:hideMark/>
          </w:tcPr>
          <w:p w:rsidR="003E06CC" w:rsidRPr="004065CF" w:rsidRDefault="003E06CC" w:rsidP="00D40571">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383</w:t>
            </w:r>
          </w:p>
        </w:tc>
        <w:tc>
          <w:tcPr>
            <w:tcW w:w="1275" w:type="dxa"/>
            <w:shd w:val="clear" w:color="auto" w:fill="EAF1DD" w:themeFill="accent3" w:themeFillTint="33"/>
            <w:noWrap/>
            <w:vAlign w:val="center"/>
            <w:hideMark/>
          </w:tcPr>
          <w:p w:rsidR="003E06CC" w:rsidRPr="004065CF" w:rsidRDefault="003E06CC" w:rsidP="00D40571">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530</w:t>
            </w:r>
          </w:p>
        </w:tc>
        <w:tc>
          <w:tcPr>
            <w:tcW w:w="1134" w:type="dxa"/>
            <w:shd w:val="clear" w:color="auto" w:fill="EAF1DD" w:themeFill="accent3" w:themeFillTint="33"/>
            <w:noWrap/>
            <w:vAlign w:val="center"/>
            <w:hideMark/>
          </w:tcPr>
          <w:p w:rsidR="003E06CC" w:rsidRPr="004065CF" w:rsidRDefault="003E06CC" w:rsidP="00D40571">
            <w:pPr>
              <w:spacing w:after="0"/>
              <w:jc w:val="center"/>
              <w:rPr>
                <w:rFonts w:eastAsia="Times New Roman" w:cs="Arial"/>
                <w:color w:val="000000"/>
                <w:sz w:val="16"/>
                <w:szCs w:val="16"/>
                <w:lang w:eastAsia="pt-BR"/>
              </w:rPr>
            </w:pPr>
            <w:r w:rsidRPr="004065CF">
              <w:rPr>
                <w:rFonts w:eastAsia="Times New Roman" w:cs="Arial"/>
                <w:color w:val="000000"/>
                <w:sz w:val="16"/>
                <w:szCs w:val="16"/>
                <w:lang w:eastAsia="pt-BR"/>
              </w:rPr>
              <w:t>913</w:t>
            </w:r>
          </w:p>
        </w:tc>
      </w:tr>
      <w:tr w:rsidR="003E06CC" w:rsidRPr="00933478" w:rsidTr="009F172A">
        <w:trPr>
          <w:cantSplit/>
          <w:trHeight w:val="255"/>
          <w:jc w:val="center"/>
        </w:trPr>
        <w:tc>
          <w:tcPr>
            <w:tcW w:w="1425" w:type="dxa"/>
            <w:vMerge/>
            <w:shd w:val="clear" w:color="auto" w:fill="EAF1DD" w:themeFill="accent3" w:themeFillTint="33"/>
            <w:vAlign w:val="center"/>
          </w:tcPr>
          <w:p w:rsidR="003E06CC" w:rsidRPr="00933478" w:rsidRDefault="003E06CC" w:rsidP="0065140D">
            <w:pPr>
              <w:spacing w:after="0"/>
              <w:jc w:val="center"/>
              <w:rPr>
                <w:rFonts w:eastAsia="Times New Roman" w:cs="Arial"/>
                <w:b/>
                <w:color w:val="000000"/>
                <w:sz w:val="16"/>
                <w:szCs w:val="16"/>
                <w:lang w:eastAsia="pt-BR"/>
              </w:rPr>
            </w:pPr>
          </w:p>
        </w:tc>
        <w:tc>
          <w:tcPr>
            <w:tcW w:w="2409" w:type="dxa"/>
            <w:shd w:val="clear" w:color="auto" w:fill="EAF1DD" w:themeFill="accent3" w:themeFillTint="33"/>
            <w:noWrap/>
            <w:vAlign w:val="center"/>
            <w:hideMark/>
          </w:tcPr>
          <w:p w:rsidR="003E06CC" w:rsidRPr="00933478" w:rsidRDefault="003E06CC" w:rsidP="00D40571">
            <w:pPr>
              <w:spacing w:after="0"/>
              <w:jc w:val="right"/>
              <w:rPr>
                <w:rFonts w:cs="Arial"/>
                <w:b/>
                <w:bCs/>
                <w:color w:val="000000"/>
                <w:sz w:val="16"/>
                <w:szCs w:val="16"/>
              </w:rPr>
            </w:pPr>
            <w:r w:rsidRPr="00933478">
              <w:rPr>
                <w:rFonts w:cs="Arial"/>
                <w:b/>
                <w:bCs/>
                <w:color w:val="000000"/>
                <w:sz w:val="16"/>
                <w:szCs w:val="16"/>
              </w:rPr>
              <w:t>Subtotal</w:t>
            </w:r>
          </w:p>
        </w:tc>
        <w:tc>
          <w:tcPr>
            <w:tcW w:w="1560" w:type="dxa"/>
            <w:shd w:val="clear" w:color="auto" w:fill="EAF1DD" w:themeFill="accent3" w:themeFillTint="33"/>
            <w:noWrap/>
            <w:vAlign w:val="center"/>
            <w:hideMark/>
          </w:tcPr>
          <w:p w:rsidR="003E06CC" w:rsidRPr="004065CF" w:rsidRDefault="003E06CC" w:rsidP="00D40571">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3.152</w:t>
            </w:r>
          </w:p>
        </w:tc>
        <w:tc>
          <w:tcPr>
            <w:tcW w:w="1275" w:type="dxa"/>
            <w:shd w:val="clear" w:color="auto" w:fill="EAF1DD" w:themeFill="accent3" w:themeFillTint="33"/>
            <w:noWrap/>
            <w:vAlign w:val="center"/>
            <w:hideMark/>
          </w:tcPr>
          <w:p w:rsidR="003E06CC" w:rsidRPr="004065CF" w:rsidRDefault="003E06CC" w:rsidP="00D40571">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530</w:t>
            </w:r>
          </w:p>
        </w:tc>
        <w:tc>
          <w:tcPr>
            <w:tcW w:w="1134" w:type="dxa"/>
            <w:shd w:val="clear" w:color="auto" w:fill="EAF1DD" w:themeFill="accent3" w:themeFillTint="33"/>
            <w:noWrap/>
            <w:vAlign w:val="center"/>
            <w:hideMark/>
          </w:tcPr>
          <w:p w:rsidR="003E06CC" w:rsidRPr="004065CF" w:rsidRDefault="003E06CC" w:rsidP="00D40571">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3.682</w:t>
            </w:r>
          </w:p>
        </w:tc>
      </w:tr>
      <w:tr w:rsidR="009F172A" w:rsidRPr="00933478" w:rsidTr="009F172A">
        <w:trPr>
          <w:cantSplit/>
          <w:trHeight w:val="255"/>
          <w:jc w:val="center"/>
        </w:trPr>
        <w:tc>
          <w:tcPr>
            <w:tcW w:w="3834" w:type="dxa"/>
            <w:gridSpan w:val="2"/>
            <w:shd w:val="clear" w:color="auto" w:fill="D9D9D9" w:themeFill="background1" w:themeFillShade="D9"/>
            <w:vAlign w:val="center"/>
          </w:tcPr>
          <w:p w:rsidR="009F172A" w:rsidRPr="00933478" w:rsidRDefault="009F172A" w:rsidP="0065140D">
            <w:pPr>
              <w:spacing w:after="0"/>
              <w:jc w:val="center"/>
              <w:rPr>
                <w:rFonts w:cs="Arial"/>
                <w:b/>
                <w:bCs/>
                <w:color w:val="000000"/>
                <w:sz w:val="16"/>
                <w:szCs w:val="16"/>
              </w:rPr>
            </w:pPr>
            <w:r w:rsidRPr="00933478">
              <w:rPr>
                <w:rFonts w:eastAsia="Times New Roman" w:cs="Arial"/>
                <w:b/>
                <w:bCs/>
                <w:color w:val="000000"/>
                <w:sz w:val="16"/>
                <w:szCs w:val="16"/>
                <w:lang w:eastAsia="pt-BR"/>
              </w:rPr>
              <w:t>Total</w:t>
            </w:r>
            <w:r>
              <w:rPr>
                <w:rFonts w:eastAsia="Times New Roman" w:cs="Arial"/>
                <w:b/>
                <w:bCs/>
                <w:color w:val="000000"/>
                <w:sz w:val="16"/>
                <w:szCs w:val="16"/>
                <w:lang w:eastAsia="pt-BR"/>
              </w:rPr>
              <w:t xml:space="preserve"> </w:t>
            </w:r>
            <w:r w:rsidR="00407873">
              <w:rPr>
                <w:rFonts w:eastAsia="Times New Roman" w:cs="Arial"/>
                <w:b/>
                <w:bCs/>
                <w:color w:val="000000"/>
                <w:sz w:val="16"/>
                <w:szCs w:val="16"/>
                <w:lang w:eastAsia="pt-BR"/>
              </w:rPr>
              <w:t xml:space="preserve">Geral </w:t>
            </w:r>
            <w:r>
              <w:rPr>
                <w:rFonts w:eastAsia="Times New Roman" w:cs="Arial"/>
                <w:b/>
                <w:bCs/>
                <w:color w:val="000000"/>
                <w:sz w:val="16"/>
                <w:szCs w:val="16"/>
                <w:lang w:eastAsia="pt-BR"/>
              </w:rPr>
              <w:t>– LT</w:t>
            </w:r>
          </w:p>
        </w:tc>
        <w:tc>
          <w:tcPr>
            <w:tcW w:w="1560" w:type="dxa"/>
            <w:shd w:val="clear" w:color="auto" w:fill="D9D9D9" w:themeFill="background1" w:themeFillShade="D9"/>
            <w:noWrap/>
            <w:vAlign w:val="center"/>
            <w:hideMark/>
          </w:tcPr>
          <w:p w:rsidR="009F172A" w:rsidRPr="00933478" w:rsidRDefault="009F172A" w:rsidP="009F172A">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3.154</w:t>
            </w:r>
          </w:p>
        </w:tc>
        <w:tc>
          <w:tcPr>
            <w:tcW w:w="1275" w:type="dxa"/>
            <w:shd w:val="clear" w:color="auto" w:fill="D9D9D9" w:themeFill="background1" w:themeFillShade="D9"/>
            <w:noWrap/>
            <w:vAlign w:val="center"/>
            <w:hideMark/>
          </w:tcPr>
          <w:p w:rsidR="009F172A" w:rsidRPr="004065CF" w:rsidRDefault="009F172A" w:rsidP="009F172A">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530</w:t>
            </w:r>
          </w:p>
        </w:tc>
        <w:tc>
          <w:tcPr>
            <w:tcW w:w="1134" w:type="dxa"/>
            <w:shd w:val="clear" w:color="auto" w:fill="D9D9D9" w:themeFill="background1" w:themeFillShade="D9"/>
            <w:noWrap/>
            <w:vAlign w:val="center"/>
            <w:hideMark/>
          </w:tcPr>
          <w:p w:rsidR="009F172A" w:rsidRPr="004065CF" w:rsidRDefault="009F172A" w:rsidP="009F172A">
            <w:pPr>
              <w:spacing w:after="0"/>
              <w:jc w:val="center"/>
              <w:rPr>
                <w:rFonts w:eastAsia="Times New Roman" w:cs="Arial"/>
                <w:b/>
                <w:bCs/>
                <w:color w:val="000000"/>
                <w:sz w:val="16"/>
                <w:szCs w:val="16"/>
                <w:lang w:eastAsia="pt-BR"/>
              </w:rPr>
            </w:pPr>
            <w:r w:rsidRPr="004065CF">
              <w:rPr>
                <w:rFonts w:eastAsia="Times New Roman" w:cs="Arial"/>
                <w:b/>
                <w:bCs/>
                <w:color w:val="000000"/>
                <w:sz w:val="16"/>
                <w:szCs w:val="16"/>
                <w:lang w:eastAsia="pt-BR"/>
              </w:rPr>
              <w:t>3.683</w:t>
            </w:r>
          </w:p>
        </w:tc>
      </w:tr>
    </w:tbl>
    <w:p w:rsidR="00B13BF5" w:rsidRDefault="00B13BF5" w:rsidP="00B84E57">
      <w:pPr>
        <w:rPr>
          <w:rFonts w:cs="Arial"/>
        </w:rPr>
      </w:pPr>
    </w:p>
    <w:p w:rsidR="007D3054" w:rsidRDefault="007D3054" w:rsidP="00B84E57">
      <w:pPr>
        <w:rPr>
          <w:rFonts w:cs="Arial"/>
        </w:rPr>
      </w:pPr>
      <w:r>
        <w:rPr>
          <w:rFonts w:cs="Arial"/>
        </w:rPr>
        <w:t xml:space="preserve">A </w:t>
      </w:r>
      <w:r w:rsidRPr="00534A16">
        <w:rPr>
          <w:rFonts w:cs="Arial"/>
          <w:b/>
        </w:rPr>
        <w:t>Tabela 6.4.3-3</w:t>
      </w:r>
      <w:r w:rsidRPr="007D3054">
        <w:rPr>
          <w:rFonts w:cs="Arial"/>
        </w:rPr>
        <w:t xml:space="preserve"> </w:t>
      </w:r>
      <w:r>
        <w:rPr>
          <w:rFonts w:cs="Arial"/>
        </w:rPr>
        <w:t>apresenta o</w:t>
      </w:r>
      <w:r w:rsidR="00534A16">
        <w:rPr>
          <w:rFonts w:cs="Arial"/>
        </w:rPr>
        <w:t xml:space="preserve">s fragmentos florestais mais significativos </w:t>
      </w:r>
      <w:r>
        <w:rPr>
          <w:rFonts w:cs="Arial"/>
        </w:rPr>
        <w:t>(</w:t>
      </w:r>
      <w:r w:rsidR="00534A16">
        <w:rPr>
          <w:rFonts w:cs="Arial"/>
        </w:rPr>
        <w:t>em termos de tamanho</w:t>
      </w:r>
      <w:r>
        <w:rPr>
          <w:rFonts w:cs="Arial"/>
        </w:rPr>
        <w:t>)</w:t>
      </w:r>
      <w:r w:rsidR="00534A16">
        <w:rPr>
          <w:rFonts w:cs="Arial"/>
        </w:rPr>
        <w:t xml:space="preserve"> </w:t>
      </w:r>
      <w:r>
        <w:rPr>
          <w:rFonts w:cs="Arial"/>
        </w:rPr>
        <w:t xml:space="preserve">adjacentes ao eixo da Interligação e das estradas de acesso à obra. </w:t>
      </w:r>
      <w:r w:rsidR="00F30C34">
        <w:rPr>
          <w:rFonts w:cs="Arial"/>
        </w:rPr>
        <w:t xml:space="preserve">A </w:t>
      </w:r>
      <w:r w:rsidR="00F30C34" w:rsidRPr="00507279">
        <w:rPr>
          <w:rFonts w:cs="Arial"/>
          <w:b/>
        </w:rPr>
        <w:t>Figura A5</w:t>
      </w:r>
      <w:r w:rsidR="00F30C34">
        <w:rPr>
          <w:rFonts w:cs="Arial"/>
        </w:rPr>
        <w:t xml:space="preserve">, escala 1:7.500, no </w:t>
      </w:r>
      <w:r w:rsidR="00F30C34" w:rsidRPr="007D3054">
        <w:rPr>
          <w:rFonts w:cs="Arial"/>
          <w:b/>
        </w:rPr>
        <w:t>Volume III</w:t>
      </w:r>
      <w:r w:rsidR="00F30C34">
        <w:rPr>
          <w:rFonts w:cs="Arial"/>
        </w:rPr>
        <w:t xml:space="preserve"> permite observar essas ocorrências.</w:t>
      </w:r>
    </w:p>
    <w:p w:rsidR="00534A16" w:rsidRPr="00C61DCD" w:rsidRDefault="00A31E71" w:rsidP="00C61DCD">
      <w:pPr>
        <w:pStyle w:val="Quadro"/>
      </w:pPr>
      <w:r w:rsidRPr="00C61DCD">
        <w:t>Tabela 6.4.3-3. Fragmentos Florestais mais Significativos na ADA</w:t>
      </w:r>
    </w:p>
    <w:tbl>
      <w:tblPr>
        <w:tblStyle w:val="Tabelacomgrade"/>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3236"/>
        <w:gridCol w:w="1017"/>
        <w:gridCol w:w="1369"/>
        <w:gridCol w:w="1479"/>
        <w:gridCol w:w="2233"/>
      </w:tblGrid>
      <w:tr w:rsidR="00F30C34" w:rsidRPr="00A31E71" w:rsidTr="00F30C34">
        <w:trPr>
          <w:jc w:val="center"/>
        </w:trPr>
        <w:tc>
          <w:tcPr>
            <w:tcW w:w="3256" w:type="dxa"/>
            <w:shd w:val="clear" w:color="auto" w:fill="D9D9D9" w:themeFill="background1" w:themeFillShade="D9"/>
          </w:tcPr>
          <w:p w:rsidR="00F30C34" w:rsidRPr="00A31E71" w:rsidRDefault="00F30C34" w:rsidP="00A31E71">
            <w:pPr>
              <w:spacing w:after="0"/>
              <w:jc w:val="center"/>
              <w:rPr>
                <w:rFonts w:cs="Arial"/>
                <w:b/>
                <w:sz w:val="18"/>
                <w:szCs w:val="18"/>
              </w:rPr>
            </w:pPr>
            <w:r w:rsidRPr="00A31E71">
              <w:rPr>
                <w:rFonts w:cs="Arial"/>
                <w:b/>
                <w:sz w:val="18"/>
                <w:szCs w:val="18"/>
              </w:rPr>
              <w:t>Trecho entre Estacas</w:t>
            </w:r>
          </w:p>
        </w:tc>
        <w:tc>
          <w:tcPr>
            <w:tcW w:w="988" w:type="dxa"/>
            <w:shd w:val="clear" w:color="auto" w:fill="D9D9D9" w:themeFill="background1" w:themeFillShade="D9"/>
          </w:tcPr>
          <w:p w:rsidR="00F30C34" w:rsidRPr="00A31E71" w:rsidRDefault="00F30C34" w:rsidP="00A31E71">
            <w:pPr>
              <w:spacing w:after="0"/>
              <w:jc w:val="center"/>
              <w:rPr>
                <w:rFonts w:cs="Arial"/>
                <w:b/>
                <w:sz w:val="18"/>
                <w:szCs w:val="18"/>
              </w:rPr>
            </w:pPr>
            <w:r>
              <w:rPr>
                <w:rFonts w:cs="Arial"/>
                <w:b/>
                <w:sz w:val="18"/>
                <w:szCs w:val="18"/>
              </w:rPr>
              <w:t>Extensão</w:t>
            </w:r>
          </w:p>
        </w:tc>
        <w:tc>
          <w:tcPr>
            <w:tcW w:w="1372" w:type="dxa"/>
            <w:shd w:val="clear" w:color="auto" w:fill="D9D9D9" w:themeFill="background1" w:themeFillShade="D9"/>
          </w:tcPr>
          <w:p w:rsidR="00F30C34" w:rsidRPr="00A31E71" w:rsidRDefault="00F30C34" w:rsidP="00A31E71">
            <w:pPr>
              <w:spacing w:after="0"/>
              <w:jc w:val="center"/>
              <w:rPr>
                <w:rFonts w:cs="Arial"/>
                <w:b/>
                <w:sz w:val="18"/>
                <w:szCs w:val="18"/>
              </w:rPr>
            </w:pPr>
            <w:r w:rsidRPr="00A31E71">
              <w:rPr>
                <w:rFonts w:cs="Arial"/>
                <w:b/>
                <w:sz w:val="18"/>
                <w:szCs w:val="18"/>
              </w:rPr>
              <w:t>Município</w:t>
            </w:r>
          </w:p>
        </w:tc>
        <w:tc>
          <w:tcPr>
            <w:tcW w:w="1484" w:type="dxa"/>
            <w:shd w:val="clear" w:color="auto" w:fill="D9D9D9" w:themeFill="background1" w:themeFillShade="D9"/>
          </w:tcPr>
          <w:p w:rsidR="00F30C34" w:rsidRDefault="00F30C34" w:rsidP="00A31E71">
            <w:pPr>
              <w:spacing w:after="0"/>
              <w:jc w:val="center"/>
              <w:rPr>
                <w:rFonts w:cs="Arial"/>
                <w:b/>
                <w:sz w:val="18"/>
                <w:szCs w:val="18"/>
              </w:rPr>
            </w:pPr>
            <w:r>
              <w:rPr>
                <w:rFonts w:cs="Arial"/>
                <w:b/>
                <w:sz w:val="18"/>
                <w:szCs w:val="18"/>
              </w:rPr>
              <w:t>Bacia</w:t>
            </w:r>
          </w:p>
        </w:tc>
        <w:tc>
          <w:tcPr>
            <w:tcW w:w="2244" w:type="dxa"/>
            <w:shd w:val="clear" w:color="auto" w:fill="D9D9D9" w:themeFill="background1" w:themeFillShade="D9"/>
          </w:tcPr>
          <w:p w:rsidR="00F30C34" w:rsidRPr="00A31E71" w:rsidRDefault="00F30C34" w:rsidP="00A31E71">
            <w:pPr>
              <w:spacing w:after="0"/>
              <w:jc w:val="center"/>
              <w:rPr>
                <w:rFonts w:cs="Arial"/>
                <w:b/>
                <w:sz w:val="18"/>
                <w:szCs w:val="18"/>
              </w:rPr>
            </w:pPr>
            <w:r>
              <w:rPr>
                <w:rFonts w:cs="Arial"/>
                <w:b/>
                <w:sz w:val="18"/>
                <w:szCs w:val="18"/>
              </w:rPr>
              <w:t>Instalação prevista</w:t>
            </w:r>
          </w:p>
        </w:tc>
      </w:tr>
      <w:tr w:rsidR="00F30C34" w:rsidRPr="00534A16" w:rsidTr="00F30C34">
        <w:trPr>
          <w:jc w:val="center"/>
        </w:trPr>
        <w:tc>
          <w:tcPr>
            <w:tcW w:w="3256" w:type="dxa"/>
          </w:tcPr>
          <w:p w:rsidR="00F30C34" w:rsidRPr="00534A16" w:rsidRDefault="00F30C34" w:rsidP="00534A16">
            <w:pPr>
              <w:spacing w:after="0"/>
              <w:rPr>
                <w:rFonts w:cs="Arial"/>
                <w:sz w:val="18"/>
                <w:szCs w:val="18"/>
              </w:rPr>
            </w:pPr>
            <w:r>
              <w:rPr>
                <w:rFonts w:cs="Arial"/>
                <w:sz w:val="18"/>
                <w:szCs w:val="18"/>
              </w:rPr>
              <w:t>22+20m a 25+50m</w:t>
            </w:r>
          </w:p>
        </w:tc>
        <w:tc>
          <w:tcPr>
            <w:tcW w:w="988" w:type="dxa"/>
          </w:tcPr>
          <w:p w:rsidR="00F30C34" w:rsidRDefault="00F30C34" w:rsidP="00D85D09">
            <w:pPr>
              <w:spacing w:after="0"/>
              <w:jc w:val="center"/>
              <w:rPr>
                <w:rFonts w:cs="Arial"/>
                <w:sz w:val="18"/>
                <w:szCs w:val="18"/>
              </w:rPr>
            </w:pPr>
            <w:r>
              <w:rPr>
                <w:rFonts w:cs="Arial"/>
                <w:sz w:val="18"/>
                <w:szCs w:val="18"/>
              </w:rPr>
              <w:t>330 m</w:t>
            </w:r>
          </w:p>
        </w:tc>
        <w:tc>
          <w:tcPr>
            <w:tcW w:w="1372" w:type="dxa"/>
            <w:vMerge w:val="restart"/>
            <w:vAlign w:val="center"/>
          </w:tcPr>
          <w:p w:rsidR="00F30C34" w:rsidRPr="00534A16" w:rsidRDefault="00F30C34" w:rsidP="00D85D09">
            <w:pPr>
              <w:spacing w:after="0"/>
              <w:jc w:val="center"/>
              <w:rPr>
                <w:rFonts w:cs="Arial"/>
                <w:sz w:val="18"/>
                <w:szCs w:val="18"/>
              </w:rPr>
            </w:pPr>
            <w:r>
              <w:rPr>
                <w:rFonts w:cs="Arial"/>
                <w:sz w:val="18"/>
                <w:szCs w:val="18"/>
              </w:rPr>
              <w:t>Santa Isabel</w:t>
            </w:r>
          </w:p>
        </w:tc>
        <w:tc>
          <w:tcPr>
            <w:tcW w:w="1484" w:type="dxa"/>
            <w:vMerge w:val="restart"/>
            <w:vAlign w:val="center"/>
          </w:tcPr>
          <w:p w:rsidR="00F30C34" w:rsidRDefault="00F30C34" w:rsidP="00320276">
            <w:pPr>
              <w:spacing w:after="0"/>
              <w:jc w:val="center"/>
              <w:rPr>
                <w:rFonts w:cs="Arial"/>
                <w:sz w:val="18"/>
                <w:szCs w:val="18"/>
              </w:rPr>
            </w:pPr>
            <w:r>
              <w:rPr>
                <w:rFonts w:cs="Arial"/>
                <w:sz w:val="18"/>
                <w:szCs w:val="18"/>
              </w:rPr>
              <w:t>Rio Jaguari</w:t>
            </w:r>
          </w:p>
        </w:tc>
        <w:tc>
          <w:tcPr>
            <w:tcW w:w="2244" w:type="dxa"/>
            <w:vMerge w:val="restart"/>
            <w:vAlign w:val="center"/>
          </w:tcPr>
          <w:p w:rsidR="00F30C34" w:rsidRPr="00534A16" w:rsidRDefault="00F30C34" w:rsidP="00D85D09">
            <w:pPr>
              <w:spacing w:after="0"/>
              <w:jc w:val="center"/>
              <w:rPr>
                <w:rFonts w:cs="Arial"/>
                <w:sz w:val="18"/>
                <w:szCs w:val="18"/>
              </w:rPr>
            </w:pPr>
            <w:r>
              <w:rPr>
                <w:rFonts w:cs="Arial"/>
                <w:sz w:val="18"/>
                <w:szCs w:val="18"/>
              </w:rPr>
              <w:t>Adutora</w:t>
            </w:r>
          </w:p>
        </w:tc>
      </w:tr>
      <w:tr w:rsidR="00F30C34" w:rsidRPr="00534A16" w:rsidTr="00F30C34">
        <w:trPr>
          <w:jc w:val="center"/>
        </w:trPr>
        <w:tc>
          <w:tcPr>
            <w:tcW w:w="3256" w:type="dxa"/>
          </w:tcPr>
          <w:p w:rsidR="00F30C34" w:rsidRPr="00534A16" w:rsidRDefault="00F30C34" w:rsidP="00534A16">
            <w:pPr>
              <w:spacing w:after="0"/>
              <w:rPr>
                <w:rFonts w:cs="Arial"/>
                <w:sz w:val="18"/>
                <w:szCs w:val="18"/>
              </w:rPr>
            </w:pPr>
            <w:r>
              <w:rPr>
                <w:rFonts w:cs="Arial"/>
                <w:sz w:val="18"/>
                <w:szCs w:val="18"/>
              </w:rPr>
              <w:t>32+00m a 33+00m</w:t>
            </w:r>
          </w:p>
        </w:tc>
        <w:tc>
          <w:tcPr>
            <w:tcW w:w="988" w:type="dxa"/>
          </w:tcPr>
          <w:p w:rsidR="00F30C34" w:rsidRPr="00534A16" w:rsidRDefault="00F30C34" w:rsidP="00D85D09">
            <w:pPr>
              <w:spacing w:after="0"/>
              <w:jc w:val="center"/>
              <w:rPr>
                <w:rFonts w:cs="Arial"/>
                <w:sz w:val="18"/>
                <w:szCs w:val="18"/>
              </w:rPr>
            </w:pPr>
            <w:r>
              <w:rPr>
                <w:rFonts w:cs="Arial"/>
                <w:sz w:val="18"/>
                <w:szCs w:val="18"/>
              </w:rPr>
              <w:t>100 m</w:t>
            </w:r>
          </w:p>
        </w:tc>
        <w:tc>
          <w:tcPr>
            <w:tcW w:w="1372" w:type="dxa"/>
            <w:vMerge/>
            <w:vAlign w:val="center"/>
          </w:tcPr>
          <w:p w:rsidR="00F30C34" w:rsidRPr="00534A16" w:rsidRDefault="00F30C34" w:rsidP="00D85D09">
            <w:pPr>
              <w:spacing w:after="0"/>
              <w:jc w:val="center"/>
              <w:rPr>
                <w:rFonts w:cs="Arial"/>
                <w:sz w:val="18"/>
                <w:szCs w:val="18"/>
              </w:rPr>
            </w:pPr>
          </w:p>
        </w:tc>
        <w:tc>
          <w:tcPr>
            <w:tcW w:w="1484" w:type="dxa"/>
            <w:vMerge/>
            <w:vAlign w:val="center"/>
          </w:tcPr>
          <w:p w:rsidR="00F30C34" w:rsidRPr="00534A16" w:rsidRDefault="00F30C34" w:rsidP="00320276">
            <w:pPr>
              <w:spacing w:after="0"/>
              <w:jc w:val="center"/>
              <w:rPr>
                <w:rFonts w:cs="Arial"/>
                <w:sz w:val="18"/>
                <w:szCs w:val="18"/>
              </w:rPr>
            </w:pPr>
          </w:p>
        </w:tc>
        <w:tc>
          <w:tcPr>
            <w:tcW w:w="2244" w:type="dxa"/>
            <w:vMerge/>
            <w:vAlign w:val="center"/>
          </w:tcPr>
          <w:p w:rsidR="00F30C34" w:rsidRPr="00534A16" w:rsidRDefault="00F30C34" w:rsidP="00D85D09">
            <w:pPr>
              <w:spacing w:after="0"/>
              <w:jc w:val="center"/>
              <w:rPr>
                <w:rFonts w:cs="Arial"/>
                <w:sz w:val="18"/>
                <w:szCs w:val="18"/>
              </w:rPr>
            </w:pPr>
          </w:p>
        </w:tc>
      </w:tr>
      <w:tr w:rsidR="00F30C34" w:rsidRPr="00534A16" w:rsidTr="00F30C34">
        <w:trPr>
          <w:jc w:val="center"/>
        </w:trPr>
        <w:tc>
          <w:tcPr>
            <w:tcW w:w="3256" w:type="dxa"/>
          </w:tcPr>
          <w:p w:rsidR="00F30C34" w:rsidRPr="00534A16" w:rsidRDefault="00F30C34" w:rsidP="00534A16">
            <w:pPr>
              <w:spacing w:after="0"/>
              <w:rPr>
                <w:rFonts w:cs="Arial"/>
                <w:sz w:val="18"/>
                <w:szCs w:val="18"/>
              </w:rPr>
            </w:pPr>
            <w:r>
              <w:rPr>
                <w:rFonts w:cs="Arial"/>
                <w:sz w:val="18"/>
                <w:szCs w:val="18"/>
              </w:rPr>
              <w:t>62+50m a 63+50m</w:t>
            </w:r>
          </w:p>
        </w:tc>
        <w:tc>
          <w:tcPr>
            <w:tcW w:w="988" w:type="dxa"/>
          </w:tcPr>
          <w:p w:rsidR="00F30C34" w:rsidRDefault="00F30C34" w:rsidP="00D85D09">
            <w:pPr>
              <w:spacing w:after="0"/>
              <w:jc w:val="center"/>
              <w:rPr>
                <w:rFonts w:cs="Arial"/>
                <w:sz w:val="18"/>
                <w:szCs w:val="18"/>
              </w:rPr>
            </w:pPr>
            <w:r>
              <w:rPr>
                <w:rFonts w:cs="Arial"/>
                <w:sz w:val="18"/>
                <w:szCs w:val="18"/>
              </w:rPr>
              <w:t>100 m</w:t>
            </w:r>
          </w:p>
        </w:tc>
        <w:tc>
          <w:tcPr>
            <w:tcW w:w="1372" w:type="dxa"/>
            <w:vMerge w:val="restart"/>
            <w:vAlign w:val="center"/>
          </w:tcPr>
          <w:p w:rsidR="00F30C34" w:rsidRPr="00534A16" w:rsidRDefault="00F30C34" w:rsidP="00D85D09">
            <w:pPr>
              <w:spacing w:after="0"/>
              <w:jc w:val="center"/>
              <w:rPr>
                <w:rFonts w:cs="Arial"/>
                <w:sz w:val="18"/>
                <w:szCs w:val="18"/>
              </w:rPr>
            </w:pPr>
            <w:r>
              <w:rPr>
                <w:rFonts w:cs="Arial"/>
                <w:sz w:val="18"/>
                <w:szCs w:val="18"/>
              </w:rPr>
              <w:t>Igaratá</w:t>
            </w:r>
          </w:p>
        </w:tc>
        <w:tc>
          <w:tcPr>
            <w:tcW w:w="1484" w:type="dxa"/>
            <w:vMerge/>
            <w:vAlign w:val="center"/>
          </w:tcPr>
          <w:p w:rsidR="00F30C34" w:rsidRPr="00534A16" w:rsidRDefault="00F30C34" w:rsidP="00320276">
            <w:pPr>
              <w:spacing w:after="0"/>
              <w:jc w:val="center"/>
              <w:rPr>
                <w:rFonts w:cs="Arial"/>
                <w:sz w:val="18"/>
                <w:szCs w:val="18"/>
              </w:rPr>
            </w:pPr>
          </w:p>
        </w:tc>
        <w:tc>
          <w:tcPr>
            <w:tcW w:w="2244" w:type="dxa"/>
            <w:vMerge/>
            <w:vAlign w:val="center"/>
          </w:tcPr>
          <w:p w:rsidR="00F30C34" w:rsidRPr="00534A16" w:rsidRDefault="00F30C34" w:rsidP="00D85D09">
            <w:pPr>
              <w:spacing w:after="0"/>
              <w:jc w:val="center"/>
              <w:rPr>
                <w:rFonts w:cs="Arial"/>
                <w:sz w:val="18"/>
                <w:szCs w:val="18"/>
              </w:rPr>
            </w:pPr>
          </w:p>
        </w:tc>
      </w:tr>
      <w:tr w:rsidR="00F30C34" w:rsidRPr="00534A16" w:rsidTr="00F30C34">
        <w:trPr>
          <w:jc w:val="center"/>
        </w:trPr>
        <w:tc>
          <w:tcPr>
            <w:tcW w:w="3256" w:type="dxa"/>
          </w:tcPr>
          <w:p w:rsidR="00F30C34" w:rsidRPr="00534A16" w:rsidRDefault="00F30C34" w:rsidP="00A31E71">
            <w:pPr>
              <w:spacing w:after="0"/>
              <w:rPr>
                <w:rFonts w:cs="Arial"/>
                <w:sz w:val="18"/>
                <w:szCs w:val="18"/>
              </w:rPr>
            </w:pPr>
            <w:r>
              <w:rPr>
                <w:rFonts w:cs="Arial"/>
                <w:sz w:val="18"/>
                <w:szCs w:val="18"/>
              </w:rPr>
              <w:t>73+00m a 78+00m (lado direito)</w:t>
            </w:r>
          </w:p>
        </w:tc>
        <w:tc>
          <w:tcPr>
            <w:tcW w:w="988" w:type="dxa"/>
          </w:tcPr>
          <w:p w:rsidR="00F30C34" w:rsidRPr="00534A16" w:rsidRDefault="00F30C34" w:rsidP="00D85D09">
            <w:pPr>
              <w:spacing w:after="0"/>
              <w:jc w:val="center"/>
              <w:rPr>
                <w:rFonts w:cs="Arial"/>
                <w:sz w:val="18"/>
                <w:szCs w:val="18"/>
              </w:rPr>
            </w:pPr>
            <w:r>
              <w:rPr>
                <w:rFonts w:cs="Arial"/>
                <w:sz w:val="18"/>
                <w:szCs w:val="18"/>
              </w:rPr>
              <w:t>500 m</w:t>
            </w:r>
          </w:p>
        </w:tc>
        <w:tc>
          <w:tcPr>
            <w:tcW w:w="1372" w:type="dxa"/>
            <w:vMerge/>
            <w:vAlign w:val="center"/>
          </w:tcPr>
          <w:p w:rsidR="00F30C34" w:rsidRPr="00534A16" w:rsidRDefault="00F30C34" w:rsidP="00D85D09">
            <w:pPr>
              <w:spacing w:after="0"/>
              <w:jc w:val="center"/>
              <w:rPr>
                <w:rFonts w:cs="Arial"/>
                <w:sz w:val="18"/>
                <w:szCs w:val="18"/>
              </w:rPr>
            </w:pPr>
          </w:p>
        </w:tc>
        <w:tc>
          <w:tcPr>
            <w:tcW w:w="1484" w:type="dxa"/>
            <w:vMerge/>
            <w:vAlign w:val="center"/>
          </w:tcPr>
          <w:p w:rsidR="00F30C34" w:rsidRPr="00534A16" w:rsidRDefault="00F30C34" w:rsidP="00320276">
            <w:pPr>
              <w:spacing w:after="0"/>
              <w:jc w:val="center"/>
              <w:rPr>
                <w:rFonts w:cs="Arial"/>
                <w:sz w:val="18"/>
                <w:szCs w:val="18"/>
              </w:rPr>
            </w:pPr>
          </w:p>
        </w:tc>
        <w:tc>
          <w:tcPr>
            <w:tcW w:w="2244" w:type="dxa"/>
            <w:vMerge/>
            <w:vAlign w:val="center"/>
          </w:tcPr>
          <w:p w:rsidR="00F30C34" w:rsidRPr="00534A16" w:rsidRDefault="00F30C34" w:rsidP="00D85D09">
            <w:pPr>
              <w:spacing w:after="0"/>
              <w:jc w:val="center"/>
              <w:rPr>
                <w:rFonts w:cs="Arial"/>
                <w:sz w:val="18"/>
                <w:szCs w:val="18"/>
              </w:rPr>
            </w:pPr>
          </w:p>
        </w:tc>
      </w:tr>
      <w:tr w:rsidR="00F30C34" w:rsidRPr="00534A16" w:rsidTr="00F30C34">
        <w:trPr>
          <w:jc w:val="center"/>
        </w:trPr>
        <w:tc>
          <w:tcPr>
            <w:tcW w:w="3256" w:type="dxa"/>
          </w:tcPr>
          <w:p w:rsidR="00F30C34" w:rsidRPr="00534A16" w:rsidRDefault="00F30C34" w:rsidP="00534A16">
            <w:pPr>
              <w:spacing w:after="0"/>
              <w:rPr>
                <w:rFonts w:cs="Arial"/>
                <w:sz w:val="18"/>
                <w:szCs w:val="18"/>
              </w:rPr>
            </w:pPr>
            <w:r>
              <w:rPr>
                <w:rFonts w:cs="Arial"/>
                <w:sz w:val="18"/>
                <w:szCs w:val="18"/>
              </w:rPr>
              <w:t>76+00m a 77+00m (lado esquerdo)</w:t>
            </w:r>
          </w:p>
        </w:tc>
        <w:tc>
          <w:tcPr>
            <w:tcW w:w="988" w:type="dxa"/>
          </w:tcPr>
          <w:p w:rsidR="00F30C34" w:rsidRPr="00534A16" w:rsidRDefault="00F30C34" w:rsidP="00D85D09">
            <w:pPr>
              <w:spacing w:after="0"/>
              <w:jc w:val="center"/>
              <w:rPr>
                <w:rFonts w:cs="Arial"/>
                <w:sz w:val="18"/>
                <w:szCs w:val="18"/>
              </w:rPr>
            </w:pPr>
            <w:r>
              <w:rPr>
                <w:rFonts w:cs="Arial"/>
                <w:sz w:val="18"/>
                <w:szCs w:val="18"/>
              </w:rPr>
              <w:t>100 m</w:t>
            </w:r>
          </w:p>
        </w:tc>
        <w:tc>
          <w:tcPr>
            <w:tcW w:w="1372" w:type="dxa"/>
            <w:vMerge/>
            <w:vAlign w:val="center"/>
          </w:tcPr>
          <w:p w:rsidR="00F30C34" w:rsidRPr="00534A16" w:rsidRDefault="00F30C34" w:rsidP="00D85D09">
            <w:pPr>
              <w:spacing w:after="0"/>
              <w:jc w:val="center"/>
              <w:rPr>
                <w:rFonts w:cs="Arial"/>
                <w:sz w:val="18"/>
                <w:szCs w:val="18"/>
              </w:rPr>
            </w:pPr>
          </w:p>
        </w:tc>
        <w:tc>
          <w:tcPr>
            <w:tcW w:w="1484" w:type="dxa"/>
            <w:vMerge/>
            <w:vAlign w:val="center"/>
          </w:tcPr>
          <w:p w:rsidR="00F30C34" w:rsidRPr="00534A16" w:rsidRDefault="00F30C34" w:rsidP="00320276">
            <w:pPr>
              <w:spacing w:after="0"/>
              <w:jc w:val="center"/>
              <w:rPr>
                <w:rFonts w:cs="Arial"/>
                <w:sz w:val="18"/>
                <w:szCs w:val="18"/>
              </w:rPr>
            </w:pPr>
          </w:p>
        </w:tc>
        <w:tc>
          <w:tcPr>
            <w:tcW w:w="2244" w:type="dxa"/>
            <w:vMerge/>
            <w:vAlign w:val="center"/>
          </w:tcPr>
          <w:p w:rsidR="00F30C34" w:rsidRPr="00534A16" w:rsidRDefault="00F30C34" w:rsidP="00D85D09">
            <w:pPr>
              <w:spacing w:after="0"/>
              <w:jc w:val="center"/>
              <w:rPr>
                <w:rFonts w:cs="Arial"/>
                <w:sz w:val="18"/>
                <w:szCs w:val="18"/>
              </w:rPr>
            </w:pPr>
          </w:p>
        </w:tc>
      </w:tr>
      <w:tr w:rsidR="00F30C34" w:rsidRPr="00534A16" w:rsidTr="00F30C34">
        <w:trPr>
          <w:jc w:val="center"/>
        </w:trPr>
        <w:tc>
          <w:tcPr>
            <w:tcW w:w="3256" w:type="dxa"/>
          </w:tcPr>
          <w:p w:rsidR="00F30C34" w:rsidRDefault="00F30C34" w:rsidP="00A31E71">
            <w:pPr>
              <w:spacing w:after="0"/>
              <w:rPr>
                <w:rFonts w:cs="Arial"/>
                <w:sz w:val="18"/>
                <w:szCs w:val="18"/>
              </w:rPr>
            </w:pPr>
            <w:r>
              <w:rPr>
                <w:rFonts w:cs="Arial"/>
                <w:sz w:val="18"/>
                <w:szCs w:val="18"/>
              </w:rPr>
              <w:t>148+00m a 149+20m</w:t>
            </w:r>
          </w:p>
        </w:tc>
        <w:tc>
          <w:tcPr>
            <w:tcW w:w="988" w:type="dxa"/>
          </w:tcPr>
          <w:p w:rsidR="00F30C34" w:rsidRPr="00534A16" w:rsidRDefault="00F30C34" w:rsidP="00D85D09">
            <w:pPr>
              <w:spacing w:after="0"/>
              <w:jc w:val="center"/>
              <w:rPr>
                <w:rFonts w:cs="Arial"/>
                <w:sz w:val="18"/>
                <w:szCs w:val="18"/>
              </w:rPr>
            </w:pPr>
            <w:r>
              <w:rPr>
                <w:rFonts w:cs="Arial"/>
                <w:sz w:val="18"/>
                <w:szCs w:val="18"/>
              </w:rPr>
              <w:t>120 m</w:t>
            </w:r>
          </w:p>
        </w:tc>
        <w:tc>
          <w:tcPr>
            <w:tcW w:w="1372" w:type="dxa"/>
            <w:vMerge/>
            <w:vAlign w:val="center"/>
          </w:tcPr>
          <w:p w:rsidR="00F30C34" w:rsidRPr="00534A16" w:rsidRDefault="00F30C34" w:rsidP="00D85D09">
            <w:pPr>
              <w:spacing w:after="0"/>
              <w:jc w:val="center"/>
              <w:rPr>
                <w:rFonts w:cs="Arial"/>
                <w:sz w:val="18"/>
                <w:szCs w:val="18"/>
              </w:rPr>
            </w:pPr>
          </w:p>
        </w:tc>
        <w:tc>
          <w:tcPr>
            <w:tcW w:w="1484" w:type="dxa"/>
            <w:vMerge/>
            <w:vAlign w:val="center"/>
          </w:tcPr>
          <w:p w:rsidR="00F30C34" w:rsidRDefault="00F30C34" w:rsidP="00320276">
            <w:pPr>
              <w:spacing w:after="0"/>
              <w:jc w:val="center"/>
              <w:rPr>
                <w:rFonts w:cs="Arial"/>
                <w:sz w:val="18"/>
                <w:szCs w:val="18"/>
              </w:rPr>
            </w:pPr>
          </w:p>
        </w:tc>
        <w:tc>
          <w:tcPr>
            <w:tcW w:w="2244" w:type="dxa"/>
            <w:vMerge w:val="restart"/>
            <w:vAlign w:val="center"/>
          </w:tcPr>
          <w:p w:rsidR="00F30C34" w:rsidRPr="00534A16" w:rsidRDefault="00F30C34" w:rsidP="00D85D09">
            <w:pPr>
              <w:spacing w:after="0"/>
              <w:jc w:val="center"/>
              <w:rPr>
                <w:rFonts w:cs="Arial"/>
                <w:sz w:val="18"/>
                <w:szCs w:val="18"/>
              </w:rPr>
            </w:pPr>
            <w:r>
              <w:rPr>
                <w:rFonts w:cs="Arial"/>
                <w:sz w:val="18"/>
                <w:szCs w:val="18"/>
              </w:rPr>
              <w:t>Melhoria no acesso viário paralelo ao túnel (aprox.)</w:t>
            </w:r>
          </w:p>
        </w:tc>
      </w:tr>
      <w:tr w:rsidR="00F30C34" w:rsidRPr="00534A16" w:rsidTr="00F30C34">
        <w:trPr>
          <w:jc w:val="center"/>
        </w:trPr>
        <w:tc>
          <w:tcPr>
            <w:tcW w:w="3256" w:type="dxa"/>
          </w:tcPr>
          <w:p w:rsidR="00F30C34" w:rsidRPr="00534A16" w:rsidRDefault="00F30C34" w:rsidP="007D3054">
            <w:pPr>
              <w:spacing w:after="0"/>
              <w:rPr>
                <w:rFonts w:cs="Arial"/>
                <w:sz w:val="18"/>
                <w:szCs w:val="18"/>
              </w:rPr>
            </w:pPr>
            <w:r>
              <w:rPr>
                <w:rFonts w:cs="Arial"/>
                <w:sz w:val="18"/>
                <w:szCs w:val="18"/>
              </w:rPr>
              <w:t>149+20m a 150+20m</w:t>
            </w:r>
          </w:p>
        </w:tc>
        <w:tc>
          <w:tcPr>
            <w:tcW w:w="988" w:type="dxa"/>
          </w:tcPr>
          <w:p w:rsidR="00F30C34" w:rsidRDefault="00F30C34" w:rsidP="00D85D09">
            <w:pPr>
              <w:spacing w:after="0"/>
              <w:jc w:val="center"/>
              <w:rPr>
                <w:rFonts w:cs="Arial"/>
                <w:sz w:val="18"/>
                <w:szCs w:val="18"/>
              </w:rPr>
            </w:pPr>
            <w:r>
              <w:rPr>
                <w:rFonts w:cs="Arial"/>
                <w:sz w:val="18"/>
                <w:szCs w:val="18"/>
              </w:rPr>
              <w:t>100 m</w:t>
            </w:r>
          </w:p>
        </w:tc>
        <w:tc>
          <w:tcPr>
            <w:tcW w:w="1372" w:type="dxa"/>
            <w:vMerge w:val="restart"/>
            <w:vAlign w:val="center"/>
          </w:tcPr>
          <w:p w:rsidR="00F30C34" w:rsidRPr="00534A16" w:rsidRDefault="00F30C34" w:rsidP="00D85D09">
            <w:pPr>
              <w:spacing w:after="0"/>
              <w:jc w:val="center"/>
              <w:rPr>
                <w:rFonts w:cs="Arial"/>
                <w:sz w:val="18"/>
                <w:szCs w:val="18"/>
              </w:rPr>
            </w:pPr>
            <w:r>
              <w:rPr>
                <w:rFonts w:cs="Arial"/>
                <w:sz w:val="18"/>
                <w:szCs w:val="18"/>
              </w:rPr>
              <w:t>Nazaré Paulista</w:t>
            </w:r>
          </w:p>
        </w:tc>
        <w:tc>
          <w:tcPr>
            <w:tcW w:w="1484" w:type="dxa"/>
            <w:vMerge w:val="restart"/>
            <w:vAlign w:val="center"/>
          </w:tcPr>
          <w:p w:rsidR="00F30C34" w:rsidRPr="00534A16" w:rsidRDefault="00F30C34" w:rsidP="00320276">
            <w:pPr>
              <w:spacing w:after="0"/>
              <w:jc w:val="center"/>
              <w:rPr>
                <w:rFonts w:cs="Arial"/>
                <w:sz w:val="18"/>
                <w:szCs w:val="18"/>
              </w:rPr>
            </w:pPr>
            <w:r>
              <w:rPr>
                <w:rFonts w:cs="Arial"/>
                <w:sz w:val="18"/>
                <w:szCs w:val="18"/>
              </w:rPr>
              <w:t>Rio Atibainha</w:t>
            </w:r>
          </w:p>
        </w:tc>
        <w:tc>
          <w:tcPr>
            <w:tcW w:w="2244" w:type="dxa"/>
            <w:vMerge/>
            <w:vAlign w:val="center"/>
          </w:tcPr>
          <w:p w:rsidR="00F30C34" w:rsidRPr="00534A16" w:rsidRDefault="00F30C34" w:rsidP="00D85D09">
            <w:pPr>
              <w:spacing w:after="0"/>
              <w:jc w:val="center"/>
              <w:rPr>
                <w:rFonts w:cs="Arial"/>
                <w:sz w:val="18"/>
                <w:szCs w:val="18"/>
              </w:rPr>
            </w:pPr>
          </w:p>
        </w:tc>
      </w:tr>
      <w:tr w:rsidR="00F30C34" w:rsidRPr="00534A16" w:rsidTr="00F30C34">
        <w:trPr>
          <w:jc w:val="center"/>
        </w:trPr>
        <w:tc>
          <w:tcPr>
            <w:tcW w:w="3256" w:type="dxa"/>
          </w:tcPr>
          <w:p w:rsidR="00F30C34" w:rsidRPr="00534A16" w:rsidRDefault="00F30C34" w:rsidP="007D3054">
            <w:pPr>
              <w:spacing w:after="0"/>
              <w:rPr>
                <w:rFonts w:cs="Arial"/>
                <w:sz w:val="18"/>
                <w:szCs w:val="18"/>
              </w:rPr>
            </w:pPr>
            <w:r>
              <w:rPr>
                <w:rFonts w:cs="Arial"/>
                <w:sz w:val="18"/>
                <w:szCs w:val="18"/>
              </w:rPr>
              <w:t>Trecho de 400 m (fora do eixo)</w:t>
            </w:r>
          </w:p>
        </w:tc>
        <w:tc>
          <w:tcPr>
            <w:tcW w:w="988" w:type="dxa"/>
          </w:tcPr>
          <w:p w:rsidR="00F30C34" w:rsidRPr="00534A16" w:rsidRDefault="00F30C34" w:rsidP="00F30C34">
            <w:pPr>
              <w:spacing w:after="0"/>
              <w:jc w:val="center"/>
              <w:rPr>
                <w:rFonts w:cs="Arial"/>
                <w:sz w:val="18"/>
                <w:szCs w:val="18"/>
              </w:rPr>
            </w:pPr>
            <w:r>
              <w:rPr>
                <w:rFonts w:cs="Arial"/>
                <w:sz w:val="18"/>
                <w:szCs w:val="18"/>
              </w:rPr>
              <w:t>400 m</w:t>
            </w:r>
          </w:p>
        </w:tc>
        <w:tc>
          <w:tcPr>
            <w:tcW w:w="1372" w:type="dxa"/>
            <w:vMerge/>
          </w:tcPr>
          <w:p w:rsidR="00F30C34" w:rsidRPr="00534A16" w:rsidRDefault="00F30C34" w:rsidP="00534A16">
            <w:pPr>
              <w:spacing w:after="0"/>
              <w:rPr>
                <w:rFonts w:cs="Arial"/>
                <w:sz w:val="18"/>
                <w:szCs w:val="18"/>
              </w:rPr>
            </w:pPr>
          </w:p>
        </w:tc>
        <w:tc>
          <w:tcPr>
            <w:tcW w:w="1484" w:type="dxa"/>
            <w:vMerge/>
          </w:tcPr>
          <w:p w:rsidR="00F30C34" w:rsidRPr="00534A16" w:rsidRDefault="00F30C34" w:rsidP="00D85D09">
            <w:pPr>
              <w:spacing w:after="0"/>
              <w:jc w:val="center"/>
              <w:rPr>
                <w:rFonts w:cs="Arial"/>
                <w:sz w:val="18"/>
                <w:szCs w:val="18"/>
              </w:rPr>
            </w:pPr>
          </w:p>
        </w:tc>
        <w:tc>
          <w:tcPr>
            <w:tcW w:w="2244" w:type="dxa"/>
            <w:vMerge/>
            <w:vAlign w:val="center"/>
          </w:tcPr>
          <w:p w:rsidR="00F30C34" w:rsidRPr="00534A16" w:rsidRDefault="00F30C34" w:rsidP="00D85D09">
            <w:pPr>
              <w:spacing w:after="0"/>
              <w:jc w:val="center"/>
              <w:rPr>
                <w:rFonts w:cs="Arial"/>
                <w:sz w:val="18"/>
                <w:szCs w:val="18"/>
              </w:rPr>
            </w:pPr>
          </w:p>
        </w:tc>
      </w:tr>
    </w:tbl>
    <w:p w:rsidR="007D3054" w:rsidRDefault="007D3054" w:rsidP="00F30C34">
      <w:pPr>
        <w:spacing w:before="120"/>
        <w:rPr>
          <w:rFonts w:cs="Arial"/>
        </w:rPr>
      </w:pPr>
      <w:r>
        <w:rPr>
          <w:rFonts w:cs="Arial"/>
        </w:rPr>
        <w:t xml:space="preserve">Os fragmentos adjacentes à adutora devem sofrer </w:t>
      </w:r>
      <w:r w:rsidR="00F30C34">
        <w:rPr>
          <w:rFonts w:cs="Arial"/>
        </w:rPr>
        <w:t xml:space="preserve">algum </w:t>
      </w:r>
      <w:r>
        <w:rPr>
          <w:rFonts w:cs="Arial"/>
        </w:rPr>
        <w:t xml:space="preserve">efeito de borda permanente em face da supressão de estreitas franjas </w:t>
      </w:r>
      <w:r w:rsidR="00F30C34">
        <w:rPr>
          <w:rFonts w:cs="Arial"/>
        </w:rPr>
        <w:t xml:space="preserve">de vegetação </w:t>
      </w:r>
      <w:r>
        <w:rPr>
          <w:rFonts w:cs="Arial"/>
        </w:rPr>
        <w:t xml:space="preserve">lindeiras ao traçado. Estima-se, a princípio, que não haverá necessidade de supressão </w:t>
      </w:r>
      <w:r w:rsidR="00F30C34">
        <w:rPr>
          <w:rFonts w:cs="Arial"/>
        </w:rPr>
        <w:t xml:space="preserve">de vegetação ao longo das estradas de acesso à obra, com o que o efeito </w:t>
      </w:r>
      <w:r>
        <w:rPr>
          <w:rFonts w:cs="Arial"/>
        </w:rPr>
        <w:t xml:space="preserve">de borda </w:t>
      </w:r>
      <w:r w:rsidR="00F30C34">
        <w:rPr>
          <w:rFonts w:cs="Arial"/>
        </w:rPr>
        <w:t>deve ficar limitado ao impacto temporário de ruído e emissões veiculares durante a obra</w:t>
      </w:r>
      <w:r>
        <w:rPr>
          <w:rFonts w:cs="Arial"/>
        </w:rPr>
        <w:t xml:space="preserve">. </w:t>
      </w:r>
    </w:p>
    <w:p w:rsidR="00D9475A" w:rsidRDefault="004D7309" w:rsidP="00811787">
      <w:pPr>
        <w:pStyle w:val="Ttulo3"/>
      </w:pPr>
      <w:bookmarkStart w:id="67" w:name="_Toc411871201"/>
      <w:r>
        <w:t xml:space="preserve">Diagnóstico da Fauna de </w:t>
      </w:r>
      <w:r w:rsidR="00D9475A" w:rsidRPr="0069310A">
        <w:t>Vertebrados Terrestres</w:t>
      </w:r>
      <w:bookmarkEnd w:id="67"/>
    </w:p>
    <w:p w:rsidR="004D7309" w:rsidRPr="00AE2A0D" w:rsidRDefault="004D7309" w:rsidP="004D7309">
      <w:r w:rsidRPr="00AE2A0D">
        <w:t xml:space="preserve">Para a elaboração do diagnóstico da fauna de vertebrados terrestres foram consideradas duas escalas de abrangência. A primeira escala considerou o contexto regional e teve o intuito de identificar e caracterizar, através de dados secundários, a fauna com potencial presença na área do empreendimento. Os grupos considerados nessa etapa foram aves (avifauna), anfíbios e répteis (herpetofauna), mamíferos não voadores (pequenos mamíferos, mamíferos de médio e grande porte) e mamíferos voadores (morcegos). Com base na vasta literatura pertinente e em bancos de dados disponíveis dos principais museus brasileiros, foram listadas as espécies de provável ocorrência na área de influência indireta (AII). As listas de espécies foram interpretadas buscando diagnosticar o grau de integridade da fauna regional e seu estado de conservação. </w:t>
      </w:r>
    </w:p>
    <w:p w:rsidR="004D7309" w:rsidRPr="00AE2A0D" w:rsidRDefault="004D7309" w:rsidP="004D7309">
      <w:r w:rsidRPr="00AE2A0D">
        <w:t>A segunda escala abordada para complementar o estudo foi a local, a qual foi realizada com uma incursão a campo entre os dias 30/09 e 05/10/2014 para o levantamento da fauna presente nas imediações do empreendimento. Nessa etapa, os grupos amostrados foram avifauna, herpetofauna e mamíferos de médio e grande porte. Dentre os ambientes presentes na AID, optou-se por concentrar os esforços de amostragem nas áreas com melhor estado de conservação, sem, no entanto, descartar as áreas mais degradadas e alteradas.</w:t>
      </w:r>
    </w:p>
    <w:p w:rsidR="004D7309" w:rsidRPr="00AE2A0D" w:rsidRDefault="004D7309" w:rsidP="004D7309">
      <w:r w:rsidRPr="00AE2A0D">
        <w:t xml:space="preserve">A seguir apresentam-se a descrição das áreas de amostragem e os diagnósticos de cada grupo da fauna terrestre nas duas escalas de abordagem, com considerações metodológicas e seus pontos amostrais. De forma geral, todos os grupos foram amostrados em cinco áreas em comum; estas áreas foram escolhidas por representar os principais ambientes e fisionomias presentes na área de influência direta do empreendimento. </w:t>
      </w:r>
    </w:p>
    <w:p w:rsidR="004D7309" w:rsidRPr="00AE2A0D" w:rsidRDefault="004D7309" w:rsidP="004D7309">
      <w:pPr>
        <w:pStyle w:val="Ttulo4"/>
      </w:pPr>
      <w:bookmarkStart w:id="68" w:name="_Toc387852799"/>
      <w:bookmarkStart w:id="69" w:name="_Toc402254379"/>
      <w:bookmarkStart w:id="70" w:name="_Toc411871202"/>
      <w:r w:rsidRPr="00AE2A0D">
        <w:lastRenderedPageBreak/>
        <w:t>Objetivos</w:t>
      </w:r>
      <w:bookmarkEnd w:id="68"/>
      <w:bookmarkEnd w:id="69"/>
      <w:bookmarkEnd w:id="70"/>
    </w:p>
    <w:p w:rsidR="004D7309" w:rsidRPr="00AE2A0D" w:rsidRDefault="004D7309" w:rsidP="004D7309">
      <w:r w:rsidRPr="00AE2A0D">
        <w:t>O presente diagnóstico tem como objetivo principal detectar e caracterizar a fauna de vertebrados terrestres nas áreas de influência da interligação das represas Jaguari e Atibainha, SP, visando gerar mais dados acerca da biodiversidade presente na área de estudo, auxiliando desta maneira na tomada de decisões a respeito dos potenciais impactos sobre a fauna e medidas mitigadores para minimizar os potenciais impactos.</w:t>
      </w:r>
    </w:p>
    <w:p w:rsidR="004D7309" w:rsidRPr="00AE2A0D" w:rsidRDefault="004D7309" w:rsidP="004D7309">
      <w:r w:rsidRPr="00AE2A0D">
        <w:t>Entre os objetivos específicos, estão:</w:t>
      </w:r>
    </w:p>
    <w:p w:rsidR="004D7309" w:rsidRPr="00AE2A0D" w:rsidRDefault="004D7309" w:rsidP="000C50CE">
      <w:pPr>
        <w:pStyle w:val="PargrafodaLista"/>
        <w:numPr>
          <w:ilvl w:val="0"/>
          <w:numId w:val="9"/>
        </w:numPr>
        <w:rPr>
          <w:rFonts w:eastAsia="SimSun"/>
        </w:rPr>
      </w:pPr>
      <w:r w:rsidRPr="00AE2A0D">
        <w:t xml:space="preserve">Caracterizar a fauna terrestre por meio de dados secundários da região na qual se insere o empreendimento. </w:t>
      </w:r>
    </w:p>
    <w:p w:rsidR="004D7309" w:rsidRPr="00AE2A0D" w:rsidRDefault="004D7309" w:rsidP="000C50CE">
      <w:pPr>
        <w:pStyle w:val="PargrafodaLista"/>
        <w:numPr>
          <w:ilvl w:val="0"/>
          <w:numId w:val="9"/>
        </w:numPr>
        <w:rPr>
          <w:rFonts w:eastAsia="SimSun"/>
        </w:rPr>
      </w:pPr>
      <w:r w:rsidRPr="00AE2A0D">
        <w:t xml:space="preserve">Caracterizar a fauna terrestre nos remanescentes florestais atuais da área de influência direta (AID) por meio de dados primários. </w:t>
      </w:r>
    </w:p>
    <w:p w:rsidR="004D7309" w:rsidRPr="00AE2A0D" w:rsidRDefault="004D7309" w:rsidP="000C50CE">
      <w:pPr>
        <w:pStyle w:val="PargrafodaLista"/>
        <w:numPr>
          <w:ilvl w:val="0"/>
          <w:numId w:val="9"/>
        </w:numPr>
      </w:pPr>
      <w:r w:rsidRPr="00AE2A0D">
        <w:t>Subsidiar a avaliação de impactos para elaboração de medidas mitigadoras dos impactos negativos e medidas potencializadoras dos impactos positivos à fauna.</w:t>
      </w:r>
    </w:p>
    <w:p w:rsidR="004D7309" w:rsidRPr="00AE2A0D" w:rsidRDefault="004D7309" w:rsidP="004D7309">
      <w:pPr>
        <w:pStyle w:val="Ttulo4"/>
      </w:pPr>
      <w:bookmarkStart w:id="71" w:name="_Toc387852805"/>
      <w:bookmarkStart w:id="72" w:name="_Toc402254380"/>
      <w:bookmarkStart w:id="73" w:name="_Toc411871203"/>
      <w:r w:rsidRPr="00AE2A0D">
        <w:t>Delineamento Amostral</w:t>
      </w:r>
      <w:bookmarkEnd w:id="71"/>
      <w:bookmarkEnd w:id="72"/>
      <w:bookmarkEnd w:id="73"/>
    </w:p>
    <w:p w:rsidR="004D7309" w:rsidRPr="00AE2A0D" w:rsidRDefault="004D7309" w:rsidP="004D7309">
      <w:r w:rsidRPr="00AE2A0D">
        <w:t xml:space="preserve">Para atingir os objetivos deste diagnóstico foram designadas cinco áreas amostrais, todas comuns ao levantamento de mamíferos, aves, répteis e anfíbios: </w:t>
      </w:r>
    </w:p>
    <w:p w:rsidR="004D7309" w:rsidRPr="00AE2A0D" w:rsidRDefault="004D7309" w:rsidP="004D7309">
      <w:pPr>
        <w:rPr>
          <w:lang w:eastAsia="pt-BR"/>
        </w:rPr>
      </w:pPr>
      <w:r w:rsidRPr="00AE2A0D">
        <w:rPr>
          <w:b/>
        </w:rPr>
        <w:t xml:space="preserve">Área 1 – Santa Isabel - SP (379.606 E / 7.429.620 S) - </w:t>
      </w:r>
      <w:r w:rsidRPr="00AE2A0D">
        <w:rPr>
          <w:lang w:eastAsia="pt-BR"/>
        </w:rPr>
        <w:t>Pequeno fragmento florestal localizado no município de Santa Isabel às margens da represa de Jaguari</w:t>
      </w:r>
      <w:r w:rsidR="00E9493A">
        <w:rPr>
          <w:lang w:eastAsia="pt-BR"/>
        </w:rPr>
        <w:t>, próximo à Captação</w:t>
      </w:r>
      <w:r w:rsidRPr="00AE2A0D">
        <w:rPr>
          <w:lang w:eastAsia="pt-BR"/>
        </w:rPr>
        <w:t>. Esta área está incluída em uma paisagem rural dominada por gramíneas exóticas e presença de diversas pequenas propriedades de veraneio. Em paralelo, faz-se notar uma área adjacente ao fragmento florestal dedicada à silvicultura de eucalipto, cultura predominante na região. Possui dossel entre cinco e sete metros de altura, com aspecto de borda e forte presença de lianas e cipós, sub-bosque denso e pequena camada de serapilheira.</w:t>
      </w:r>
    </w:p>
    <w:p w:rsidR="004D7309" w:rsidRPr="00AE2A0D" w:rsidRDefault="004D7309" w:rsidP="004D7309">
      <w:r w:rsidRPr="00AE2A0D">
        <w:rPr>
          <w:b/>
        </w:rPr>
        <w:t xml:space="preserve">Área 2 – Igaratá - SP (375.666 E / 7.434.473 S) - </w:t>
      </w:r>
      <w:r w:rsidRPr="00AE2A0D">
        <w:t>Fragmento florestal localizado no município de Igaratá</w:t>
      </w:r>
      <w:r w:rsidR="00E9493A">
        <w:t>, altura dos Km 7,0 a 8,0 da adutora,</w:t>
      </w:r>
      <w:r w:rsidRPr="00AE2A0D">
        <w:t xml:space="preserve"> conecta</w:t>
      </w:r>
      <w:r w:rsidR="00E9493A">
        <w:t>-se</w:t>
      </w:r>
      <w:r w:rsidRPr="00AE2A0D">
        <w:t xml:space="preserve"> a outros fragmentos através de silvicultura de eucalipto. No seu entorno pode-se observar diversos tanques de aquicultura que contribuem para a heterogeneidade de habitats, fornecendo nichos específicos para espécies dependentes de ambientes úmidos. O interior do fragmento apresenta sub-bosque aberto, com presença de taquara e altura de dossel que em alguns trechos alcança 15 metros de altura.</w:t>
      </w:r>
    </w:p>
    <w:p w:rsidR="004D7309" w:rsidRPr="00AE2A0D" w:rsidRDefault="004D7309" w:rsidP="004D7309">
      <w:r w:rsidRPr="00AE2A0D">
        <w:rPr>
          <w:b/>
        </w:rPr>
        <w:t xml:space="preserve">Área 3 – Igaratá - SP (374.017 E / 7.438.883 S) - </w:t>
      </w:r>
      <w:r w:rsidRPr="00AE2A0D">
        <w:t xml:space="preserve">Pequeno fragmento no município de Igaratá em formato alongado localizado em área periurbana </w:t>
      </w:r>
      <w:r w:rsidR="00B37F09">
        <w:t xml:space="preserve">do bairro Boa Vista, </w:t>
      </w:r>
      <w:r w:rsidRPr="00AE2A0D">
        <w:t xml:space="preserve">com diversas habitações em seu entorno. </w:t>
      </w:r>
      <w:r w:rsidR="00B37F09">
        <w:t xml:space="preserve">Situa-se próximo do emboque do túnel. </w:t>
      </w:r>
      <w:r w:rsidRPr="00AE2A0D">
        <w:t>Nota-se no interior da mata forte presença de cipós, bem como um sub-bosque bastante denso, característica de localidades sujeitas ao efeito de borda. Ressalta-se ainda a existência de uma área brejosa dominada por taboa (</w:t>
      </w:r>
      <w:r w:rsidRPr="00AE2A0D">
        <w:rPr>
          <w:i/>
        </w:rPr>
        <w:t>Tipha</w:t>
      </w:r>
      <w:r w:rsidRPr="00AE2A0D">
        <w:t xml:space="preserve"> sp.) localizada na parte mais baixa do fragmento.</w:t>
      </w:r>
    </w:p>
    <w:p w:rsidR="004D7309" w:rsidRPr="00AE2A0D" w:rsidRDefault="004D7309" w:rsidP="004D7309">
      <w:r w:rsidRPr="00AE2A0D">
        <w:rPr>
          <w:b/>
        </w:rPr>
        <w:t xml:space="preserve">Área 4 – Igaratá e Nazaré Paulista (372.320 E / 7.439.909 S) - </w:t>
      </w:r>
      <w:r w:rsidRPr="00AE2A0D">
        <w:t xml:space="preserve">Maior fragmento florestal amostrado e também com aspecto ambiental mais saudável. Localizado </w:t>
      </w:r>
      <w:r w:rsidR="00B37F09">
        <w:t xml:space="preserve">na Serra de Rio Acima, em setor que a Interligação atravessa em túnel, a principal interação com a obra será em função das vias de acesso que serão utilizadas para transporte de materiais. Situa-se </w:t>
      </w:r>
      <w:r w:rsidRPr="00AE2A0D">
        <w:t xml:space="preserve">majoritariamente no município de Nazaré Paulista, </w:t>
      </w:r>
      <w:r w:rsidR="00B37F09">
        <w:t xml:space="preserve">com </w:t>
      </w:r>
      <w:r w:rsidRPr="00AE2A0D">
        <w:t>um pequeno trecho em Igaratá. Em seu interior nota-se a grande presença de espécies chave para diversos grupos ornitológicos, como palmito-juçara, samambaiaçu e ainda diferentes tipos de taquara. Destaca-se ainda na paisagem a grande quantidade de bromélias existentes nas árvores. O dossel em alguns trechos supera os 15 metros de altura e o sub-bosque encontra-se aberto, devido basicamente à dominância de palmito no interior da mata.</w:t>
      </w:r>
    </w:p>
    <w:p w:rsidR="004D7309" w:rsidRPr="00AE2A0D" w:rsidRDefault="004D7309" w:rsidP="004D7309">
      <w:r w:rsidRPr="00AE2A0D">
        <w:rPr>
          <w:b/>
        </w:rPr>
        <w:t xml:space="preserve">Área 5 – Nazaré Paulista (369.504 E / 7.443.224 S) - </w:t>
      </w:r>
      <w:r w:rsidRPr="00AE2A0D">
        <w:t xml:space="preserve">Fragmento florestal localizado às margens da represa de Atibainha, </w:t>
      </w:r>
      <w:r w:rsidR="00B37F09">
        <w:t xml:space="preserve">no entorno do desemboque do túnel, </w:t>
      </w:r>
      <w:r w:rsidR="00B37F09" w:rsidRPr="00AE2A0D">
        <w:t>no município de Nazaré Paulista</w:t>
      </w:r>
      <w:r w:rsidR="00B37F09">
        <w:t>.</w:t>
      </w:r>
      <w:r w:rsidR="00B37F09" w:rsidRPr="00AE2A0D">
        <w:t xml:space="preserve"> </w:t>
      </w:r>
      <w:r w:rsidR="00B37F09">
        <w:t>N</w:t>
      </w:r>
      <w:r w:rsidRPr="00AE2A0D">
        <w:t xml:space="preserve">o período da amostragem </w:t>
      </w:r>
      <w:r w:rsidR="00B37F09">
        <w:t xml:space="preserve">a represa </w:t>
      </w:r>
      <w:r w:rsidRPr="00AE2A0D">
        <w:t xml:space="preserve">estava extremamente seca, deixando a mostra o solo que outrora se encontrava submerso. No entorno </w:t>
      </w:r>
      <w:r w:rsidR="00B37F09">
        <w:t xml:space="preserve">da área </w:t>
      </w:r>
      <w:r w:rsidRPr="00AE2A0D">
        <w:t xml:space="preserve">observa-se uma paisagem florestal, entremeada de pequenas propriedades rurais e algumas áreas dedicadas à silvicultura de </w:t>
      </w:r>
      <w:r w:rsidRPr="00AE2A0D">
        <w:lastRenderedPageBreak/>
        <w:t>eucalipto. A mata apresenta características de um fragmento florestal em avançado estado de regeneração, com sub-bosque denso e dossel que em alguns trechos alcança 10 metros de altura.</w:t>
      </w:r>
    </w:p>
    <w:p w:rsidR="004D7309" w:rsidRPr="00AE2A0D" w:rsidRDefault="004D7309" w:rsidP="004D7309">
      <w:r w:rsidRPr="00AE2A0D">
        <w:t xml:space="preserve">Os procedimentos amostrais específicos para cada grupo de vertebrados terrestres são apresentados separadamente a seguir. </w:t>
      </w:r>
    </w:p>
    <w:p w:rsidR="00F5487F" w:rsidRPr="00AE2A0D" w:rsidRDefault="00F5487F" w:rsidP="00F5487F">
      <w:pPr>
        <w:pStyle w:val="Ttulo4"/>
      </w:pPr>
      <w:bookmarkStart w:id="74" w:name="_Toc402254381"/>
      <w:bookmarkStart w:id="75" w:name="_Toc411871204"/>
      <w:r w:rsidRPr="00AE2A0D">
        <w:t>Avifauna</w:t>
      </w:r>
      <w:bookmarkEnd w:id="74"/>
      <w:bookmarkEnd w:id="75"/>
    </w:p>
    <w:p w:rsidR="00F5487F" w:rsidRPr="00AE2A0D" w:rsidRDefault="00F5487F" w:rsidP="000C50CE">
      <w:pPr>
        <w:pStyle w:val="Ttulo5"/>
        <w:numPr>
          <w:ilvl w:val="0"/>
          <w:numId w:val="6"/>
        </w:numPr>
      </w:pPr>
      <w:bookmarkStart w:id="76" w:name="_Toc402254382"/>
      <w:r w:rsidRPr="00AE2A0D">
        <w:t>Introdução</w:t>
      </w:r>
      <w:bookmarkEnd w:id="76"/>
    </w:p>
    <w:p w:rsidR="00F5487F" w:rsidRPr="00AE2A0D" w:rsidRDefault="00F5487F" w:rsidP="00F5487F">
      <w:r w:rsidRPr="00AE2A0D">
        <w:t xml:space="preserve">As aves se destacam como o grupo de vertebrados com o maior número de espécies da Mata Atlântica, característica que somada a sua alta sensibilidade a alterações ambientais faz com que elas também ocupem o lugar dos vertebrados com o maior número de espécies ameaçadas do bioma. De fato, das 193 espécies de aves presentes na lista brasileira (Machado </w:t>
      </w:r>
      <w:r w:rsidRPr="00AE2A0D">
        <w:rPr>
          <w:i/>
        </w:rPr>
        <w:t>et al</w:t>
      </w:r>
      <w:r w:rsidRPr="00AE2A0D">
        <w:t>. 2008) e mundial (IUCN 2013) de espécies ameaçadas, 112 ocorrem na Mata Atlântica (Marini e Garcia, 2005; Olmos, 2005). Além disso, 75% das espécies de aves ameaçadas e endêmicas do Brasil são características deste bioma (Marini e Garcia, 2005).</w:t>
      </w:r>
    </w:p>
    <w:p w:rsidR="00F5487F" w:rsidRPr="00AE2A0D" w:rsidRDefault="00F5487F" w:rsidP="00F5487F">
      <w:r w:rsidRPr="00AE2A0D">
        <w:t>De acordo com projeções históricas, estima-se que originalmente 82% da área de São Paulo eram cobertos pela Floresta Atlântica (Fundação S.O.S. Mata Atlântica/INPE 2002; COSTA-NETO, 1997). Por ser um Estado de ocupação antiga, atravessou diversos ciclos econômicos de exploração e de produção, no qual a vegetação original foi sendo progressivamente eliminada restando atualmente pouco mais de 15% da cobertura original (Costa-Neto, 1997).</w:t>
      </w:r>
    </w:p>
    <w:p w:rsidR="00F5487F" w:rsidRPr="00AE2A0D" w:rsidRDefault="00F5487F" w:rsidP="00F5487F">
      <w:pPr>
        <w:rPr>
          <w:rFonts w:cs="Arial"/>
        </w:rPr>
      </w:pPr>
      <w:r w:rsidRPr="00AE2A0D">
        <w:rPr>
          <w:rFonts w:cs="Arial"/>
        </w:rPr>
        <w:t>Apesar dessa considerável perda da cobertura florestal, São Paulo destaca-se no cenário nacional pela sua expressiva avifauna que engloba 793 espécies (Silveira e Uezu, 2011), o que representa pouco mais de 45% de todas as aves conhecidas para o Brasil. Alguns fatores podem ser considerados decisivos para esta riqueza, destacando-se aqui contribuições históricas de naturalistas viajantes que percorreram diversas partes do estado a partir do início do século XIX, bem como a grande presença de ornitólogos e observadores de aves, que fizeram com que São Paulo fosse uma das unidades federativas com a avifauna melhor conhecida em todo país.</w:t>
      </w:r>
    </w:p>
    <w:p w:rsidR="00F5487F" w:rsidRPr="00AE2A0D" w:rsidRDefault="00F5487F" w:rsidP="00F5487F">
      <w:pPr>
        <w:rPr>
          <w:rFonts w:cs="Arial"/>
        </w:rPr>
      </w:pPr>
      <w:r w:rsidRPr="00AE2A0D">
        <w:rPr>
          <w:rFonts w:cs="Arial"/>
        </w:rPr>
        <w:t>Esta elevada riqueza est</w:t>
      </w:r>
      <w:r>
        <w:rPr>
          <w:rFonts w:cs="Arial"/>
        </w:rPr>
        <w:t>á</w:t>
      </w:r>
      <w:r w:rsidRPr="00AE2A0D">
        <w:rPr>
          <w:rFonts w:cs="Arial"/>
        </w:rPr>
        <w:t xml:space="preserve"> associada a grande heterogeneidade de ambientes presentes em seu território, que inclui diferentes fisionomias de Mata Atlântica que se estendem do nível do mar (Florestas de Baixada) até formações campestres localizadas a mais de 2500 metros de altitude, e também ecossistemas associados, como restingas e mangues, além de formações de Cerrado e uma expressiva zona costeira, incluindo praias e ilhas (Silveira e Uezu, 2011).</w:t>
      </w:r>
    </w:p>
    <w:p w:rsidR="00F5487F" w:rsidRPr="00AE2A0D" w:rsidRDefault="00F5487F" w:rsidP="00F5487F">
      <w:pPr>
        <w:rPr>
          <w:rFonts w:cs="Arial"/>
        </w:rPr>
      </w:pPr>
      <w:r w:rsidRPr="00AE2A0D">
        <w:rPr>
          <w:rFonts w:cs="Arial"/>
        </w:rPr>
        <w:t xml:space="preserve">Parte desta riqueza deve-se a presença de dois importantes maciços que atravessam o estado longitudinalmente, a Serra do Mar e a Serra da Mantiqueira. Estas regiões ainda abrigam importantes remanescentes vegetacionais, e consequentemente mantem uma variedade de espécies considerada das mais elevadas em todo o mundo, fato que justificou a inclusão de diversas áreas presentes nesta região como IBAs (Áreas Importantes para a Conservação de Aves), pela </w:t>
      </w:r>
      <w:r w:rsidRPr="00AE2A0D">
        <w:rPr>
          <w:rFonts w:cs="Arial"/>
          <w:i/>
        </w:rPr>
        <w:t xml:space="preserve">Birdlife International </w:t>
      </w:r>
      <w:r w:rsidRPr="00AE2A0D">
        <w:rPr>
          <w:rFonts w:cs="Arial"/>
        </w:rPr>
        <w:t xml:space="preserve">(Bencke </w:t>
      </w:r>
      <w:r w:rsidRPr="00AE2A0D">
        <w:rPr>
          <w:rFonts w:cs="Arial"/>
          <w:i/>
        </w:rPr>
        <w:t>et al</w:t>
      </w:r>
      <w:r w:rsidRPr="00AE2A0D">
        <w:rPr>
          <w:rFonts w:cs="Arial"/>
        </w:rPr>
        <w:t>., 2006).</w:t>
      </w:r>
    </w:p>
    <w:p w:rsidR="00F5487F" w:rsidRPr="00AE2A0D" w:rsidRDefault="00F5487F" w:rsidP="00F5487F">
      <w:pPr>
        <w:rPr>
          <w:rFonts w:cs="Arial"/>
        </w:rPr>
      </w:pPr>
      <w:r w:rsidRPr="00AE2A0D">
        <w:rPr>
          <w:rFonts w:cs="Arial"/>
        </w:rPr>
        <w:t>Neste contexto destaca-se regionalmente o grande bloco florestal no qual se encontra o Parque Estadual (P.E) da Cantareira e os recém-criados PE Itaberaba e PE Itapetinga. Tais áreas englobam parte dos municípios de Santa Isabel e Nazaré Paulista, que por sua vez, são atravessados pela Interligação entre as represas Jaguari e Atibainha. Devido a expressiva presença de espécies endêmicas e ameaçadas de extinção, essas UCs foram consideradas prioritárias para a conservação da biodiversidade, reconhecida tanto em âmbito federal pelo Mapa de Áreas Prioritárias para a Conservação (Portaria MMA nº 09/2007), quanto em âmbito estadual, pelo Mapa de Áreas Prioritárias para Conectividade do Estado de São Paulo, por conectarem a Serra do Mar (Maciço da Cantareira) à Serra da Mantiqueira, através de uma área continua de aproximadamente 30 mil hectares de floresta (Fundação Florestal, 2010).</w:t>
      </w:r>
    </w:p>
    <w:p w:rsidR="00F5487F" w:rsidRPr="00AE2A0D" w:rsidRDefault="00F5487F" w:rsidP="00F5487F">
      <w:pPr>
        <w:rPr>
          <w:rFonts w:cs="Arial"/>
        </w:rPr>
      </w:pPr>
      <w:r w:rsidRPr="00AE2A0D">
        <w:rPr>
          <w:rFonts w:cs="Arial"/>
        </w:rPr>
        <w:t xml:space="preserve">No que tange a avifauna, esta importância fica ainda mais evidente quando se considera que o P.E da Cantareira, área continua as Serras de Itaberaba e Itapetinga, foi incluída como uma </w:t>
      </w:r>
      <w:r w:rsidRPr="00AE2A0D">
        <w:rPr>
          <w:rFonts w:cs="Arial"/>
        </w:rPr>
        <w:lastRenderedPageBreak/>
        <w:t xml:space="preserve">“Área Importante para a Conservação de Aves no Brasil” (do inglês IBA – </w:t>
      </w:r>
      <w:r w:rsidRPr="00AE2A0D">
        <w:rPr>
          <w:rFonts w:cs="Arial"/>
          <w:i/>
        </w:rPr>
        <w:t>Important Bird Area</w:t>
      </w:r>
      <w:r w:rsidRPr="00AE2A0D">
        <w:rPr>
          <w:rFonts w:cs="Arial"/>
        </w:rPr>
        <w:t>; Bencke et al., 2006) com um conhecimento ornitológico acumulado considerado representativo.</w:t>
      </w:r>
    </w:p>
    <w:p w:rsidR="00F5487F" w:rsidRPr="00F5487F" w:rsidRDefault="00F5487F" w:rsidP="000C50CE">
      <w:pPr>
        <w:pStyle w:val="Ttulo5"/>
        <w:numPr>
          <w:ilvl w:val="0"/>
          <w:numId w:val="6"/>
        </w:numPr>
      </w:pPr>
      <w:bookmarkStart w:id="77" w:name="_Toc402254383"/>
      <w:r w:rsidRPr="00F5487F">
        <w:t>Material e Métodos</w:t>
      </w:r>
      <w:bookmarkEnd w:id="77"/>
    </w:p>
    <w:p w:rsidR="00F5487F" w:rsidRPr="00F5487F" w:rsidRDefault="00F5487F" w:rsidP="00F5487F">
      <w:pPr>
        <w:pStyle w:val="Ttulo6"/>
      </w:pPr>
      <w:bookmarkStart w:id="78" w:name="_Toc402254384"/>
      <w:r>
        <w:t>B.1.</w:t>
      </w:r>
      <w:r>
        <w:tab/>
      </w:r>
      <w:r w:rsidRPr="00F5487F">
        <w:t>Levantamento de Dados Secundários</w:t>
      </w:r>
      <w:bookmarkEnd w:id="78"/>
    </w:p>
    <w:p w:rsidR="00F5487F" w:rsidRPr="00AE2A0D" w:rsidRDefault="00F5487F" w:rsidP="00F5487F">
      <w:r w:rsidRPr="00AE2A0D">
        <w:t xml:space="preserve">As informações bibliográficas ou dados secundários, referentes à avifauna de potencial ocorrência nas áreas de Influência da Interligação entre as represas Jaguari e Atibainha foram obtidos em notas, artigos e em outros documentos técnico-científicos pesquisados em bibliotecas especializadas e na plataforma online de revistas científicas </w:t>
      </w:r>
      <w:r w:rsidRPr="00AE2A0D">
        <w:rPr>
          <w:i/>
        </w:rPr>
        <w:t>ISI Web of Knowledg SM</w:t>
      </w:r>
      <w:r w:rsidRPr="00AE2A0D">
        <w:t>, além de bancos de dados digitais de listas de espécies de diferentes localidades.</w:t>
      </w:r>
    </w:p>
    <w:p w:rsidR="00F5487F" w:rsidRPr="00AE2A0D" w:rsidRDefault="00F5487F" w:rsidP="00F5487F">
      <w:r w:rsidRPr="00AE2A0D">
        <w:t>Levando em consideração que a área de influência indireta (AII) situa-se entre os maciços da Mantiqueira e da Cantareira, nos municípios de Nazaré Paulista, Igaratá e Santa Isabel, buscaram-se referências bibliográficas e levantamentos ornitólogos exclusivamente realizados nessas localidades, priorizando sempre dados recentes e oriundos de regiões com fisionomias semelhantes às observadas na área de influência do empreendimento. Assim, os dados secundários aqui apresentados basearam-se principalmente nas informações oriundas de:</w:t>
      </w:r>
    </w:p>
    <w:p w:rsidR="00F5487F" w:rsidRPr="00AE2A0D" w:rsidRDefault="00F5487F" w:rsidP="000C50CE">
      <w:pPr>
        <w:pStyle w:val="PargrafodaLista"/>
        <w:numPr>
          <w:ilvl w:val="0"/>
          <w:numId w:val="12"/>
        </w:numPr>
      </w:pPr>
      <w:r w:rsidRPr="00AE2A0D">
        <w:t xml:space="preserve">GUSSONI e SANTOS (2004): que entre julho de 2000 e dezembro de 2002 realizaram um inventário ornitológico baseado em observações </w:t>
      </w:r>
      <w:r w:rsidRPr="00AE2A0D">
        <w:rPr>
          <w:i/>
        </w:rPr>
        <w:t>ad libdum</w:t>
      </w:r>
      <w:r w:rsidRPr="00AE2A0D">
        <w:t xml:space="preserve"> na Serra de Itaberaba, em seu trecho incluído na Área de Proteção Ambiental (APA) da Bacia do rio Paraíba do Sul, nos municípios de Arujá e Santa Isabel, em um esforço de 20 dias de campo distribuídos em três anos de pesquisa (2000-2002) e aproximadamente 265 horas de atividades, chegando a um total de 234 espécies de aves.</w:t>
      </w:r>
    </w:p>
    <w:p w:rsidR="00F5487F" w:rsidRPr="00AE2A0D" w:rsidRDefault="00F5487F" w:rsidP="000C50CE">
      <w:pPr>
        <w:pStyle w:val="PargrafodaLista"/>
        <w:numPr>
          <w:ilvl w:val="0"/>
          <w:numId w:val="12"/>
        </w:numPr>
      </w:pPr>
      <w:r w:rsidRPr="00AE2A0D">
        <w:t xml:space="preserve">LONGO (2007): que entre maio de 2005 e maio de 2006 realizou um estudo de caracterização da avifauna da Reserva Particular do Patrimônio Natural (RPPN) Rio dos Pilões, localizado no município de Santa Isabel, através de observações </w:t>
      </w:r>
      <w:r w:rsidRPr="00AE2A0D">
        <w:rPr>
          <w:i/>
        </w:rPr>
        <w:t>ad libdum</w:t>
      </w:r>
      <w:r w:rsidRPr="00AE2A0D">
        <w:t xml:space="preserve"> e uso de redes de neblina, ao longo de 12 campanhas distribuídas em um ano de pesquisas, em um esforço de campo de 1824 horas de atividades, chegando a um total de 138 espécies de aves.</w:t>
      </w:r>
    </w:p>
    <w:p w:rsidR="00F5487F" w:rsidRPr="00AE2A0D" w:rsidRDefault="00F5487F" w:rsidP="000C50CE">
      <w:pPr>
        <w:pStyle w:val="PargrafodaLista"/>
        <w:numPr>
          <w:ilvl w:val="0"/>
          <w:numId w:val="12"/>
        </w:numPr>
      </w:pPr>
      <w:r w:rsidRPr="00AE2A0D">
        <w:t xml:space="preserve">FUNDAÇÃO FLORESTAL (2010): que entre novembro de 2009 e janeiro de 2010 realizou um estudo de caracterização de avifauna para a criação do Sistema de Áreas Protegidas Contínuo da Cantareira nas Serras de Itaberaba e Itapetinga, em um esforço de 20 dias de campo, a partir de observações </w:t>
      </w:r>
      <w:r w:rsidRPr="00AE2A0D">
        <w:rPr>
          <w:i/>
        </w:rPr>
        <w:t>ad libdum</w:t>
      </w:r>
      <w:r w:rsidRPr="00AE2A0D">
        <w:t>, pontos de escuta e redes de neblina, chegando a um total de 160 espécies de aves.</w:t>
      </w:r>
    </w:p>
    <w:p w:rsidR="00F5487F" w:rsidRPr="00AE2A0D" w:rsidRDefault="00F5487F" w:rsidP="00F5487F">
      <w:r w:rsidRPr="00AE2A0D">
        <w:t>Diante do exposto, a lista de avifauna de potencial ocorrência nas Áreas de Influência do empreendimento foi baseada em uma ampla revisão bibliográfica que reuniu três trabalhos técnico-científicos, resultando num total de 269 espécies de potencial ocorrência, todas registradas em fisionomias semelhantes às encontradas em campo e localizadas a uma distância máxima de aproximadamente 10 km dos limites da área de influência deste empreendimento, fato que torna essas informações bastante representativas da área de estudo.</w:t>
      </w:r>
    </w:p>
    <w:p w:rsidR="00F5487F" w:rsidRPr="00AE2A0D" w:rsidRDefault="00F5487F" w:rsidP="00F5487F">
      <w:r w:rsidRPr="00AE2A0D">
        <w:t>Cabe destacar que embora outras fontes bibliográficas estejam disponíveis para esta grande região do Estado de São Paulo, como por exemplo, os trabalhos da Serra do Japi (SILVA, 1992; WILLIS e ONIKI, 1981) e da Serra da Cantareira (LEONEL, 2009), tais publicações representam dados mais antigos e de localidades mais distantes das de influência do presente empreendimento, incluindo, portanto, diversas fisionomias inexistentes na área alvo deste estudo. Desta forma, optou-se por não utiliza-los como fonte secundária, uma vez que sua inclusão certamente enviesaria as bases comparativas de informações, inflando a lista secundária com diversas espécies com poucas possibilidades de ocorrência na área de estudo.</w:t>
      </w:r>
    </w:p>
    <w:p w:rsidR="00F5487F" w:rsidRPr="00AE2A0D" w:rsidRDefault="00F5487F" w:rsidP="00F5487F">
      <w:r w:rsidRPr="00AE2A0D">
        <w:t xml:space="preserve">A </w:t>
      </w:r>
      <w:r w:rsidR="00861F96" w:rsidRPr="00861F96">
        <w:rPr>
          <w:b/>
        </w:rPr>
        <w:t>Tabela 6.4.</w:t>
      </w:r>
      <w:r w:rsidR="00926285">
        <w:rPr>
          <w:b/>
        </w:rPr>
        <w:t>4-1</w:t>
      </w:r>
      <w:r w:rsidRPr="00AE2A0D">
        <w:t xml:space="preserve"> apresenta um resumo dos trabalhos utilizados para caracterização da avifauna de potencial ocorrência na área de estudo, bem como seus respectivos métodos e localidades de trabalho.</w:t>
      </w:r>
    </w:p>
    <w:p w:rsidR="00F5487F" w:rsidRPr="003845D5" w:rsidRDefault="00F5487F" w:rsidP="003845D5">
      <w:pPr>
        <w:pStyle w:val="Quadro"/>
        <w:rPr>
          <w:b w:val="0"/>
          <w:bCs/>
        </w:rPr>
      </w:pPr>
      <w:bookmarkStart w:id="79" w:name="_Ref401907204"/>
      <w:r w:rsidRPr="003845D5">
        <w:rPr>
          <w:b w:val="0"/>
          <w:bCs/>
        </w:rPr>
        <w:lastRenderedPageBreak/>
        <w:t xml:space="preserve">Tabela </w:t>
      </w:r>
      <w:bookmarkEnd w:id="79"/>
      <w:r w:rsidR="00861F96" w:rsidRPr="003845D5">
        <w:rPr>
          <w:b w:val="0"/>
          <w:bCs/>
        </w:rPr>
        <w:t>6.4.</w:t>
      </w:r>
      <w:r w:rsidR="00926285">
        <w:rPr>
          <w:b w:val="0"/>
          <w:bCs/>
        </w:rPr>
        <w:t>4-1.</w:t>
      </w:r>
      <w:r w:rsidRPr="003845D5">
        <w:rPr>
          <w:b w:val="0"/>
          <w:bCs/>
        </w:rPr>
        <w:t xml:space="preserve"> Listagem de estudos de cunho técnico/científico utilizado</w:t>
      </w:r>
      <w:r w:rsidR="007055B7">
        <w:rPr>
          <w:b w:val="0"/>
          <w:bCs/>
        </w:rPr>
        <w:t>s</w:t>
      </w:r>
      <w:r w:rsidRPr="003845D5">
        <w:rPr>
          <w:b w:val="0"/>
          <w:bCs/>
        </w:rPr>
        <w:t xml:space="preserve"> para a composição do levantamento de dados secundários da avifauna de potencial ocorrência na </w:t>
      </w:r>
      <w:r w:rsidR="003845D5" w:rsidRPr="003845D5">
        <w:rPr>
          <w:b w:val="0"/>
          <w:bCs/>
        </w:rPr>
        <w:t>AID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05"/>
        <w:gridCol w:w="942"/>
        <w:gridCol w:w="863"/>
        <w:gridCol w:w="2282"/>
        <w:gridCol w:w="3252"/>
      </w:tblGrid>
      <w:tr w:rsidR="00F5487F" w:rsidRPr="00AE2A0D" w:rsidTr="00FC668B">
        <w:trPr>
          <w:trHeight w:val="315"/>
          <w:tblHeader/>
        </w:trPr>
        <w:tc>
          <w:tcPr>
            <w:tcW w:w="1073" w:type="pct"/>
            <w:shd w:val="clear" w:color="auto" w:fill="BFBFBF" w:themeFill="background1" w:themeFillShade="BF"/>
            <w:vAlign w:val="center"/>
            <w:hideMark/>
          </w:tcPr>
          <w:p w:rsidR="00F5487F" w:rsidRPr="00AE2A0D" w:rsidRDefault="00F5487F" w:rsidP="00FC668B">
            <w:pPr>
              <w:spacing w:after="0"/>
              <w:rPr>
                <w:rFonts w:eastAsia="Times New Roman" w:cs="Arial"/>
                <w:b/>
                <w:bCs/>
                <w:color w:val="000000"/>
                <w:sz w:val="18"/>
                <w:szCs w:val="18"/>
                <w:lang w:eastAsia="pt-BR"/>
              </w:rPr>
            </w:pPr>
            <w:r w:rsidRPr="00AE2A0D">
              <w:rPr>
                <w:rFonts w:eastAsia="Times New Roman" w:cs="Arial"/>
                <w:b/>
                <w:bCs/>
                <w:color w:val="000000"/>
                <w:sz w:val="18"/>
                <w:szCs w:val="18"/>
                <w:lang w:eastAsia="pt-BR"/>
              </w:rPr>
              <w:t>Referência</w:t>
            </w:r>
          </w:p>
        </w:tc>
        <w:tc>
          <w:tcPr>
            <w:tcW w:w="504" w:type="pct"/>
            <w:shd w:val="clear" w:color="auto" w:fill="BFBFBF" w:themeFill="background1" w:themeFillShade="BF"/>
            <w:vAlign w:val="center"/>
            <w:hideMark/>
          </w:tcPr>
          <w:p w:rsidR="00F5487F" w:rsidRPr="00AE2A0D" w:rsidRDefault="00F5487F" w:rsidP="00FC668B">
            <w:pPr>
              <w:spacing w:after="0"/>
              <w:jc w:val="center"/>
              <w:rPr>
                <w:rFonts w:eastAsia="Times New Roman" w:cs="Arial"/>
                <w:b/>
                <w:bCs/>
                <w:color w:val="000000"/>
                <w:sz w:val="18"/>
                <w:szCs w:val="18"/>
                <w:lang w:eastAsia="pt-BR"/>
              </w:rPr>
            </w:pPr>
            <w:r w:rsidRPr="00AE2A0D">
              <w:rPr>
                <w:rFonts w:eastAsia="Times New Roman" w:cs="Arial"/>
                <w:b/>
                <w:bCs/>
                <w:color w:val="000000"/>
                <w:sz w:val="18"/>
                <w:szCs w:val="18"/>
                <w:lang w:eastAsia="pt-BR"/>
              </w:rPr>
              <w:t>Período</w:t>
            </w:r>
          </w:p>
        </w:tc>
        <w:tc>
          <w:tcPr>
            <w:tcW w:w="462" w:type="pct"/>
            <w:shd w:val="clear" w:color="auto" w:fill="BFBFBF" w:themeFill="background1" w:themeFillShade="BF"/>
            <w:vAlign w:val="center"/>
            <w:hideMark/>
          </w:tcPr>
          <w:p w:rsidR="00F5487F" w:rsidRPr="00AE2A0D" w:rsidRDefault="00F5487F" w:rsidP="00FC668B">
            <w:pPr>
              <w:spacing w:after="0"/>
              <w:jc w:val="center"/>
              <w:rPr>
                <w:rFonts w:eastAsia="Times New Roman" w:cs="Arial"/>
                <w:b/>
                <w:bCs/>
                <w:color w:val="000000"/>
                <w:sz w:val="18"/>
                <w:szCs w:val="18"/>
                <w:lang w:eastAsia="pt-BR"/>
              </w:rPr>
            </w:pPr>
            <w:r w:rsidRPr="00AE2A0D">
              <w:rPr>
                <w:rFonts w:eastAsia="Times New Roman" w:cs="Arial"/>
                <w:b/>
                <w:bCs/>
                <w:color w:val="000000"/>
                <w:sz w:val="18"/>
                <w:szCs w:val="18"/>
                <w:lang w:eastAsia="pt-BR"/>
              </w:rPr>
              <w:t>Riqueza</w:t>
            </w:r>
          </w:p>
        </w:tc>
        <w:tc>
          <w:tcPr>
            <w:tcW w:w="1221" w:type="pct"/>
            <w:shd w:val="clear" w:color="auto" w:fill="BFBFBF" w:themeFill="background1" w:themeFillShade="BF"/>
            <w:vAlign w:val="center"/>
            <w:hideMark/>
          </w:tcPr>
          <w:p w:rsidR="00F5487F" w:rsidRPr="00AE2A0D" w:rsidRDefault="00F5487F" w:rsidP="00FC668B">
            <w:pPr>
              <w:spacing w:after="0"/>
              <w:jc w:val="center"/>
              <w:rPr>
                <w:rFonts w:eastAsia="Times New Roman" w:cs="Arial"/>
                <w:b/>
                <w:bCs/>
                <w:color w:val="000000"/>
                <w:sz w:val="18"/>
                <w:szCs w:val="18"/>
                <w:lang w:eastAsia="pt-BR"/>
              </w:rPr>
            </w:pPr>
            <w:r w:rsidRPr="00AE2A0D">
              <w:rPr>
                <w:rFonts w:eastAsia="Times New Roman" w:cs="Arial"/>
                <w:b/>
                <w:bCs/>
                <w:color w:val="000000"/>
                <w:sz w:val="18"/>
                <w:szCs w:val="18"/>
                <w:lang w:eastAsia="pt-BR"/>
              </w:rPr>
              <w:t>Método</w:t>
            </w:r>
          </w:p>
        </w:tc>
        <w:tc>
          <w:tcPr>
            <w:tcW w:w="1741" w:type="pct"/>
            <w:shd w:val="clear" w:color="auto" w:fill="BFBFBF" w:themeFill="background1" w:themeFillShade="BF"/>
            <w:vAlign w:val="center"/>
            <w:hideMark/>
          </w:tcPr>
          <w:p w:rsidR="00F5487F" w:rsidRPr="00AE2A0D" w:rsidRDefault="00F5487F" w:rsidP="00FC668B">
            <w:pPr>
              <w:spacing w:after="0"/>
              <w:jc w:val="center"/>
              <w:rPr>
                <w:rFonts w:eastAsia="Times New Roman" w:cs="Arial"/>
                <w:b/>
                <w:bCs/>
                <w:color w:val="000000"/>
                <w:sz w:val="18"/>
                <w:szCs w:val="18"/>
                <w:lang w:eastAsia="pt-BR"/>
              </w:rPr>
            </w:pPr>
            <w:r w:rsidRPr="00AE2A0D">
              <w:rPr>
                <w:rFonts w:eastAsia="Times New Roman" w:cs="Arial"/>
                <w:b/>
                <w:bCs/>
                <w:color w:val="000000"/>
                <w:sz w:val="18"/>
                <w:szCs w:val="18"/>
                <w:lang w:eastAsia="pt-BR"/>
              </w:rPr>
              <w:t>Localidade</w:t>
            </w:r>
          </w:p>
        </w:tc>
      </w:tr>
      <w:tr w:rsidR="00F5487F" w:rsidRPr="00AE2A0D" w:rsidTr="00FC668B">
        <w:trPr>
          <w:trHeight w:val="300"/>
        </w:trPr>
        <w:tc>
          <w:tcPr>
            <w:tcW w:w="1073" w:type="pct"/>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r w:rsidRPr="00AE2A0D">
              <w:rPr>
                <w:rFonts w:eastAsia="Times New Roman" w:cs="Arial"/>
                <w:color w:val="000000"/>
                <w:sz w:val="18"/>
                <w:szCs w:val="18"/>
                <w:lang w:eastAsia="pt-BR"/>
              </w:rPr>
              <w:t>GUSSONI e CAMPOS, 2004</w:t>
            </w:r>
          </w:p>
        </w:tc>
        <w:tc>
          <w:tcPr>
            <w:tcW w:w="504" w:type="pct"/>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cs="Arial"/>
                <w:sz w:val="18"/>
                <w:szCs w:val="18"/>
              </w:rPr>
              <w:t>07/2000 a 12/2002</w:t>
            </w:r>
          </w:p>
        </w:tc>
        <w:tc>
          <w:tcPr>
            <w:tcW w:w="462" w:type="pct"/>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234</w:t>
            </w:r>
          </w:p>
        </w:tc>
        <w:tc>
          <w:tcPr>
            <w:tcW w:w="1221" w:type="pct"/>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Observação oportunista</w:t>
            </w:r>
          </w:p>
        </w:tc>
        <w:tc>
          <w:tcPr>
            <w:tcW w:w="1741" w:type="pct"/>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Arujá e Santa Isabel</w:t>
            </w:r>
          </w:p>
        </w:tc>
      </w:tr>
      <w:tr w:rsidR="00F5487F" w:rsidRPr="00AE2A0D" w:rsidTr="00FC668B">
        <w:trPr>
          <w:trHeight w:val="300"/>
        </w:trPr>
        <w:tc>
          <w:tcPr>
            <w:tcW w:w="1073" w:type="pct"/>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r w:rsidRPr="00AE2A0D">
              <w:rPr>
                <w:rFonts w:eastAsia="Times New Roman" w:cs="Arial"/>
                <w:color w:val="000000"/>
                <w:sz w:val="18"/>
                <w:szCs w:val="18"/>
                <w:lang w:eastAsia="pt-BR"/>
              </w:rPr>
              <w:t>LONGO, 2007</w:t>
            </w:r>
          </w:p>
        </w:tc>
        <w:tc>
          <w:tcPr>
            <w:tcW w:w="504" w:type="pct"/>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cs="Arial"/>
                <w:sz w:val="18"/>
                <w:szCs w:val="18"/>
              </w:rPr>
              <w:t>05/2005 a 05/2006</w:t>
            </w:r>
          </w:p>
        </w:tc>
        <w:tc>
          <w:tcPr>
            <w:tcW w:w="462" w:type="pct"/>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138</w:t>
            </w:r>
          </w:p>
        </w:tc>
        <w:tc>
          <w:tcPr>
            <w:tcW w:w="1221" w:type="pct"/>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Observação oportunista e redes de neblina</w:t>
            </w:r>
          </w:p>
        </w:tc>
        <w:tc>
          <w:tcPr>
            <w:tcW w:w="1741" w:type="pct"/>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Santa Isabel</w:t>
            </w:r>
          </w:p>
        </w:tc>
      </w:tr>
      <w:tr w:rsidR="00F5487F" w:rsidRPr="00AE2A0D" w:rsidTr="00FC668B">
        <w:trPr>
          <w:trHeight w:val="315"/>
        </w:trPr>
        <w:tc>
          <w:tcPr>
            <w:tcW w:w="1073" w:type="pct"/>
            <w:shd w:val="clear" w:color="auto" w:fill="auto"/>
            <w:noWrap/>
            <w:vAlign w:val="center"/>
            <w:hideMark/>
          </w:tcPr>
          <w:p w:rsidR="00F5487F" w:rsidRPr="00AE2A0D" w:rsidRDefault="00F5487F" w:rsidP="00FC668B">
            <w:pPr>
              <w:spacing w:after="0"/>
              <w:rPr>
                <w:rFonts w:eastAsia="Times New Roman" w:cs="Arial"/>
                <w:color w:val="000000"/>
                <w:sz w:val="18"/>
                <w:szCs w:val="18"/>
                <w:lang w:eastAsia="pt-BR"/>
              </w:rPr>
            </w:pPr>
            <w:r w:rsidRPr="00AE2A0D">
              <w:rPr>
                <w:rFonts w:eastAsia="Times New Roman" w:cs="Arial"/>
                <w:color w:val="000000"/>
                <w:sz w:val="18"/>
                <w:szCs w:val="18"/>
                <w:lang w:eastAsia="pt-BR"/>
              </w:rPr>
              <w:t>FUNDAÇÃO FLORESTAL, 2010</w:t>
            </w:r>
          </w:p>
        </w:tc>
        <w:tc>
          <w:tcPr>
            <w:tcW w:w="504" w:type="pct"/>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11/2009 a 01/2010</w:t>
            </w:r>
          </w:p>
        </w:tc>
        <w:tc>
          <w:tcPr>
            <w:tcW w:w="462"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160</w:t>
            </w:r>
          </w:p>
        </w:tc>
        <w:tc>
          <w:tcPr>
            <w:tcW w:w="1221" w:type="pct"/>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Observações oportunistas, pontos de escuta e redes de neblina.</w:t>
            </w:r>
          </w:p>
        </w:tc>
        <w:tc>
          <w:tcPr>
            <w:tcW w:w="1741"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Santa Isabel, Guarulhos, Bom Jesus dos Perdões, Mairiporã, Nazaré Paulista, Atibaia.</w:t>
            </w:r>
          </w:p>
        </w:tc>
      </w:tr>
    </w:tbl>
    <w:p w:rsidR="00F5487F" w:rsidRPr="00F5487F" w:rsidRDefault="00F5487F" w:rsidP="00F5487F">
      <w:pPr>
        <w:pStyle w:val="Ttulo6"/>
      </w:pPr>
      <w:bookmarkStart w:id="80" w:name="_Toc402254385"/>
      <w:r>
        <w:t>B.2.</w:t>
      </w:r>
      <w:r>
        <w:tab/>
      </w:r>
      <w:r w:rsidRPr="00F5487F">
        <w:t>Levantamento de Dados Primários</w:t>
      </w:r>
      <w:bookmarkEnd w:id="80"/>
    </w:p>
    <w:p w:rsidR="00F5487F" w:rsidRPr="00AE2A0D" w:rsidRDefault="00F5487F" w:rsidP="00F5487F">
      <w:r w:rsidRPr="00AE2A0D">
        <w:t>O levantamento de campo ocorreu entre os dias 29/09 e 04/10/2014, em fragmentos florestais incluídos na Área de Influência Direta (AID) do empreendimento. Embora a amostragem tenha sido realizada durante a estação seca na Mata Atlântica, uma pequena precipitação pluviométrica foi registrada nos primeiros dias de atividade, fato que não influenciou a confiabilidade das informações aqui apresentadas.</w:t>
      </w:r>
    </w:p>
    <w:p w:rsidR="00F5487F" w:rsidRPr="00AE2A0D" w:rsidRDefault="00F5487F" w:rsidP="00F5487F">
      <w:r w:rsidRPr="00AE2A0D">
        <w:t>As áreas amostrais e os métodos empregados seguiram o estabelecido no Termo de Referência do EIA/RIMA da Interligação das Represas Jaguari e Atibainha (processo IMPACTO 113/14). Desta forma, a amostragem envolveu dois diferentes métodos de Avaliação Ecológica Rápida, consagrados no meio ornitológico, sendo eles a amostragem por meio de pontos de escuta e a transecção de varredura (busca aleatória).</w:t>
      </w:r>
    </w:p>
    <w:p w:rsidR="00F5487F" w:rsidRPr="00F5487F" w:rsidRDefault="00F5487F" w:rsidP="00F5487F">
      <w:pPr>
        <w:pStyle w:val="Ttulo7"/>
      </w:pPr>
      <w:r>
        <w:t>B.2.1.</w:t>
      </w:r>
      <w:r>
        <w:tab/>
      </w:r>
      <w:r w:rsidRPr="00F5487F">
        <w:t>Pontos de Escuta</w:t>
      </w:r>
    </w:p>
    <w:p w:rsidR="00F5487F" w:rsidRPr="00AE2A0D" w:rsidRDefault="00F5487F" w:rsidP="00F5487F">
      <w:r w:rsidRPr="00AE2A0D">
        <w:t xml:space="preserve">Visando uma padronização do esforço de campo dedicado as cinco áreas de estudo, optou-se pela realização da amostragem por meio de pontos fixos como principal método de levantamento ornitológico neste trabalho. Esse método tem como objetivo fornecer uma estimativa da abundância das espécies de aves da comunidade, sendo o mais completo dentre todos os métodos de amostragem quantitativa disponível (RIBON, 2010; </w:t>
      </w:r>
      <w:r w:rsidRPr="00AE2A0D">
        <w:rPr>
          <w:caps/>
        </w:rPr>
        <w:t>Viellard</w:t>
      </w:r>
      <w:r w:rsidRPr="00AE2A0D">
        <w:t xml:space="preserve"> </w:t>
      </w:r>
      <w:r w:rsidRPr="00AE2A0D">
        <w:rPr>
          <w:i/>
        </w:rPr>
        <w:t>et al.,</w:t>
      </w:r>
      <w:r w:rsidRPr="00AE2A0D">
        <w:t xml:space="preserve"> 2010; </w:t>
      </w:r>
      <w:r w:rsidRPr="00AE2A0D">
        <w:rPr>
          <w:caps/>
        </w:rPr>
        <w:t>Blondel</w:t>
      </w:r>
      <w:r w:rsidRPr="00AE2A0D">
        <w:t xml:space="preserve"> </w:t>
      </w:r>
      <w:r w:rsidRPr="00AE2A0D">
        <w:rPr>
          <w:i/>
        </w:rPr>
        <w:t>et al.,</w:t>
      </w:r>
      <w:r w:rsidRPr="00AE2A0D">
        <w:t xml:space="preserve"> 1970). Este método possibilita também a obtenção de índices pontual de abundância (IPA), o cálculo de índices de diversidade e o cálculo de estimativas de riquezas de espécies (</w:t>
      </w:r>
      <w:r w:rsidRPr="00AE2A0D">
        <w:rPr>
          <w:caps/>
        </w:rPr>
        <w:t>Poulsen</w:t>
      </w:r>
      <w:r w:rsidRPr="00AE2A0D">
        <w:t xml:space="preserve"> </w:t>
      </w:r>
      <w:r w:rsidRPr="00AE2A0D">
        <w:rPr>
          <w:i/>
        </w:rPr>
        <w:t>et al.,</w:t>
      </w:r>
      <w:r w:rsidRPr="00AE2A0D">
        <w:t xml:space="preserve"> 1997, </w:t>
      </w:r>
      <w:r w:rsidRPr="00AE2A0D">
        <w:rPr>
          <w:caps/>
        </w:rPr>
        <w:t>Herzog</w:t>
      </w:r>
      <w:r w:rsidRPr="00AE2A0D">
        <w:t xml:space="preserve"> </w:t>
      </w:r>
      <w:r w:rsidRPr="00AE2A0D">
        <w:rPr>
          <w:i/>
        </w:rPr>
        <w:t>et al</w:t>
      </w:r>
      <w:r w:rsidRPr="00AE2A0D">
        <w:t>., 2002).</w:t>
      </w:r>
    </w:p>
    <w:p w:rsidR="00F5487F" w:rsidRPr="00AE2A0D" w:rsidRDefault="00F5487F" w:rsidP="00F5487F">
      <w:r w:rsidRPr="00AE2A0D">
        <w:t>Desta forma, oito pontos fixos de escuta foram definidos com auxílio de GPS (Garmin Map 62sc) em cada uma das cinco áreas amostrais. Cada ponto foi amostrado por 10 minutos consecutivos, em três diferentes dias (duas manhãs e uma tarde), totalizando um esforço de 240 minutos por área e 20 horas para todo o empreendimento.</w:t>
      </w:r>
    </w:p>
    <w:p w:rsidR="00F5487F" w:rsidRPr="00AE2A0D" w:rsidRDefault="00F5487F" w:rsidP="00F5487F">
      <w:r w:rsidRPr="00AE2A0D">
        <w:t xml:space="preserve">Durante a aplicação deste método, o pesquisador anota registros visuais e auditivos de todas as espécies detectadas e seus respectivos números de indivíduos registrados conforme recomendações de Blondel </w:t>
      </w:r>
      <w:r w:rsidRPr="00AE2A0D">
        <w:rPr>
          <w:i/>
        </w:rPr>
        <w:t xml:space="preserve">et al. </w:t>
      </w:r>
      <w:r w:rsidRPr="00AE2A0D">
        <w:t>(1970), num raio pré-estabelecido, que neste estudo foi de 50 m. Para garantir a independência das amostras, a distância mínima entre os pontos de escuta foi de 200 metros.</w:t>
      </w:r>
    </w:p>
    <w:p w:rsidR="00F5487F" w:rsidRPr="00F5487F" w:rsidRDefault="001F6C6C" w:rsidP="00F5487F">
      <w:pPr>
        <w:pStyle w:val="Ttulo7"/>
      </w:pPr>
      <w:r>
        <w:t>B.2.2.</w:t>
      </w:r>
      <w:r>
        <w:tab/>
      </w:r>
      <w:r w:rsidR="00F5487F" w:rsidRPr="00F5487F">
        <w:t>Transecção de Varredura</w:t>
      </w:r>
    </w:p>
    <w:p w:rsidR="00F5487F" w:rsidRPr="00AE2A0D" w:rsidRDefault="00F5487F" w:rsidP="00F5487F">
      <w:r w:rsidRPr="00AE2A0D">
        <w:t>Como método complementar aplicou-se a transecção de varredura ou busca aleatória por espécies. Nesse método, o observador, em constante movimento, registra todas as espécies observadas ou ouvidas em determinada área, por meio de caminhadas em estradas vicinais e trilhas p</w:t>
      </w:r>
      <w:r>
        <w:t>re</w:t>
      </w:r>
      <w:r w:rsidRPr="00AE2A0D">
        <w:t>existentes, realizando observações ocasionais e oportunistas com o propósito de aumentar o esforço e consequentemente incluir espécies até então não registradas, contemplando assim, espécies noturnas, geralmente negligenciadas em estudos de impacto ambiental.</w:t>
      </w:r>
    </w:p>
    <w:p w:rsidR="00F5487F" w:rsidRPr="00AE2A0D" w:rsidRDefault="00F5487F" w:rsidP="00F5487F">
      <w:r w:rsidRPr="00AE2A0D">
        <w:t>Devido a constante movimentação, é possível cobrir maiores áreas quando comparado a métodos mais estáticos, como os pontos fixo</w:t>
      </w:r>
      <w:r>
        <w:t>s</w:t>
      </w:r>
      <w:r w:rsidRPr="00AE2A0D">
        <w:t>, fato que favorece o registro de espécies mais raras ou de difícil detecção, permitindo uma noção precisa da magnitude da riqueza de espécies das áreas inventariadas (</w:t>
      </w:r>
      <w:r w:rsidRPr="00AE2A0D">
        <w:rPr>
          <w:caps/>
        </w:rPr>
        <w:t>Poulsen</w:t>
      </w:r>
      <w:r w:rsidRPr="00AE2A0D">
        <w:t xml:space="preserve"> </w:t>
      </w:r>
      <w:r w:rsidRPr="00AE2A0D">
        <w:rPr>
          <w:i/>
        </w:rPr>
        <w:t>et al.,</w:t>
      </w:r>
      <w:r w:rsidRPr="00AE2A0D">
        <w:t xml:space="preserve"> 1997, </w:t>
      </w:r>
      <w:r w:rsidRPr="00AE2A0D">
        <w:rPr>
          <w:caps/>
        </w:rPr>
        <w:t>Herzog</w:t>
      </w:r>
      <w:r w:rsidRPr="00AE2A0D">
        <w:t xml:space="preserve"> </w:t>
      </w:r>
      <w:r w:rsidRPr="00AE2A0D">
        <w:rPr>
          <w:i/>
        </w:rPr>
        <w:t>et al.,</w:t>
      </w:r>
      <w:r w:rsidRPr="00AE2A0D">
        <w:t xml:space="preserve"> 2002).</w:t>
      </w:r>
    </w:p>
    <w:p w:rsidR="00F5487F" w:rsidRPr="00AE2A0D" w:rsidRDefault="00F5487F" w:rsidP="00F5487F">
      <w:r w:rsidRPr="00AE2A0D">
        <w:lastRenderedPageBreak/>
        <w:t>Esse método foi empregado principalmente no final da manhã e no início da tarde, e ainda durante o deslocamento entre as áreas de estudo, atingindo o montante de 30 horas/pesquisador de esforço dedicadas.</w:t>
      </w:r>
    </w:p>
    <w:p w:rsidR="00F5487F" w:rsidRPr="00AE2A0D" w:rsidRDefault="00F5487F" w:rsidP="00F5487F">
      <w:r w:rsidRPr="00AE2A0D">
        <w:t>Todos os métodos empregados neste levantamento concentraram-se principalmente entre às 05h00 e 11h00 da manhã e entre às 15h00 e 19h00 da tarde, horário que as aves são conhecidamente mais ativas. Desta forma, o esforço total atingiu o montante de 50 horas de atividades de campo.</w:t>
      </w:r>
    </w:p>
    <w:p w:rsidR="00F5487F" w:rsidRPr="00AE2A0D" w:rsidRDefault="00F5487F" w:rsidP="00F5487F">
      <w:r w:rsidRPr="00AE2A0D">
        <w:t xml:space="preserve">A técnica de </w:t>
      </w:r>
      <w:r w:rsidRPr="00AE2A0D">
        <w:rPr>
          <w:i/>
        </w:rPr>
        <w:t>playback</w:t>
      </w:r>
      <w:r w:rsidRPr="00AE2A0D">
        <w:t xml:space="preserve"> (reprodução de sons gravados) foi amplamente utilizada para a atração das aves e confirmação da identificação (</w:t>
      </w:r>
      <w:r w:rsidRPr="00AE2A0D">
        <w:rPr>
          <w:caps/>
        </w:rPr>
        <w:t>Budney</w:t>
      </w:r>
      <w:r w:rsidRPr="00AE2A0D">
        <w:t xml:space="preserve"> &amp; </w:t>
      </w:r>
      <w:r w:rsidRPr="00AE2A0D">
        <w:rPr>
          <w:caps/>
        </w:rPr>
        <w:t>Grotke</w:t>
      </w:r>
      <w:r w:rsidRPr="00AE2A0D">
        <w:t xml:space="preserve">, 1997). O termo </w:t>
      </w:r>
      <w:r w:rsidRPr="00AE2A0D">
        <w:rPr>
          <w:i/>
        </w:rPr>
        <w:t>playback</w:t>
      </w:r>
      <w:r w:rsidRPr="00AE2A0D">
        <w:t xml:space="preserve"> é frequentemente usado em pesquisas ornitológicas como a reprodução de vocalizações gravadas com o intuito de atrair ou provocar a resposta vocal da espécie, principalmente as de hábitos inconspícuos, raras e ameaçadas de extinção (</w:t>
      </w:r>
      <w:r w:rsidRPr="00AE2A0D">
        <w:rPr>
          <w:caps/>
        </w:rPr>
        <w:t>Johnson</w:t>
      </w:r>
      <w:r w:rsidRPr="00AE2A0D">
        <w:t xml:space="preserve"> </w:t>
      </w:r>
      <w:r w:rsidRPr="00AE2A0D">
        <w:rPr>
          <w:i/>
        </w:rPr>
        <w:t>et al.</w:t>
      </w:r>
      <w:r w:rsidRPr="00AE2A0D">
        <w:t xml:space="preserve">, 1981). Os </w:t>
      </w:r>
      <w:r w:rsidRPr="00AE2A0D">
        <w:rPr>
          <w:i/>
        </w:rPr>
        <w:t>playbacks</w:t>
      </w:r>
      <w:r w:rsidRPr="00AE2A0D">
        <w:t xml:space="preserve"> foram realizados com o auxílio de uma caixa amplificada </w:t>
      </w:r>
      <w:r w:rsidRPr="00AE2A0D">
        <w:rPr>
          <w:i/>
        </w:rPr>
        <w:t>Radioshack</w:t>
      </w:r>
      <w:r w:rsidRPr="00AE2A0D">
        <w:t xml:space="preserve"> (</w:t>
      </w:r>
      <w:r w:rsidR="0023044E">
        <w:fldChar w:fldCharType="begin"/>
      </w:r>
      <w:r w:rsidR="0023044E">
        <w:instrText xml:space="preserve"> REF _Ref401823876 \h  \* MERGEFORMAT </w:instrText>
      </w:r>
      <w:r w:rsidR="0023044E">
        <w:fldChar w:fldCharType="separate"/>
      </w:r>
      <w:r w:rsidRPr="00AE2A0D">
        <w:rPr>
          <w:b/>
        </w:rPr>
        <w:t>F</w:t>
      </w:r>
      <w:r w:rsidR="003845D5">
        <w:rPr>
          <w:b/>
        </w:rPr>
        <w:t>oto</w:t>
      </w:r>
      <w:r w:rsidR="0023044E">
        <w:fldChar w:fldCharType="end"/>
      </w:r>
      <w:r w:rsidR="003845D5" w:rsidRPr="003845D5">
        <w:rPr>
          <w:b/>
        </w:rPr>
        <w:t xml:space="preserve"> 1</w:t>
      </w:r>
      <w:r w:rsidRPr="00AE2A0D">
        <w:t>) acoplada a um reprodutor de sons munido de ampla diversidade de vocalizações das espécies da Mata Atlântica.</w:t>
      </w:r>
    </w:p>
    <w:p w:rsidR="00F5487F" w:rsidRPr="00F6194D" w:rsidRDefault="00F5487F" w:rsidP="00F5487F">
      <w:r w:rsidRPr="00AE2A0D">
        <w:t>As observações foram realizadas com auxílio de binóculo Nikon Monarch 42x10 (</w:t>
      </w:r>
      <w:r w:rsidR="0023044E">
        <w:fldChar w:fldCharType="begin"/>
      </w:r>
      <w:r w:rsidR="0023044E">
        <w:instrText xml:space="preserve"> REF _Ref401823903 \h  \* MERGEFORMAT </w:instrText>
      </w:r>
      <w:r w:rsidR="0023044E">
        <w:fldChar w:fldCharType="separate"/>
      </w:r>
      <w:r w:rsidR="003845D5">
        <w:rPr>
          <w:b/>
        </w:rPr>
        <w:t>Foto</w:t>
      </w:r>
      <w:r w:rsidRPr="00AE2A0D">
        <w:rPr>
          <w:b/>
        </w:rPr>
        <w:t xml:space="preserve"> 2</w:t>
      </w:r>
      <w:r w:rsidR="0023044E">
        <w:fldChar w:fldCharType="end"/>
      </w:r>
      <w:r w:rsidRPr="00AE2A0D">
        <w:t>). Espécies não identificadas diretamente em campo tiveram suas vocalizações registradas para análise posterior, conforme proposto por Parker (1991). As gravações foram realizadas com gravador digital Marantz PMD 661 e microfone direcional Sennheiser ME67 (</w:t>
      </w:r>
      <w:r w:rsidR="0023044E">
        <w:fldChar w:fldCharType="begin"/>
      </w:r>
      <w:r w:rsidR="0023044E">
        <w:instrText xml:space="preserve"> REF _Ref401823912 \h  \* MERGEFORMAT </w:instrText>
      </w:r>
      <w:r w:rsidR="0023044E">
        <w:fldChar w:fldCharType="separate"/>
      </w:r>
      <w:r w:rsidRPr="00AE2A0D">
        <w:rPr>
          <w:b/>
        </w:rPr>
        <w:t>F</w:t>
      </w:r>
      <w:r w:rsidR="003845D5">
        <w:rPr>
          <w:b/>
        </w:rPr>
        <w:t>oto</w:t>
      </w:r>
      <w:r w:rsidRPr="00AE2A0D">
        <w:rPr>
          <w:b/>
        </w:rPr>
        <w:t xml:space="preserve"> 3</w:t>
      </w:r>
      <w:r w:rsidR="0023044E">
        <w:fldChar w:fldCharType="end"/>
      </w:r>
      <w:r w:rsidRPr="00AE2A0D">
        <w:t>). Com o auxílio das câmeras fotográficas Canon 50D e Canon 7D, acopladas a lentes Canon L300mm F4 e Canon L 300mm F2.8, procurou-se registrar o maior número possível de espécies (</w:t>
      </w:r>
      <w:r w:rsidR="0023044E">
        <w:fldChar w:fldCharType="begin"/>
      </w:r>
      <w:r w:rsidR="0023044E">
        <w:instrText xml:space="preserve"> REF _Ref401823923 \h  \* MERGEFORMAT </w:instrText>
      </w:r>
      <w:r w:rsidR="0023044E">
        <w:fldChar w:fldCharType="separate"/>
      </w:r>
      <w:r w:rsidR="003845D5">
        <w:rPr>
          <w:b/>
        </w:rPr>
        <w:t>Foto</w:t>
      </w:r>
      <w:r w:rsidRPr="00AE2A0D">
        <w:rPr>
          <w:b/>
        </w:rPr>
        <w:t xml:space="preserve"> 4</w:t>
      </w:r>
      <w:r w:rsidR="0023044E">
        <w:fldChar w:fldCharType="end"/>
      </w:r>
      <w:r w:rsidRPr="00AE2A0D">
        <w:t xml:space="preserve">), </w:t>
      </w:r>
      <w:r w:rsidRPr="005A3F39">
        <w:t>criando-se, assim, um banco fotográfico de referência para o atual trabalho (</w:t>
      </w:r>
      <w:r w:rsidRPr="005A3F39">
        <w:rPr>
          <w:b/>
        </w:rPr>
        <w:t xml:space="preserve">Anexo </w:t>
      </w:r>
      <w:r w:rsidR="00CC29CE" w:rsidRPr="005A3F39">
        <w:rPr>
          <w:b/>
        </w:rPr>
        <w:t>2.2</w:t>
      </w:r>
      <w:r w:rsidRPr="005A3F39">
        <w:t>). Tal</w:t>
      </w:r>
      <w:r w:rsidRPr="00AE2A0D">
        <w:t xml:space="preserve"> banco funciona também como testemunho da presença das espécies aqui listadas na área de estudo. Destaca-se que todas as imagens de aves que ilustram este relatório, foram tomadas em campo durante a realização deste levantamento (</w:t>
      </w:r>
      <w:r w:rsidRPr="00F6194D">
        <w:rPr>
          <w:b/>
        </w:rPr>
        <w:t xml:space="preserve">Anexo </w:t>
      </w:r>
      <w:r w:rsidR="00CC29CE" w:rsidRPr="00F6194D">
        <w:rPr>
          <w:b/>
        </w:rPr>
        <w:t>2.2</w:t>
      </w:r>
      <w:r w:rsidRPr="00F6194D">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4673"/>
        <w:gridCol w:w="222"/>
        <w:gridCol w:w="4675"/>
      </w:tblGrid>
      <w:tr w:rsidR="00F5487F" w:rsidRPr="00AE2A0D" w:rsidTr="00F6194D">
        <w:tc>
          <w:tcPr>
            <w:tcW w:w="4673" w:type="dxa"/>
          </w:tcPr>
          <w:p w:rsidR="00F5487F" w:rsidRPr="003845D5" w:rsidRDefault="00F5487F" w:rsidP="00FC668B">
            <w:pPr>
              <w:rPr>
                <w:rFonts w:cs="Arial"/>
                <w:bCs/>
              </w:rPr>
            </w:pPr>
            <w:r w:rsidRPr="003845D5">
              <w:rPr>
                <w:rFonts w:cs="Arial"/>
                <w:b/>
                <w:noProof/>
                <w:sz w:val="16"/>
                <w:szCs w:val="16"/>
              </w:rPr>
              <w:drawing>
                <wp:inline distT="0" distB="0" distL="0" distR="0" wp14:anchorId="51F93457" wp14:editId="6059CFD6">
                  <wp:extent cx="2880000" cy="1923147"/>
                  <wp:effectExtent l="0" t="0" r="0" b="1270"/>
                  <wp:docPr id="146" name="Imagem 146" descr="E:\Minhas imagens 2\Para separar novo\Integração Atibainha - Jaguari - SP_Out14\Nikon\Playback_DSCN1483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Minhas imagens 2\Para separar novo\Integração Atibainha - Jaguari - SP_Out14\Nikon\Playback_DSCN1483 cópia.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80000" cy="1923147"/>
                          </a:xfrm>
                          <a:prstGeom prst="rect">
                            <a:avLst/>
                          </a:prstGeom>
                          <a:noFill/>
                          <a:ln>
                            <a:noFill/>
                          </a:ln>
                        </pic:spPr>
                      </pic:pic>
                    </a:graphicData>
                  </a:graphic>
                </wp:inline>
              </w:drawing>
            </w:r>
          </w:p>
        </w:tc>
        <w:tc>
          <w:tcPr>
            <w:tcW w:w="222" w:type="dxa"/>
          </w:tcPr>
          <w:p w:rsidR="00F5487F" w:rsidRPr="00AE2A0D" w:rsidRDefault="00F5487F" w:rsidP="00FC668B">
            <w:pPr>
              <w:rPr>
                <w:rFonts w:cs="Arial"/>
                <w:bCs/>
              </w:rPr>
            </w:pPr>
          </w:p>
        </w:tc>
        <w:tc>
          <w:tcPr>
            <w:tcW w:w="4675" w:type="dxa"/>
          </w:tcPr>
          <w:p w:rsidR="00F5487F" w:rsidRPr="00AE2A0D" w:rsidRDefault="00F5487F" w:rsidP="00FC668B">
            <w:pPr>
              <w:rPr>
                <w:rFonts w:cs="Arial"/>
                <w:bCs/>
              </w:rPr>
            </w:pPr>
            <w:r w:rsidRPr="00AE2A0D">
              <w:rPr>
                <w:rFonts w:cs="Arial"/>
                <w:b/>
                <w:noProof/>
                <w:sz w:val="16"/>
                <w:szCs w:val="16"/>
              </w:rPr>
              <w:drawing>
                <wp:inline distT="0" distB="0" distL="0" distR="0" wp14:anchorId="7087313C" wp14:editId="0D78CB9A">
                  <wp:extent cx="2880000" cy="1923147"/>
                  <wp:effectExtent l="0" t="0" r="0" b="1270"/>
                  <wp:docPr id="16" name="Imagem 16" descr="E:\Minhas imagens 2\Para separar novo\Integração Atibainha - Jaguari - SP_Out14\Nikon\Observação_DSCN1480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Minhas imagens 2\Para separar novo\Integração Atibainha - Jaguari - SP_Out14\Nikon\Observação_DSCN1480 cópia.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80000" cy="1923147"/>
                          </a:xfrm>
                          <a:prstGeom prst="rect">
                            <a:avLst/>
                          </a:prstGeom>
                          <a:noFill/>
                          <a:ln>
                            <a:noFill/>
                          </a:ln>
                        </pic:spPr>
                      </pic:pic>
                    </a:graphicData>
                  </a:graphic>
                </wp:inline>
              </w:drawing>
            </w:r>
          </w:p>
        </w:tc>
      </w:tr>
      <w:tr w:rsidR="00F5487F" w:rsidRPr="003845D5" w:rsidTr="00F6194D">
        <w:tc>
          <w:tcPr>
            <w:tcW w:w="4673" w:type="dxa"/>
          </w:tcPr>
          <w:p w:rsidR="00F5487F" w:rsidRPr="003845D5" w:rsidRDefault="003845D5" w:rsidP="00F6194D">
            <w:pPr>
              <w:pStyle w:val="Legenda"/>
              <w:keepNext w:val="0"/>
              <w:spacing w:after="0"/>
              <w:rPr>
                <w:bCs w:val="0"/>
                <w:sz w:val="18"/>
              </w:rPr>
            </w:pPr>
            <w:bookmarkStart w:id="81" w:name="_Ref401823876"/>
            <w:r w:rsidRPr="003845D5">
              <w:rPr>
                <w:b/>
                <w:sz w:val="18"/>
              </w:rPr>
              <w:t xml:space="preserve">Foto </w:t>
            </w:r>
            <w:r w:rsidR="00B5232B" w:rsidRPr="003845D5">
              <w:rPr>
                <w:b/>
                <w:sz w:val="18"/>
              </w:rPr>
              <w:fldChar w:fldCharType="begin"/>
            </w:r>
            <w:r w:rsidR="00F5487F" w:rsidRPr="003845D5">
              <w:rPr>
                <w:b/>
                <w:sz w:val="18"/>
              </w:rPr>
              <w:instrText xml:space="preserve"> SEQ Figura \* ARABIC </w:instrText>
            </w:r>
            <w:r w:rsidR="00B5232B" w:rsidRPr="003845D5">
              <w:rPr>
                <w:b/>
                <w:sz w:val="18"/>
              </w:rPr>
              <w:fldChar w:fldCharType="separate"/>
            </w:r>
            <w:r w:rsidR="00F5487F" w:rsidRPr="003845D5">
              <w:rPr>
                <w:b/>
                <w:sz w:val="18"/>
              </w:rPr>
              <w:t>1</w:t>
            </w:r>
            <w:r w:rsidR="00B5232B" w:rsidRPr="003845D5">
              <w:rPr>
                <w:b/>
                <w:sz w:val="18"/>
              </w:rPr>
              <w:fldChar w:fldCharType="end"/>
            </w:r>
            <w:bookmarkEnd w:id="81"/>
            <w:r w:rsidR="00F5487F" w:rsidRPr="003845D5">
              <w:rPr>
                <w:b/>
                <w:sz w:val="18"/>
              </w:rPr>
              <w:t>.</w:t>
            </w:r>
            <w:r w:rsidR="00F5487F" w:rsidRPr="003845D5">
              <w:rPr>
                <w:sz w:val="18"/>
              </w:rPr>
              <w:t xml:space="preserve"> Realização de </w:t>
            </w:r>
            <w:r w:rsidR="00F5487F" w:rsidRPr="003845D5">
              <w:rPr>
                <w:i/>
                <w:sz w:val="18"/>
              </w:rPr>
              <w:t>playback</w:t>
            </w:r>
            <w:r w:rsidR="00F5487F" w:rsidRPr="003845D5">
              <w:rPr>
                <w:sz w:val="18"/>
              </w:rPr>
              <w:t>.</w:t>
            </w:r>
          </w:p>
        </w:tc>
        <w:tc>
          <w:tcPr>
            <w:tcW w:w="222" w:type="dxa"/>
          </w:tcPr>
          <w:p w:rsidR="00F5487F" w:rsidRPr="003845D5" w:rsidRDefault="00F5487F" w:rsidP="00F6194D">
            <w:pPr>
              <w:spacing w:after="0"/>
              <w:rPr>
                <w:rFonts w:cs="Arial"/>
                <w:bCs/>
                <w:sz w:val="18"/>
                <w:szCs w:val="18"/>
              </w:rPr>
            </w:pPr>
          </w:p>
        </w:tc>
        <w:tc>
          <w:tcPr>
            <w:tcW w:w="4675" w:type="dxa"/>
          </w:tcPr>
          <w:p w:rsidR="00F5487F" w:rsidRPr="003845D5" w:rsidRDefault="003845D5" w:rsidP="00F6194D">
            <w:pPr>
              <w:spacing w:after="0"/>
              <w:rPr>
                <w:rFonts w:cs="Arial"/>
                <w:bCs/>
                <w:sz w:val="18"/>
                <w:szCs w:val="18"/>
              </w:rPr>
            </w:pPr>
            <w:bookmarkStart w:id="82" w:name="_Ref401823903"/>
            <w:bookmarkStart w:id="83" w:name="_Ref401823719"/>
            <w:r w:rsidRPr="003845D5">
              <w:rPr>
                <w:b/>
                <w:sz w:val="18"/>
                <w:szCs w:val="18"/>
              </w:rPr>
              <w:t xml:space="preserve">Foto </w:t>
            </w:r>
            <w:r w:rsidR="00B5232B" w:rsidRPr="003845D5">
              <w:rPr>
                <w:b/>
                <w:sz w:val="18"/>
                <w:szCs w:val="18"/>
              </w:rPr>
              <w:fldChar w:fldCharType="begin"/>
            </w:r>
            <w:r w:rsidR="00F5487F" w:rsidRPr="003845D5">
              <w:rPr>
                <w:b/>
                <w:sz w:val="18"/>
                <w:szCs w:val="18"/>
              </w:rPr>
              <w:instrText xml:space="preserve"> SEQ Figura \* ARABIC </w:instrText>
            </w:r>
            <w:r w:rsidR="00B5232B" w:rsidRPr="003845D5">
              <w:rPr>
                <w:b/>
                <w:sz w:val="18"/>
                <w:szCs w:val="18"/>
              </w:rPr>
              <w:fldChar w:fldCharType="separate"/>
            </w:r>
            <w:r w:rsidR="00F5487F" w:rsidRPr="003845D5">
              <w:rPr>
                <w:b/>
                <w:sz w:val="18"/>
                <w:szCs w:val="18"/>
              </w:rPr>
              <w:t>2</w:t>
            </w:r>
            <w:r w:rsidR="00B5232B" w:rsidRPr="003845D5">
              <w:rPr>
                <w:b/>
                <w:sz w:val="18"/>
                <w:szCs w:val="18"/>
              </w:rPr>
              <w:fldChar w:fldCharType="end"/>
            </w:r>
            <w:bookmarkEnd w:id="82"/>
            <w:r w:rsidR="00F5487F" w:rsidRPr="003845D5">
              <w:rPr>
                <w:b/>
                <w:sz w:val="18"/>
                <w:szCs w:val="18"/>
              </w:rPr>
              <w:t>.</w:t>
            </w:r>
            <w:r w:rsidR="00F5487F" w:rsidRPr="003845D5">
              <w:rPr>
                <w:sz w:val="18"/>
                <w:szCs w:val="18"/>
              </w:rPr>
              <w:t xml:space="preserve"> Observação de avifauna com auxílio de binóculo durante realização de ponto fixo de escuta.</w:t>
            </w:r>
            <w:bookmarkEnd w:id="83"/>
          </w:p>
        </w:tc>
      </w:tr>
      <w:tr w:rsidR="00F5487F" w:rsidRPr="003845D5" w:rsidTr="00F6194D">
        <w:tc>
          <w:tcPr>
            <w:tcW w:w="4673" w:type="dxa"/>
          </w:tcPr>
          <w:p w:rsidR="00F5487F" w:rsidRPr="003845D5" w:rsidRDefault="00F5487F" w:rsidP="00FC668B">
            <w:pPr>
              <w:rPr>
                <w:rFonts w:cs="Arial"/>
                <w:bCs/>
              </w:rPr>
            </w:pPr>
            <w:r w:rsidRPr="003845D5">
              <w:rPr>
                <w:rFonts w:cs="Arial"/>
                <w:noProof/>
                <w:sz w:val="16"/>
                <w:szCs w:val="16"/>
              </w:rPr>
              <w:drawing>
                <wp:inline distT="0" distB="0" distL="0" distR="0" wp14:anchorId="6E278FB6" wp14:editId="7EC11EDE">
                  <wp:extent cx="2880000" cy="1923124"/>
                  <wp:effectExtent l="0" t="0" r="0" b="1270"/>
                  <wp:docPr id="147" name="Imagem 147" descr="E:\Minhas imagens 2\Para separar novo\Integração Atibainha - Jaguari - SP_Out14\Nikon\gravaç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Minhas imagens 2\Para separar novo\Integração Atibainha - Jaguari - SP_Out14\Nikon\gravação.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80000" cy="1923124"/>
                          </a:xfrm>
                          <a:prstGeom prst="rect">
                            <a:avLst/>
                          </a:prstGeom>
                          <a:noFill/>
                          <a:ln>
                            <a:noFill/>
                          </a:ln>
                        </pic:spPr>
                      </pic:pic>
                    </a:graphicData>
                  </a:graphic>
                </wp:inline>
              </w:drawing>
            </w:r>
          </w:p>
        </w:tc>
        <w:tc>
          <w:tcPr>
            <w:tcW w:w="222" w:type="dxa"/>
          </w:tcPr>
          <w:p w:rsidR="00F5487F" w:rsidRPr="003845D5" w:rsidRDefault="00F5487F" w:rsidP="00FC668B">
            <w:pPr>
              <w:rPr>
                <w:rFonts w:cs="Arial"/>
                <w:bCs/>
              </w:rPr>
            </w:pPr>
          </w:p>
        </w:tc>
        <w:tc>
          <w:tcPr>
            <w:tcW w:w="4675" w:type="dxa"/>
          </w:tcPr>
          <w:p w:rsidR="00F5487F" w:rsidRPr="003845D5" w:rsidRDefault="00F5487F" w:rsidP="00FC668B">
            <w:pPr>
              <w:rPr>
                <w:rFonts w:cs="Arial"/>
                <w:bCs/>
              </w:rPr>
            </w:pPr>
            <w:r w:rsidRPr="003845D5">
              <w:rPr>
                <w:rFonts w:cs="Arial"/>
                <w:noProof/>
                <w:sz w:val="16"/>
                <w:szCs w:val="16"/>
              </w:rPr>
              <w:drawing>
                <wp:inline distT="0" distB="0" distL="0" distR="0" wp14:anchorId="51CA1E43" wp14:editId="51F7D4AB">
                  <wp:extent cx="2881601" cy="1924216"/>
                  <wp:effectExtent l="0" t="0" r="0" b="0"/>
                  <wp:docPr id="148" name="Imagem 148" descr="E:\Minhas imagens 2\Para separar novo\Integração Atibainha - Jaguari - SP_Out14\Nikon\Fotografia_DSCN1481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Minhas imagens 2\Para separar novo\Integração Atibainha - Jaguari - SP_Out14\Nikon\Fotografia_DSCN1481 cópia.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6420" cy="1927434"/>
                          </a:xfrm>
                          <a:prstGeom prst="rect">
                            <a:avLst/>
                          </a:prstGeom>
                          <a:noFill/>
                          <a:ln>
                            <a:noFill/>
                          </a:ln>
                        </pic:spPr>
                      </pic:pic>
                    </a:graphicData>
                  </a:graphic>
                </wp:inline>
              </w:drawing>
            </w:r>
          </w:p>
        </w:tc>
      </w:tr>
      <w:tr w:rsidR="00F5487F" w:rsidRPr="00AE2A0D" w:rsidTr="00F6194D">
        <w:tc>
          <w:tcPr>
            <w:tcW w:w="4673" w:type="dxa"/>
          </w:tcPr>
          <w:p w:rsidR="00F5487F" w:rsidRPr="003845D5" w:rsidRDefault="003845D5" w:rsidP="00FC668B">
            <w:pPr>
              <w:spacing w:after="0"/>
              <w:rPr>
                <w:rFonts w:cs="Arial"/>
                <w:bCs/>
                <w:sz w:val="18"/>
                <w:szCs w:val="18"/>
              </w:rPr>
            </w:pPr>
            <w:bookmarkStart w:id="84" w:name="_Ref401823912"/>
            <w:r w:rsidRPr="003845D5">
              <w:rPr>
                <w:rFonts w:cs="Arial"/>
                <w:b/>
                <w:sz w:val="18"/>
                <w:szCs w:val="18"/>
              </w:rPr>
              <w:t xml:space="preserve">Foto </w:t>
            </w:r>
            <w:r w:rsidR="00B5232B" w:rsidRPr="003845D5">
              <w:rPr>
                <w:rFonts w:cs="Arial"/>
                <w:b/>
                <w:sz w:val="18"/>
                <w:szCs w:val="18"/>
              </w:rPr>
              <w:fldChar w:fldCharType="begin"/>
            </w:r>
            <w:r w:rsidR="00F5487F" w:rsidRPr="003845D5">
              <w:rPr>
                <w:rFonts w:cs="Arial"/>
                <w:b/>
                <w:sz w:val="18"/>
                <w:szCs w:val="18"/>
              </w:rPr>
              <w:instrText xml:space="preserve"> SEQ Figura \* ARABIC </w:instrText>
            </w:r>
            <w:r w:rsidR="00B5232B" w:rsidRPr="003845D5">
              <w:rPr>
                <w:rFonts w:cs="Arial"/>
                <w:b/>
                <w:sz w:val="18"/>
                <w:szCs w:val="18"/>
              </w:rPr>
              <w:fldChar w:fldCharType="separate"/>
            </w:r>
            <w:r w:rsidR="00F5487F" w:rsidRPr="003845D5">
              <w:rPr>
                <w:rFonts w:cs="Arial"/>
                <w:b/>
                <w:sz w:val="18"/>
                <w:szCs w:val="18"/>
              </w:rPr>
              <w:t>3</w:t>
            </w:r>
            <w:r w:rsidR="00B5232B" w:rsidRPr="003845D5">
              <w:rPr>
                <w:rFonts w:cs="Arial"/>
                <w:b/>
                <w:sz w:val="18"/>
                <w:szCs w:val="18"/>
              </w:rPr>
              <w:fldChar w:fldCharType="end"/>
            </w:r>
            <w:bookmarkEnd w:id="84"/>
            <w:r w:rsidR="00F5487F" w:rsidRPr="003845D5">
              <w:rPr>
                <w:rFonts w:cs="Arial"/>
                <w:b/>
                <w:sz w:val="18"/>
                <w:szCs w:val="18"/>
              </w:rPr>
              <w:t>.</w:t>
            </w:r>
            <w:r w:rsidR="00F5487F" w:rsidRPr="003845D5">
              <w:rPr>
                <w:rFonts w:cs="Arial"/>
                <w:sz w:val="18"/>
                <w:szCs w:val="18"/>
              </w:rPr>
              <w:t xml:space="preserve"> Gravação de vocalização de indivíduo de avifauna</w:t>
            </w:r>
          </w:p>
        </w:tc>
        <w:tc>
          <w:tcPr>
            <w:tcW w:w="222" w:type="dxa"/>
          </w:tcPr>
          <w:p w:rsidR="00F5487F" w:rsidRPr="003845D5" w:rsidRDefault="00F5487F" w:rsidP="00FC668B">
            <w:pPr>
              <w:spacing w:after="0"/>
              <w:rPr>
                <w:rFonts w:cs="Arial"/>
                <w:bCs/>
                <w:sz w:val="18"/>
                <w:szCs w:val="18"/>
              </w:rPr>
            </w:pPr>
          </w:p>
        </w:tc>
        <w:tc>
          <w:tcPr>
            <w:tcW w:w="4675" w:type="dxa"/>
          </w:tcPr>
          <w:p w:rsidR="00F5487F" w:rsidRPr="00AE2A0D" w:rsidRDefault="00F5487F" w:rsidP="003845D5">
            <w:pPr>
              <w:keepNext/>
              <w:spacing w:after="0"/>
              <w:rPr>
                <w:rFonts w:cs="Arial"/>
                <w:bCs/>
                <w:sz w:val="18"/>
                <w:szCs w:val="18"/>
              </w:rPr>
            </w:pPr>
            <w:bookmarkStart w:id="85" w:name="_Ref401823923"/>
            <w:r w:rsidRPr="003845D5">
              <w:rPr>
                <w:rFonts w:cs="Arial"/>
                <w:b/>
                <w:sz w:val="18"/>
                <w:szCs w:val="18"/>
              </w:rPr>
              <w:t>F</w:t>
            </w:r>
            <w:r w:rsidR="003845D5" w:rsidRPr="003845D5">
              <w:rPr>
                <w:rFonts w:cs="Arial"/>
                <w:b/>
                <w:sz w:val="18"/>
                <w:szCs w:val="18"/>
              </w:rPr>
              <w:t>oto</w:t>
            </w:r>
            <w:r w:rsidRPr="003845D5">
              <w:rPr>
                <w:rFonts w:cs="Arial"/>
                <w:b/>
                <w:sz w:val="18"/>
                <w:szCs w:val="18"/>
              </w:rPr>
              <w:t xml:space="preserve"> </w:t>
            </w:r>
            <w:r w:rsidR="00B5232B" w:rsidRPr="003845D5">
              <w:rPr>
                <w:rFonts w:cs="Arial"/>
                <w:b/>
                <w:sz w:val="18"/>
                <w:szCs w:val="18"/>
              </w:rPr>
              <w:fldChar w:fldCharType="begin"/>
            </w:r>
            <w:r w:rsidRPr="003845D5">
              <w:rPr>
                <w:rFonts w:cs="Arial"/>
                <w:b/>
                <w:sz w:val="18"/>
                <w:szCs w:val="18"/>
              </w:rPr>
              <w:instrText xml:space="preserve"> SEQ Figura \* ARABIC </w:instrText>
            </w:r>
            <w:r w:rsidR="00B5232B" w:rsidRPr="003845D5">
              <w:rPr>
                <w:rFonts w:cs="Arial"/>
                <w:b/>
                <w:sz w:val="18"/>
                <w:szCs w:val="18"/>
              </w:rPr>
              <w:fldChar w:fldCharType="separate"/>
            </w:r>
            <w:r w:rsidRPr="003845D5">
              <w:rPr>
                <w:rFonts w:cs="Arial"/>
                <w:b/>
                <w:sz w:val="18"/>
                <w:szCs w:val="18"/>
              </w:rPr>
              <w:t>4</w:t>
            </w:r>
            <w:r w:rsidR="00B5232B" w:rsidRPr="003845D5">
              <w:rPr>
                <w:rFonts w:cs="Arial"/>
                <w:b/>
                <w:sz w:val="18"/>
                <w:szCs w:val="18"/>
              </w:rPr>
              <w:fldChar w:fldCharType="end"/>
            </w:r>
            <w:bookmarkEnd w:id="85"/>
            <w:r w:rsidRPr="003845D5">
              <w:rPr>
                <w:rFonts w:cs="Arial"/>
                <w:b/>
                <w:sz w:val="18"/>
                <w:szCs w:val="18"/>
              </w:rPr>
              <w:t>.</w:t>
            </w:r>
            <w:r w:rsidRPr="003845D5">
              <w:rPr>
                <w:rFonts w:cs="Arial"/>
                <w:sz w:val="18"/>
                <w:szCs w:val="18"/>
              </w:rPr>
              <w:t xml:space="preserve"> Tomada de documentação fotográfica</w:t>
            </w:r>
          </w:p>
        </w:tc>
      </w:tr>
    </w:tbl>
    <w:p w:rsidR="00F5487F" w:rsidRPr="001F6C6C" w:rsidRDefault="001F6C6C" w:rsidP="001F6C6C">
      <w:pPr>
        <w:pStyle w:val="Ttulo7"/>
      </w:pPr>
      <w:r>
        <w:lastRenderedPageBreak/>
        <w:t>B.2.3.</w:t>
      </w:r>
      <w:r>
        <w:tab/>
      </w:r>
      <w:r w:rsidR="00F5487F" w:rsidRPr="001F6C6C">
        <w:t>Áreas Amostrais</w:t>
      </w:r>
    </w:p>
    <w:p w:rsidR="00F5487F" w:rsidRPr="00AE2A0D" w:rsidRDefault="00F5487F" w:rsidP="00F5487F">
      <w:r w:rsidRPr="00AE2A0D">
        <w:t>As áreas a serem estudadas, bem como os pontos foram previamente selecionados com auxílio de imagens de satélite. O esforço empregado em cada método, o horário de amostragem e o geo</w:t>
      </w:r>
      <w:r>
        <w:t>r</w:t>
      </w:r>
      <w:r w:rsidRPr="00AE2A0D">
        <w:t>referenciamento das áreas amostrais pode ser observado na</w:t>
      </w:r>
      <w:r w:rsidR="003845D5">
        <w:t xml:space="preserve"> </w:t>
      </w:r>
      <w:r w:rsidR="003845D5" w:rsidRPr="003845D5">
        <w:rPr>
          <w:b/>
        </w:rPr>
        <w:t>Tabela 6.4.</w:t>
      </w:r>
      <w:r w:rsidR="00926285">
        <w:rPr>
          <w:b/>
        </w:rPr>
        <w:t>4-2.</w:t>
      </w:r>
      <w:r w:rsidRPr="00AE2A0D">
        <w:t xml:space="preserve"> Nas</w:t>
      </w:r>
      <w:r w:rsidRPr="00AE2A0D">
        <w:rPr>
          <w:b/>
        </w:rPr>
        <w:t xml:space="preserve"> F</w:t>
      </w:r>
      <w:r w:rsidR="003845D5">
        <w:rPr>
          <w:b/>
        </w:rPr>
        <w:t xml:space="preserve">otos </w:t>
      </w:r>
      <w:r w:rsidR="003845D5" w:rsidRPr="003845D5">
        <w:t>a seguir</w:t>
      </w:r>
      <w:r w:rsidRPr="00AE2A0D">
        <w:rPr>
          <w:b/>
        </w:rPr>
        <w:t xml:space="preserve"> </w:t>
      </w:r>
      <w:r w:rsidRPr="00AE2A0D">
        <w:t xml:space="preserve">é possível observar parcialmente cada área de amostragem. </w:t>
      </w:r>
    </w:p>
    <w:p w:rsidR="00F5487F" w:rsidRPr="003845D5" w:rsidRDefault="00F5487F" w:rsidP="003845D5">
      <w:pPr>
        <w:pStyle w:val="Quadro"/>
        <w:rPr>
          <w:b w:val="0"/>
          <w:bCs/>
        </w:rPr>
      </w:pPr>
      <w:bookmarkStart w:id="86" w:name="_Ref401831805"/>
      <w:r w:rsidRPr="003845D5">
        <w:rPr>
          <w:b w:val="0"/>
          <w:bCs/>
        </w:rPr>
        <w:t xml:space="preserve">Tabela </w:t>
      </w:r>
      <w:bookmarkEnd w:id="86"/>
      <w:r w:rsidR="003845D5">
        <w:rPr>
          <w:b w:val="0"/>
          <w:bCs/>
        </w:rPr>
        <w:t>6.4.</w:t>
      </w:r>
      <w:r w:rsidR="00926285">
        <w:rPr>
          <w:b w:val="0"/>
          <w:bCs/>
        </w:rPr>
        <w:t>4-2.</w:t>
      </w:r>
      <w:r w:rsidR="003845D5">
        <w:rPr>
          <w:b w:val="0"/>
          <w:bCs/>
        </w:rPr>
        <w:t xml:space="preserve"> </w:t>
      </w:r>
      <w:r w:rsidRPr="003845D5">
        <w:rPr>
          <w:b w:val="0"/>
          <w:bCs/>
        </w:rPr>
        <w:t xml:space="preserve"> Estações amostrais</w:t>
      </w:r>
      <w:r w:rsidR="007055B7">
        <w:rPr>
          <w:b w:val="0"/>
          <w:bCs/>
        </w:rPr>
        <w:t xml:space="preserve"> de Avifauna</w:t>
      </w:r>
      <w:r w:rsidRPr="003845D5">
        <w:rPr>
          <w:b w:val="0"/>
          <w:bCs/>
        </w:rPr>
        <w:t xml:space="preserve">, metodologia empregada, data, período do dia e seus respetivos horários de amostragem, </w:t>
      </w:r>
      <w:r w:rsidR="007055B7">
        <w:rPr>
          <w:b w:val="0"/>
          <w:bCs/>
        </w:rPr>
        <w:t xml:space="preserve">e </w:t>
      </w:r>
      <w:r w:rsidRPr="003845D5">
        <w:rPr>
          <w:b w:val="0"/>
          <w:bCs/>
        </w:rPr>
        <w:t>esforço empregado.</w:t>
      </w:r>
    </w:p>
    <w:tbl>
      <w:tblPr>
        <w:tblW w:w="5000" w:type="pct"/>
        <w:jc w:val="center"/>
        <w:tblCellMar>
          <w:left w:w="70" w:type="dxa"/>
          <w:right w:w="70" w:type="dxa"/>
        </w:tblCellMar>
        <w:tblLook w:val="04A0" w:firstRow="1" w:lastRow="0" w:firstColumn="1" w:lastColumn="0" w:noHBand="0" w:noVBand="1"/>
      </w:tblPr>
      <w:tblGrid>
        <w:gridCol w:w="1017"/>
        <w:gridCol w:w="969"/>
        <w:gridCol w:w="1202"/>
        <w:gridCol w:w="1351"/>
        <w:gridCol w:w="1086"/>
        <w:gridCol w:w="705"/>
        <w:gridCol w:w="976"/>
        <w:gridCol w:w="1135"/>
        <w:gridCol w:w="893"/>
      </w:tblGrid>
      <w:tr w:rsidR="00F5487F" w:rsidRPr="00AE2A0D" w:rsidTr="00926285">
        <w:trPr>
          <w:cantSplit/>
          <w:trHeight w:val="207"/>
          <w:tblHeader/>
          <w:jc w:val="center"/>
        </w:trPr>
        <w:tc>
          <w:tcPr>
            <w:tcW w:w="554" w:type="pct"/>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rsidR="00F5487F" w:rsidRPr="00AE2A0D" w:rsidRDefault="00F5487F" w:rsidP="00FC668B">
            <w:pPr>
              <w:spacing w:after="0"/>
              <w:jc w:val="center"/>
              <w:rPr>
                <w:rFonts w:eastAsia="Times New Roman" w:cs="Arial"/>
                <w:b/>
                <w:bCs/>
                <w:color w:val="000000"/>
                <w:sz w:val="18"/>
                <w:szCs w:val="18"/>
                <w:lang w:eastAsia="pt-BR"/>
              </w:rPr>
            </w:pPr>
            <w:r w:rsidRPr="00AE2A0D">
              <w:rPr>
                <w:rFonts w:eastAsia="Times New Roman" w:cs="Arial"/>
                <w:b/>
                <w:bCs/>
                <w:color w:val="000000"/>
                <w:sz w:val="18"/>
                <w:szCs w:val="18"/>
                <w:lang w:eastAsia="pt-BR"/>
              </w:rPr>
              <w:t>Área Amostral</w:t>
            </w:r>
          </w:p>
        </w:tc>
        <w:tc>
          <w:tcPr>
            <w:tcW w:w="528" w:type="pct"/>
            <w:vMerge w:val="restart"/>
            <w:tcBorders>
              <w:top w:val="single" w:sz="8" w:space="0" w:color="auto"/>
              <w:left w:val="single" w:sz="8" w:space="0" w:color="auto"/>
              <w:bottom w:val="single" w:sz="8" w:space="0" w:color="000000"/>
              <w:right w:val="single" w:sz="8" w:space="0" w:color="auto"/>
            </w:tcBorders>
            <w:shd w:val="clear" w:color="000000" w:fill="BFBFBF"/>
            <w:noWrap/>
            <w:vAlign w:val="center"/>
            <w:hideMark/>
          </w:tcPr>
          <w:p w:rsidR="00F5487F" w:rsidRPr="00AE2A0D" w:rsidRDefault="00F5487F" w:rsidP="00FC668B">
            <w:pPr>
              <w:spacing w:after="0"/>
              <w:jc w:val="center"/>
              <w:rPr>
                <w:rFonts w:eastAsia="Times New Roman" w:cs="Arial"/>
                <w:b/>
                <w:bCs/>
                <w:color w:val="000000"/>
                <w:sz w:val="18"/>
                <w:szCs w:val="18"/>
                <w:lang w:eastAsia="pt-BR"/>
              </w:rPr>
            </w:pPr>
            <w:r w:rsidRPr="00AE2A0D">
              <w:rPr>
                <w:rFonts w:eastAsia="Times New Roman" w:cs="Arial"/>
                <w:b/>
                <w:bCs/>
                <w:color w:val="000000"/>
                <w:sz w:val="18"/>
                <w:szCs w:val="18"/>
                <w:lang w:eastAsia="pt-BR"/>
              </w:rPr>
              <w:t>Período</w:t>
            </w:r>
          </w:p>
        </w:tc>
        <w:tc>
          <w:tcPr>
            <w:tcW w:w="571" w:type="pct"/>
            <w:vMerge w:val="restart"/>
            <w:tcBorders>
              <w:top w:val="single" w:sz="8" w:space="0" w:color="auto"/>
              <w:left w:val="single" w:sz="8" w:space="0" w:color="auto"/>
              <w:bottom w:val="single" w:sz="8" w:space="0" w:color="000000"/>
              <w:right w:val="single" w:sz="8" w:space="0" w:color="auto"/>
            </w:tcBorders>
            <w:shd w:val="clear" w:color="000000" w:fill="BFBFBF"/>
            <w:noWrap/>
            <w:vAlign w:val="center"/>
            <w:hideMark/>
          </w:tcPr>
          <w:p w:rsidR="00F5487F" w:rsidRPr="00AE2A0D" w:rsidRDefault="00F5487F" w:rsidP="00FC668B">
            <w:pPr>
              <w:spacing w:after="0"/>
              <w:jc w:val="center"/>
              <w:rPr>
                <w:rFonts w:eastAsia="Times New Roman" w:cs="Arial"/>
                <w:b/>
                <w:bCs/>
                <w:color w:val="000000"/>
                <w:sz w:val="18"/>
                <w:szCs w:val="18"/>
                <w:lang w:eastAsia="pt-BR"/>
              </w:rPr>
            </w:pPr>
            <w:r w:rsidRPr="00AE2A0D">
              <w:rPr>
                <w:rFonts w:eastAsia="Times New Roman" w:cs="Arial"/>
                <w:b/>
                <w:bCs/>
                <w:color w:val="000000"/>
                <w:sz w:val="18"/>
                <w:szCs w:val="18"/>
                <w:lang w:eastAsia="pt-BR"/>
              </w:rPr>
              <w:t>Horário</w:t>
            </w:r>
          </w:p>
        </w:tc>
        <w:tc>
          <w:tcPr>
            <w:tcW w:w="733" w:type="pct"/>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rsidR="00F5487F" w:rsidRPr="00AE2A0D" w:rsidRDefault="00F5487F" w:rsidP="00FC668B">
            <w:pPr>
              <w:spacing w:after="0"/>
              <w:jc w:val="center"/>
              <w:rPr>
                <w:rFonts w:eastAsia="Times New Roman" w:cs="Arial"/>
                <w:b/>
                <w:bCs/>
                <w:color w:val="000000"/>
                <w:sz w:val="18"/>
                <w:szCs w:val="18"/>
                <w:lang w:eastAsia="pt-BR"/>
              </w:rPr>
            </w:pPr>
            <w:r w:rsidRPr="00AE2A0D">
              <w:rPr>
                <w:rFonts w:eastAsia="Times New Roman" w:cs="Arial"/>
                <w:b/>
                <w:bCs/>
                <w:color w:val="000000"/>
                <w:sz w:val="18"/>
                <w:szCs w:val="18"/>
                <w:lang w:eastAsia="pt-BR"/>
              </w:rPr>
              <w:t>Dia de amostragem</w:t>
            </w:r>
          </w:p>
        </w:tc>
        <w:tc>
          <w:tcPr>
            <w:tcW w:w="591" w:type="pct"/>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rsidR="00F5487F" w:rsidRPr="00AE2A0D" w:rsidRDefault="00F5487F" w:rsidP="00FC668B">
            <w:pPr>
              <w:spacing w:after="0"/>
              <w:jc w:val="center"/>
              <w:rPr>
                <w:rFonts w:eastAsia="Times New Roman" w:cs="Arial"/>
                <w:b/>
                <w:bCs/>
                <w:color w:val="000000"/>
                <w:sz w:val="18"/>
                <w:szCs w:val="18"/>
                <w:lang w:eastAsia="pt-BR"/>
              </w:rPr>
            </w:pPr>
            <w:r w:rsidRPr="00AE2A0D">
              <w:rPr>
                <w:rFonts w:eastAsia="Times New Roman" w:cs="Arial"/>
                <w:b/>
                <w:bCs/>
                <w:color w:val="000000"/>
                <w:sz w:val="18"/>
                <w:szCs w:val="18"/>
                <w:lang w:eastAsia="pt-BR"/>
              </w:rPr>
              <w:t>Município</w:t>
            </w:r>
          </w:p>
        </w:tc>
        <w:tc>
          <w:tcPr>
            <w:tcW w:w="387" w:type="pct"/>
            <w:vMerge w:val="restart"/>
            <w:tcBorders>
              <w:top w:val="single" w:sz="8" w:space="0" w:color="auto"/>
              <w:left w:val="single" w:sz="8" w:space="0" w:color="auto"/>
              <w:bottom w:val="single" w:sz="8" w:space="0" w:color="000000"/>
              <w:right w:val="single" w:sz="8" w:space="0" w:color="auto"/>
            </w:tcBorders>
            <w:shd w:val="clear" w:color="000000" w:fill="BFBFBF"/>
            <w:noWrap/>
            <w:vAlign w:val="center"/>
            <w:hideMark/>
          </w:tcPr>
          <w:p w:rsidR="00F5487F" w:rsidRPr="00AE2A0D" w:rsidRDefault="00F5487F" w:rsidP="00FC668B">
            <w:pPr>
              <w:spacing w:after="0"/>
              <w:jc w:val="center"/>
              <w:rPr>
                <w:rFonts w:eastAsia="Times New Roman" w:cs="Arial"/>
                <w:b/>
                <w:bCs/>
                <w:color w:val="000000"/>
                <w:sz w:val="18"/>
                <w:szCs w:val="18"/>
                <w:lang w:eastAsia="pt-BR"/>
              </w:rPr>
            </w:pPr>
            <w:r w:rsidRPr="00AE2A0D">
              <w:rPr>
                <w:rFonts w:eastAsia="Times New Roman" w:cs="Arial"/>
                <w:b/>
                <w:bCs/>
                <w:color w:val="000000"/>
                <w:sz w:val="18"/>
                <w:szCs w:val="18"/>
                <w:lang w:eastAsia="pt-BR"/>
              </w:rPr>
              <w:t>Ponto</w:t>
            </w:r>
          </w:p>
        </w:tc>
        <w:tc>
          <w:tcPr>
            <w:tcW w:w="1148" w:type="pct"/>
            <w:gridSpan w:val="2"/>
            <w:vMerge w:val="restart"/>
            <w:tcBorders>
              <w:top w:val="single" w:sz="8" w:space="0" w:color="auto"/>
              <w:left w:val="single" w:sz="8" w:space="0" w:color="auto"/>
              <w:bottom w:val="single" w:sz="8" w:space="0" w:color="000000"/>
              <w:right w:val="single" w:sz="8" w:space="0" w:color="000000"/>
            </w:tcBorders>
            <w:shd w:val="clear" w:color="000000" w:fill="BFBFBF"/>
            <w:vAlign w:val="center"/>
            <w:hideMark/>
          </w:tcPr>
          <w:p w:rsidR="00F5487F" w:rsidRPr="00AE2A0D" w:rsidRDefault="002F5F14" w:rsidP="00FC668B">
            <w:pPr>
              <w:spacing w:after="0"/>
              <w:jc w:val="center"/>
              <w:rPr>
                <w:rFonts w:eastAsia="Times New Roman" w:cs="Arial"/>
                <w:b/>
                <w:bCs/>
                <w:color w:val="000000"/>
                <w:sz w:val="18"/>
                <w:szCs w:val="18"/>
                <w:lang w:eastAsia="pt-BR"/>
              </w:rPr>
            </w:pPr>
            <w:r>
              <w:rPr>
                <w:rFonts w:eastAsia="Times New Roman" w:cs="Arial"/>
                <w:b/>
                <w:bCs/>
                <w:color w:val="000000"/>
                <w:sz w:val="18"/>
                <w:szCs w:val="18"/>
                <w:lang w:eastAsia="pt-BR"/>
              </w:rPr>
              <w:t xml:space="preserve">Coordenadas UTM </w:t>
            </w:r>
            <w:r w:rsidR="00F5487F" w:rsidRPr="00AE2A0D">
              <w:rPr>
                <w:rFonts w:eastAsia="Times New Roman" w:cs="Arial"/>
                <w:b/>
                <w:bCs/>
                <w:color w:val="000000"/>
                <w:sz w:val="18"/>
                <w:szCs w:val="18"/>
                <w:lang w:eastAsia="pt-BR"/>
              </w:rPr>
              <w:t>(23K Sirgas 2000)</w:t>
            </w:r>
          </w:p>
        </w:tc>
        <w:tc>
          <w:tcPr>
            <w:tcW w:w="487" w:type="pct"/>
            <w:vMerge w:val="restart"/>
            <w:tcBorders>
              <w:top w:val="single" w:sz="8" w:space="0" w:color="auto"/>
              <w:left w:val="single" w:sz="8" w:space="0" w:color="auto"/>
              <w:bottom w:val="single" w:sz="8" w:space="0" w:color="000000"/>
              <w:right w:val="single" w:sz="8" w:space="0" w:color="auto"/>
            </w:tcBorders>
            <w:shd w:val="clear" w:color="000000" w:fill="BFBFBF"/>
            <w:noWrap/>
            <w:vAlign w:val="center"/>
            <w:hideMark/>
          </w:tcPr>
          <w:p w:rsidR="00F5487F" w:rsidRPr="00AE2A0D" w:rsidRDefault="00F5487F" w:rsidP="00FC668B">
            <w:pPr>
              <w:spacing w:after="0"/>
              <w:jc w:val="center"/>
              <w:rPr>
                <w:rFonts w:eastAsia="Times New Roman" w:cs="Arial"/>
                <w:b/>
                <w:bCs/>
                <w:color w:val="000000"/>
                <w:sz w:val="18"/>
                <w:szCs w:val="18"/>
                <w:lang w:eastAsia="pt-BR"/>
              </w:rPr>
            </w:pPr>
            <w:r w:rsidRPr="00AE2A0D">
              <w:rPr>
                <w:rFonts w:eastAsia="Times New Roman" w:cs="Arial"/>
                <w:b/>
                <w:bCs/>
                <w:color w:val="000000"/>
                <w:sz w:val="18"/>
                <w:szCs w:val="18"/>
                <w:lang w:eastAsia="pt-BR"/>
              </w:rPr>
              <w:t>Esforço</w:t>
            </w:r>
          </w:p>
        </w:tc>
      </w:tr>
      <w:tr w:rsidR="00F5487F" w:rsidRPr="00AE2A0D" w:rsidTr="00926285">
        <w:trPr>
          <w:cantSplit/>
          <w:trHeight w:val="207"/>
          <w:tblHeader/>
          <w:jc w:val="center"/>
        </w:trPr>
        <w:tc>
          <w:tcPr>
            <w:tcW w:w="554" w:type="pct"/>
            <w:vMerge/>
            <w:tcBorders>
              <w:top w:val="single" w:sz="8" w:space="0" w:color="auto"/>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b/>
                <w:bCs/>
                <w:color w:val="000000"/>
                <w:sz w:val="18"/>
                <w:szCs w:val="18"/>
                <w:lang w:eastAsia="pt-BR"/>
              </w:rPr>
            </w:pPr>
          </w:p>
        </w:tc>
        <w:tc>
          <w:tcPr>
            <w:tcW w:w="528" w:type="pct"/>
            <w:vMerge/>
            <w:tcBorders>
              <w:top w:val="single" w:sz="8" w:space="0" w:color="auto"/>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b/>
                <w:bCs/>
                <w:color w:val="000000"/>
                <w:sz w:val="18"/>
                <w:szCs w:val="18"/>
                <w:lang w:eastAsia="pt-BR"/>
              </w:rPr>
            </w:pPr>
          </w:p>
        </w:tc>
        <w:tc>
          <w:tcPr>
            <w:tcW w:w="571" w:type="pct"/>
            <w:vMerge/>
            <w:tcBorders>
              <w:top w:val="single" w:sz="8" w:space="0" w:color="auto"/>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b/>
                <w:bCs/>
                <w:color w:val="000000"/>
                <w:sz w:val="18"/>
                <w:szCs w:val="18"/>
                <w:lang w:eastAsia="pt-BR"/>
              </w:rPr>
            </w:pPr>
          </w:p>
        </w:tc>
        <w:tc>
          <w:tcPr>
            <w:tcW w:w="733" w:type="pct"/>
            <w:vMerge/>
            <w:tcBorders>
              <w:top w:val="single" w:sz="8" w:space="0" w:color="auto"/>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b/>
                <w:bCs/>
                <w:color w:val="000000"/>
                <w:sz w:val="18"/>
                <w:szCs w:val="18"/>
                <w:lang w:eastAsia="pt-BR"/>
              </w:rPr>
            </w:pPr>
          </w:p>
        </w:tc>
        <w:tc>
          <w:tcPr>
            <w:tcW w:w="591" w:type="pct"/>
            <w:vMerge/>
            <w:tcBorders>
              <w:top w:val="single" w:sz="8" w:space="0" w:color="auto"/>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b/>
                <w:bCs/>
                <w:color w:val="000000"/>
                <w:sz w:val="18"/>
                <w:szCs w:val="18"/>
                <w:lang w:eastAsia="pt-BR"/>
              </w:rPr>
            </w:pPr>
          </w:p>
        </w:tc>
        <w:tc>
          <w:tcPr>
            <w:tcW w:w="387" w:type="pct"/>
            <w:vMerge/>
            <w:tcBorders>
              <w:top w:val="single" w:sz="8" w:space="0" w:color="auto"/>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b/>
                <w:bCs/>
                <w:color w:val="000000"/>
                <w:sz w:val="18"/>
                <w:szCs w:val="18"/>
                <w:lang w:eastAsia="pt-BR"/>
              </w:rPr>
            </w:pPr>
          </w:p>
        </w:tc>
        <w:tc>
          <w:tcPr>
            <w:tcW w:w="1148" w:type="pct"/>
            <w:gridSpan w:val="2"/>
            <w:vMerge/>
            <w:tcBorders>
              <w:top w:val="single" w:sz="8" w:space="0" w:color="auto"/>
              <w:left w:val="single" w:sz="8" w:space="0" w:color="auto"/>
              <w:bottom w:val="single" w:sz="8" w:space="0" w:color="000000"/>
              <w:right w:val="single" w:sz="8" w:space="0" w:color="000000"/>
            </w:tcBorders>
            <w:vAlign w:val="center"/>
            <w:hideMark/>
          </w:tcPr>
          <w:p w:rsidR="00F5487F" w:rsidRPr="00AE2A0D" w:rsidRDefault="00F5487F" w:rsidP="00FC668B">
            <w:pPr>
              <w:spacing w:after="0"/>
              <w:rPr>
                <w:rFonts w:eastAsia="Times New Roman" w:cs="Arial"/>
                <w:b/>
                <w:bCs/>
                <w:color w:val="000000"/>
                <w:sz w:val="18"/>
                <w:szCs w:val="18"/>
                <w:lang w:eastAsia="pt-BR"/>
              </w:rPr>
            </w:pPr>
          </w:p>
        </w:tc>
        <w:tc>
          <w:tcPr>
            <w:tcW w:w="487" w:type="pct"/>
            <w:vMerge/>
            <w:tcBorders>
              <w:top w:val="single" w:sz="8" w:space="0" w:color="auto"/>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b/>
                <w:bCs/>
                <w:color w:val="000000"/>
                <w:sz w:val="18"/>
                <w:szCs w:val="18"/>
                <w:lang w:eastAsia="pt-BR"/>
              </w:rPr>
            </w:pPr>
          </w:p>
        </w:tc>
      </w:tr>
      <w:tr w:rsidR="00F5487F" w:rsidRPr="00AE2A0D" w:rsidTr="00926285">
        <w:trPr>
          <w:cantSplit/>
          <w:tblHeader/>
          <w:jc w:val="center"/>
        </w:trPr>
        <w:tc>
          <w:tcPr>
            <w:tcW w:w="554" w:type="pct"/>
            <w:vMerge/>
            <w:tcBorders>
              <w:top w:val="single" w:sz="8" w:space="0" w:color="auto"/>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b/>
                <w:bCs/>
                <w:color w:val="000000"/>
                <w:sz w:val="18"/>
                <w:szCs w:val="18"/>
                <w:lang w:eastAsia="pt-BR"/>
              </w:rPr>
            </w:pPr>
          </w:p>
        </w:tc>
        <w:tc>
          <w:tcPr>
            <w:tcW w:w="528" w:type="pct"/>
            <w:vMerge/>
            <w:tcBorders>
              <w:top w:val="single" w:sz="8" w:space="0" w:color="auto"/>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b/>
                <w:bCs/>
                <w:color w:val="000000"/>
                <w:sz w:val="18"/>
                <w:szCs w:val="18"/>
                <w:lang w:eastAsia="pt-BR"/>
              </w:rPr>
            </w:pPr>
          </w:p>
        </w:tc>
        <w:tc>
          <w:tcPr>
            <w:tcW w:w="571" w:type="pct"/>
            <w:vMerge/>
            <w:tcBorders>
              <w:top w:val="single" w:sz="8" w:space="0" w:color="auto"/>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b/>
                <w:bCs/>
                <w:color w:val="000000"/>
                <w:sz w:val="18"/>
                <w:szCs w:val="18"/>
                <w:lang w:eastAsia="pt-BR"/>
              </w:rPr>
            </w:pPr>
          </w:p>
        </w:tc>
        <w:tc>
          <w:tcPr>
            <w:tcW w:w="733" w:type="pct"/>
            <w:vMerge/>
            <w:tcBorders>
              <w:top w:val="single" w:sz="8" w:space="0" w:color="auto"/>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b/>
                <w:bCs/>
                <w:color w:val="000000"/>
                <w:sz w:val="18"/>
                <w:szCs w:val="18"/>
                <w:lang w:eastAsia="pt-BR"/>
              </w:rPr>
            </w:pPr>
          </w:p>
        </w:tc>
        <w:tc>
          <w:tcPr>
            <w:tcW w:w="591" w:type="pct"/>
            <w:vMerge/>
            <w:tcBorders>
              <w:top w:val="single" w:sz="8" w:space="0" w:color="auto"/>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b/>
                <w:bCs/>
                <w:color w:val="000000"/>
                <w:sz w:val="18"/>
                <w:szCs w:val="18"/>
                <w:lang w:eastAsia="pt-BR"/>
              </w:rPr>
            </w:pPr>
          </w:p>
        </w:tc>
        <w:tc>
          <w:tcPr>
            <w:tcW w:w="387" w:type="pct"/>
            <w:vMerge/>
            <w:tcBorders>
              <w:top w:val="single" w:sz="8" w:space="0" w:color="auto"/>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b/>
                <w:bCs/>
                <w:color w:val="000000"/>
                <w:sz w:val="18"/>
                <w:szCs w:val="18"/>
                <w:lang w:eastAsia="pt-BR"/>
              </w:rPr>
            </w:pPr>
          </w:p>
        </w:tc>
        <w:tc>
          <w:tcPr>
            <w:tcW w:w="532" w:type="pct"/>
            <w:tcBorders>
              <w:top w:val="nil"/>
              <w:left w:val="nil"/>
              <w:bottom w:val="single" w:sz="8" w:space="0" w:color="auto"/>
              <w:right w:val="single" w:sz="8" w:space="0" w:color="auto"/>
            </w:tcBorders>
            <w:shd w:val="clear" w:color="000000" w:fill="BFBFBF"/>
            <w:noWrap/>
            <w:vAlign w:val="center"/>
            <w:hideMark/>
          </w:tcPr>
          <w:p w:rsidR="00F5487F" w:rsidRPr="00AE2A0D" w:rsidRDefault="00F5487F" w:rsidP="00FC668B">
            <w:pPr>
              <w:spacing w:after="0"/>
              <w:jc w:val="center"/>
              <w:rPr>
                <w:rFonts w:eastAsia="Times New Roman" w:cs="Arial"/>
                <w:b/>
                <w:bCs/>
                <w:color w:val="000000"/>
                <w:sz w:val="18"/>
                <w:szCs w:val="18"/>
                <w:lang w:eastAsia="pt-BR"/>
              </w:rPr>
            </w:pPr>
            <w:r w:rsidRPr="00AE2A0D">
              <w:rPr>
                <w:rFonts w:eastAsia="Times New Roman" w:cs="Arial"/>
                <w:b/>
                <w:bCs/>
                <w:color w:val="000000"/>
                <w:sz w:val="18"/>
                <w:szCs w:val="18"/>
                <w:lang w:eastAsia="pt-BR"/>
              </w:rPr>
              <w:t>E</w:t>
            </w:r>
          </w:p>
        </w:tc>
        <w:tc>
          <w:tcPr>
            <w:tcW w:w="616" w:type="pct"/>
            <w:tcBorders>
              <w:top w:val="nil"/>
              <w:left w:val="nil"/>
              <w:bottom w:val="single" w:sz="8" w:space="0" w:color="auto"/>
              <w:right w:val="single" w:sz="8" w:space="0" w:color="auto"/>
            </w:tcBorders>
            <w:shd w:val="clear" w:color="000000" w:fill="BFBFBF"/>
            <w:noWrap/>
            <w:vAlign w:val="center"/>
            <w:hideMark/>
          </w:tcPr>
          <w:p w:rsidR="00F5487F" w:rsidRPr="00AE2A0D" w:rsidRDefault="00F5487F" w:rsidP="00FC668B">
            <w:pPr>
              <w:spacing w:after="0"/>
              <w:jc w:val="center"/>
              <w:rPr>
                <w:rFonts w:eastAsia="Times New Roman" w:cs="Arial"/>
                <w:b/>
                <w:bCs/>
                <w:color w:val="000000"/>
                <w:sz w:val="18"/>
                <w:szCs w:val="18"/>
                <w:lang w:eastAsia="pt-BR"/>
              </w:rPr>
            </w:pPr>
            <w:r w:rsidRPr="00AE2A0D">
              <w:rPr>
                <w:rFonts w:eastAsia="Times New Roman" w:cs="Arial"/>
                <w:b/>
                <w:bCs/>
                <w:color w:val="000000"/>
                <w:sz w:val="18"/>
                <w:szCs w:val="18"/>
                <w:lang w:eastAsia="pt-BR"/>
              </w:rPr>
              <w:t>S</w:t>
            </w:r>
          </w:p>
        </w:tc>
        <w:tc>
          <w:tcPr>
            <w:tcW w:w="487" w:type="pct"/>
            <w:vMerge/>
            <w:tcBorders>
              <w:top w:val="single" w:sz="8" w:space="0" w:color="auto"/>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b/>
                <w:bCs/>
                <w:color w:val="000000"/>
                <w:sz w:val="18"/>
                <w:szCs w:val="18"/>
                <w:lang w:eastAsia="pt-BR"/>
              </w:rPr>
            </w:pPr>
          </w:p>
        </w:tc>
      </w:tr>
      <w:tr w:rsidR="00F5487F" w:rsidRPr="00AE2A0D" w:rsidTr="00FC668B">
        <w:trPr>
          <w:trHeight w:val="61"/>
          <w:jc w:val="center"/>
        </w:trPr>
        <w:tc>
          <w:tcPr>
            <w:tcW w:w="554" w:type="pct"/>
            <w:vMerge w:val="restart"/>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Área 1</w:t>
            </w:r>
          </w:p>
        </w:tc>
        <w:tc>
          <w:tcPr>
            <w:tcW w:w="52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Tarde</w:t>
            </w:r>
          </w:p>
        </w:tc>
        <w:tc>
          <w:tcPr>
            <w:tcW w:w="57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15h00-19h00</w:t>
            </w:r>
          </w:p>
        </w:tc>
        <w:tc>
          <w:tcPr>
            <w:tcW w:w="73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29/09/2014</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Santa Isabel</w:t>
            </w: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P1</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379493</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7429890</w:t>
            </w:r>
          </w:p>
        </w:tc>
        <w:tc>
          <w:tcPr>
            <w:tcW w:w="487"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10h</w:t>
            </w:r>
          </w:p>
        </w:tc>
      </w:tr>
      <w:tr w:rsidR="00F5487F" w:rsidRPr="00AE2A0D" w:rsidTr="00FC668B">
        <w:trPr>
          <w:trHeight w:val="121"/>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P2</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379703</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7429889</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11"/>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Manhã</w:t>
            </w:r>
          </w:p>
        </w:tc>
        <w:tc>
          <w:tcPr>
            <w:tcW w:w="57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05h00-08h00</w:t>
            </w:r>
          </w:p>
        </w:tc>
        <w:tc>
          <w:tcPr>
            <w:tcW w:w="73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3/10/2014</w:t>
            </w: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P3</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379588</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7429717</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15"/>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P4</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379744</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7429579</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33"/>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P5</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379655</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7429437</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23"/>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Manhã</w:t>
            </w:r>
          </w:p>
        </w:tc>
        <w:tc>
          <w:tcPr>
            <w:tcW w:w="57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08h00-11h00</w:t>
            </w:r>
          </w:p>
        </w:tc>
        <w:tc>
          <w:tcPr>
            <w:tcW w:w="73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01/10/2014</w:t>
            </w: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P6</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379550</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7429547</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13"/>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P7</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379376</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7429597</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37"/>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P8</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379403</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7429755</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98"/>
          <w:jc w:val="center"/>
        </w:trPr>
        <w:tc>
          <w:tcPr>
            <w:tcW w:w="554" w:type="pct"/>
            <w:vMerge w:val="restart"/>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Área 2</w:t>
            </w:r>
          </w:p>
        </w:tc>
        <w:tc>
          <w:tcPr>
            <w:tcW w:w="52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Tarde</w:t>
            </w:r>
          </w:p>
        </w:tc>
        <w:tc>
          <w:tcPr>
            <w:tcW w:w="57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15h00-19h00</w:t>
            </w:r>
          </w:p>
        </w:tc>
        <w:tc>
          <w:tcPr>
            <w:tcW w:w="73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30/09/2014</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Igaratá</w:t>
            </w: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P1</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375745</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7434039</w:t>
            </w:r>
          </w:p>
        </w:tc>
        <w:tc>
          <w:tcPr>
            <w:tcW w:w="487"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10h</w:t>
            </w:r>
          </w:p>
        </w:tc>
      </w:tr>
      <w:tr w:rsidR="00F5487F" w:rsidRPr="00AE2A0D" w:rsidTr="00FC668B">
        <w:trPr>
          <w:trHeight w:val="50"/>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P2</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375663</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7434201</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22"/>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Manhã</w:t>
            </w:r>
          </w:p>
        </w:tc>
        <w:tc>
          <w:tcPr>
            <w:tcW w:w="57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05h00-08h00</w:t>
            </w:r>
          </w:p>
        </w:tc>
        <w:tc>
          <w:tcPr>
            <w:tcW w:w="73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01/10/2014</w:t>
            </w: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P3</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375603</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7434490</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22"/>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P4</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375521</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7434839</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82"/>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P5</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375863</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7435025</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70"/>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Manhã</w:t>
            </w:r>
          </w:p>
        </w:tc>
        <w:tc>
          <w:tcPr>
            <w:tcW w:w="57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08h00-11h00</w:t>
            </w:r>
          </w:p>
        </w:tc>
        <w:tc>
          <w:tcPr>
            <w:tcW w:w="73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02/10/2014</w:t>
            </w: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P6</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376101</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7434795</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15"/>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P7</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375868</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7434634</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75"/>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P8</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376031</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7434395</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63"/>
          <w:jc w:val="center"/>
        </w:trPr>
        <w:tc>
          <w:tcPr>
            <w:tcW w:w="554" w:type="pct"/>
            <w:vMerge w:val="restart"/>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Área 3</w:t>
            </w:r>
          </w:p>
        </w:tc>
        <w:tc>
          <w:tcPr>
            <w:tcW w:w="52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Tarde</w:t>
            </w:r>
          </w:p>
        </w:tc>
        <w:tc>
          <w:tcPr>
            <w:tcW w:w="57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15h00-19h00</w:t>
            </w:r>
          </w:p>
        </w:tc>
        <w:tc>
          <w:tcPr>
            <w:tcW w:w="73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01/10/2014</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Igaratá</w:t>
            </w: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P1</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374424</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7439002</w:t>
            </w:r>
          </w:p>
        </w:tc>
        <w:tc>
          <w:tcPr>
            <w:tcW w:w="487"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10h</w:t>
            </w:r>
          </w:p>
        </w:tc>
      </w:tr>
      <w:tr w:rsidR="00F5487F" w:rsidRPr="00AE2A0D" w:rsidTr="00FC668B">
        <w:trPr>
          <w:trHeight w:val="109"/>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P2</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374180</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7439074</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55"/>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Manhã</w:t>
            </w:r>
          </w:p>
        </w:tc>
        <w:tc>
          <w:tcPr>
            <w:tcW w:w="57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05h00-08h00</w:t>
            </w:r>
          </w:p>
        </w:tc>
        <w:tc>
          <w:tcPr>
            <w:tcW w:w="73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30/10/2014</w:t>
            </w: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P3</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373941</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7439144</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57"/>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P4</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373784</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7439099</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03"/>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P5</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373871</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7438925</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91"/>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Manhã</w:t>
            </w:r>
          </w:p>
        </w:tc>
        <w:tc>
          <w:tcPr>
            <w:tcW w:w="57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08h00-11h00</w:t>
            </w:r>
          </w:p>
        </w:tc>
        <w:tc>
          <w:tcPr>
            <w:tcW w:w="73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02/10/2014</w:t>
            </w: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P6</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374059</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7438824</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37"/>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P7</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374257</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7438808</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69"/>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P8</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374516</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7438797</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71"/>
          <w:jc w:val="center"/>
        </w:trPr>
        <w:tc>
          <w:tcPr>
            <w:tcW w:w="554" w:type="pct"/>
            <w:vMerge w:val="restart"/>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Área 4</w:t>
            </w:r>
          </w:p>
        </w:tc>
        <w:tc>
          <w:tcPr>
            <w:tcW w:w="52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Tarde</w:t>
            </w:r>
          </w:p>
        </w:tc>
        <w:tc>
          <w:tcPr>
            <w:tcW w:w="57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15h00-19h00</w:t>
            </w:r>
          </w:p>
        </w:tc>
        <w:tc>
          <w:tcPr>
            <w:tcW w:w="73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02/10/2014</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Igaratá e Nazaré Paulista</w:t>
            </w: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P1</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372868</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7439730</w:t>
            </w:r>
          </w:p>
        </w:tc>
        <w:tc>
          <w:tcPr>
            <w:tcW w:w="487"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10h</w:t>
            </w:r>
          </w:p>
        </w:tc>
      </w:tr>
      <w:tr w:rsidR="00F5487F" w:rsidRPr="00AE2A0D" w:rsidTr="00FC668B">
        <w:trPr>
          <w:trHeight w:val="131"/>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P2</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372685</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7439702</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77"/>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Manhã</w:t>
            </w:r>
          </w:p>
        </w:tc>
        <w:tc>
          <w:tcPr>
            <w:tcW w:w="57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05h00-08h00</w:t>
            </w:r>
          </w:p>
        </w:tc>
        <w:tc>
          <w:tcPr>
            <w:tcW w:w="73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03/10/2014</w:t>
            </w: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P3</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372393</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7439708</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65"/>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P4</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372425</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7439987</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11"/>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P5</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372448</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7440367</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71"/>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Manhã</w:t>
            </w:r>
          </w:p>
        </w:tc>
        <w:tc>
          <w:tcPr>
            <w:tcW w:w="57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08h00-11h00</w:t>
            </w:r>
          </w:p>
        </w:tc>
        <w:tc>
          <w:tcPr>
            <w:tcW w:w="73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04/10/2014</w:t>
            </w: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P6</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372159</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7439545</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73"/>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P7</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372173</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7439838</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05"/>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P8</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371862</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7439620</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65"/>
          <w:jc w:val="center"/>
        </w:trPr>
        <w:tc>
          <w:tcPr>
            <w:tcW w:w="554" w:type="pct"/>
            <w:vMerge w:val="restart"/>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Área 5</w:t>
            </w:r>
          </w:p>
        </w:tc>
        <w:tc>
          <w:tcPr>
            <w:tcW w:w="52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Tarde</w:t>
            </w:r>
          </w:p>
        </w:tc>
        <w:tc>
          <w:tcPr>
            <w:tcW w:w="57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15h00-19h00</w:t>
            </w:r>
          </w:p>
        </w:tc>
        <w:tc>
          <w:tcPr>
            <w:tcW w:w="73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03/10/2014</w:t>
            </w:r>
          </w:p>
        </w:tc>
        <w:tc>
          <w:tcPr>
            <w:tcW w:w="591" w:type="pct"/>
            <w:vMerge w:val="restart"/>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Nazaré Paulista</w:t>
            </w: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P1</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369900</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7443428</w:t>
            </w:r>
          </w:p>
        </w:tc>
        <w:tc>
          <w:tcPr>
            <w:tcW w:w="487"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10h</w:t>
            </w:r>
          </w:p>
        </w:tc>
      </w:tr>
      <w:tr w:rsidR="00F5487F" w:rsidRPr="00AE2A0D" w:rsidTr="00FC668B">
        <w:trPr>
          <w:trHeight w:val="153"/>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P2</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369812</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7443247</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13"/>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Manhã</w:t>
            </w:r>
          </w:p>
        </w:tc>
        <w:tc>
          <w:tcPr>
            <w:tcW w:w="57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05h00-08h00</w:t>
            </w:r>
          </w:p>
        </w:tc>
        <w:tc>
          <w:tcPr>
            <w:tcW w:w="73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30/09/2014</w:t>
            </w: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P3</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369242</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7443657</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201"/>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P4</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369095</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7443513</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19"/>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P5</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369052</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7443248</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66"/>
          <w:jc w:val="center"/>
        </w:trPr>
        <w:tc>
          <w:tcPr>
            <w:tcW w:w="554"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Manhã</w:t>
            </w:r>
          </w:p>
        </w:tc>
        <w:tc>
          <w:tcPr>
            <w:tcW w:w="57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08h00-11h00</w:t>
            </w:r>
          </w:p>
        </w:tc>
        <w:tc>
          <w:tcPr>
            <w:tcW w:w="73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04/10/2014</w:t>
            </w:r>
          </w:p>
        </w:tc>
        <w:tc>
          <w:tcPr>
            <w:tcW w:w="591"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P6</w:t>
            </w:r>
          </w:p>
        </w:tc>
        <w:tc>
          <w:tcPr>
            <w:tcW w:w="532"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369235</w:t>
            </w:r>
          </w:p>
        </w:tc>
        <w:tc>
          <w:tcPr>
            <w:tcW w:w="616"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7443138</w:t>
            </w:r>
          </w:p>
        </w:tc>
        <w:tc>
          <w:tcPr>
            <w:tcW w:w="487" w:type="pct"/>
            <w:vMerge/>
            <w:tcBorders>
              <w:top w:val="nil"/>
              <w:left w:val="single" w:sz="8" w:space="0" w:color="auto"/>
              <w:bottom w:val="single" w:sz="8" w:space="0" w:color="000000"/>
              <w:right w:val="single" w:sz="8" w:space="0" w:color="auto"/>
            </w:tcBorders>
            <w:shd w:val="clear" w:color="auto" w:fill="auto"/>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67"/>
          <w:jc w:val="center"/>
        </w:trPr>
        <w:tc>
          <w:tcPr>
            <w:tcW w:w="554" w:type="pct"/>
            <w:vMerge/>
            <w:tcBorders>
              <w:top w:val="nil"/>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000000" w:fill="F2F2F2"/>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P7</w:t>
            </w:r>
          </w:p>
        </w:tc>
        <w:tc>
          <w:tcPr>
            <w:tcW w:w="532" w:type="pct"/>
            <w:tcBorders>
              <w:top w:val="nil"/>
              <w:left w:val="nil"/>
              <w:bottom w:val="single" w:sz="8" w:space="0" w:color="auto"/>
              <w:right w:val="single" w:sz="8" w:space="0" w:color="auto"/>
            </w:tcBorders>
            <w:shd w:val="clear" w:color="000000" w:fill="F2F2F2"/>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369375</w:t>
            </w:r>
          </w:p>
        </w:tc>
        <w:tc>
          <w:tcPr>
            <w:tcW w:w="616" w:type="pct"/>
            <w:tcBorders>
              <w:top w:val="nil"/>
              <w:left w:val="nil"/>
              <w:bottom w:val="single" w:sz="8" w:space="0" w:color="auto"/>
              <w:right w:val="single" w:sz="8" w:space="0" w:color="auto"/>
            </w:tcBorders>
            <w:shd w:val="clear" w:color="000000" w:fill="F2F2F2"/>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7443189</w:t>
            </w:r>
          </w:p>
        </w:tc>
        <w:tc>
          <w:tcPr>
            <w:tcW w:w="487" w:type="pct"/>
            <w:vMerge/>
            <w:tcBorders>
              <w:top w:val="nil"/>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113"/>
          <w:jc w:val="center"/>
        </w:trPr>
        <w:tc>
          <w:tcPr>
            <w:tcW w:w="554" w:type="pct"/>
            <w:vMerge/>
            <w:tcBorders>
              <w:top w:val="nil"/>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color w:val="000000"/>
                <w:sz w:val="18"/>
                <w:szCs w:val="18"/>
                <w:lang w:eastAsia="pt-BR"/>
              </w:rPr>
            </w:pPr>
          </w:p>
        </w:tc>
        <w:tc>
          <w:tcPr>
            <w:tcW w:w="528" w:type="pct"/>
            <w:vMerge/>
            <w:tcBorders>
              <w:top w:val="nil"/>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color w:val="000000"/>
                <w:sz w:val="18"/>
                <w:szCs w:val="18"/>
                <w:lang w:eastAsia="pt-BR"/>
              </w:rPr>
            </w:pPr>
          </w:p>
        </w:tc>
        <w:tc>
          <w:tcPr>
            <w:tcW w:w="571" w:type="pct"/>
            <w:vMerge/>
            <w:tcBorders>
              <w:top w:val="nil"/>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color w:val="000000"/>
                <w:sz w:val="18"/>
                <w:szCs w:val="18"/>
                <w:lang w:eastAsia="pt-BR"/>
              </w:rPr>
            </w:pPr>
          </w:p>
        </w:tc>
        <w:tc>
          <w:tcPr>
            <w:tcW w:w="733" w:type="pct"/>
            <w:vMerge/>
            <w:tcBorders>
              <w:top w:val="nil"/>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color w:val="000000"/>
                <w:sz w:val="18"/>
                <w:szCs w:val="18"/>
                <w:lang w:eastAsia="pt-BR"/>
              </w:rPr>
            </w:pPr>
          </w:p>
        </w:tc>
        <w:tc>
          <w:tcPr>
            <w:tcW w:w="591" w:type="pct"/>
            <w:vMerge/>
            <w:tcBorders>
              <w:top w:val="nil"/>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color w:val="000000"/>
                <w:sz w:val="18"/>
                <w:szCs w:val="18"/>
                <w:lang w:eastAsia="pt-BR"/>
              </w:rPr>
            </w:pPr>
          </w:p>
        </w:tc>
        <w:tc>
          <w:tcPr>
            <w:tcW w:w="387" w:type="pct"/>
            <w:tcBorders>
              <w:top w:val="nil"/>
              <w:left w:val="nil"/>
              <w:bottom w:val="single" w:sz="8" w:space="0" w:color="auto"/>
              <w:right w:val="single" w:sz="8" w:space="0" w:color="auto"/>
            </w:tcBorders>
            <w:shd w:val="clear" w:color="000000" w:fill="F2F2F2"/>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P8</w:t>
            </w:r>
          </w:p>
        </w:tc>
        <w:tc>
          <w:tcPr>
            <w:tcW w:w="532" w:type="pct"/>
            <w:tcBorders>
              <w:top w:val="nil"/>
              <w:left w:val="nil"/>
              <w:bottom w:val="single" w:sz="8" w:space="0" w:color="auto"/>
              <w:right w:val="single" w:sz="8" w:space="0" w:color="auto"/>
            </w:tcBorders>
            <w:shd w:val="clear" w:color="000000" w:fill="F2F2F2"/>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369558</w:t>
            </w:r>
          </w:p>
        </w:tc>
        <w:tc>
          <w:tcPr>
            <w:tcW w:w="616" w:type="pct"/>
            <w:tcBorders>
              <w:top w:val="nil"/>
              <w:left w:val="nil"/>
              <w:bottom w:val="single" w:sz="8" w:space="0" w:color="auto"/>
              <w:right w:val="single" w:sz="8" w:space="0" w:color="auto"/>
            </w:tcBorders>
            <w:shd w:val="clear" w:color="000000" w:fill="F2F2F2"/>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7442925</w:t>
            </w:r>
          </w:p>
        </w:tc>
        <w:tc>
          <w:tcPr>
            <w:tcW w:w="487" w:type="pct"/>
            <w:vMerge/>
            <w:tcBorders>
              <w:top w:val="nil"/>
              <w:left w:val="single" w:sz="8" w:space="0" w:color="auto"/>
              <w:bottom w:val="single" w:sz="8" w:space="0" w:color="000000"/>
              <w:right w:val="single" w:sz="8" w:space="0" w:color="auto"/>
            </w:tcBorders>
            <w:vAlign w:val="center"/>
            <w:hideMark/>
          </w:tcPr>
          <w:p w:rsidR="00F5487F" w:rsidRPr="00AE2A0D" w:rsidRDefault="00F5487F" w:rsidP="00FC668B">
            <w:pPr>
              <w:spacing w:after="0"/>
              <w:rPr>
                <w:rFonts w:eastAsia="Times New Roman" w:cs="Arial"/>
                <w:color w:val="000000"/>
                <w:sz w:val="18"/>
                <w:szCs w:val="18"/>
                <w:lang w:eastAsia="pt-BR"/>
              </w:rPr>
            </w:pPr>
          </w:p>
        </w:tc>
      </w:tr>
      <w:tr w:rsidR="00F5487F" w:rsidRPr="00AE2A0D" w:rsidTr="00FC668B">
        <w:trPr>
          <w:trHeight w:val="315"/>
          <w:jc w:val="center"/>
        </w:trPr>
        <w:tc>
          <w:tcPr>
            <w:tcW w:w="4513"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rsidR="00F5487F" w:rsidRPr="00AE2A0D" w:rsidRDefault="00F5487F" w:rsidP="00FC668B">
            <w:pPr>
              <w:spacing w:after="0"/>
              <w:rPr>
                <w:rFonts w:eastAsia="Times New Roman" w:cs="Arial"/>
                <w:b/>
                <w:bCs/>
                <w:color w:val="000000"/>
                <w:sz w:val="18"/>
                <w:szCs w:val="18"/>
                <w:lang w:eastAsia="pt-BR"/>
              </w:rPr>
            </w:pPr>
            <w:r w:rsidRPr="00AE2A0D">
              <w:rPr>
                <w:rFonts w:eastAsia="Times New Roman" w:cs="Arial"/>
                <w:b/>
                <w:bCs/>
                <w:color w:val="000000"/>
                <w:sz w:val="18"/>
                <w:szCs w:val="18"/>
                <w:lang w:eastAsia="pt-BR"/>
              </w:rPr>
              <w:t>Esforço Total</w:t>
            </w:r>
          </w:p>
        </w:tc>
        <w:tc>
          <w:tcPr>
            <w:tcW w:w="487" w:type="pct"/>
            <w:tcBorders>
              <w:top w:val="nil"/>
              <w:left w:val="nil"/>
              <w:bottom w:val="single" w:sz="8" w:space="0" w:color="auto"/>
              <w:right w:val="single" w:sz="8" w:space="0" w:color="auto"/>
            </w:tcBorders>
            <w:shd w:val="clear" w:color="auto" w:fill="auto"/>
            <w:noWrap/>
            <w:vAlign w:val="center"/>
            <w:hideMark/>
          </w:tcPr>
          <w:p w:rsidR="00F5487F" w:rsidRPr="00AE2A0D" w:rsidRDefault="00F5487F" w:rsidP="00FC668B">
            <w:pPr>
              <w:spacing w:after="0"/>
              <w:jc w:val="center"/>
              <w:rPr>
                <w:rFonts w:eastAsia="Times New Roman" w:cs="Arial"/>
                <w:b/>
                <w:bCs/>
                <w:color w:val="000000"/>
                <w:sz w:val="18"/>
                <w:szCs w:val="18"/>
                <w:lang w:eastAsia="pt-BR"/>
              </w:rPr>
            </w:pPr>
            <w:r w:rsidRPr="00AE2A0D">
              <w:rPr>
                <w:rFonts w:eastAsia="Times New Roman" w:cs="Arial"/>
                <w:b/>
                <w:bCs/>
                <w:color w:val="000000"/>
                <w:sz w:val="18"/>
                <w:szCs w:val="18"/>
                <w:lang w:eastAsia="pt-BR"/>
              </w:rPr>
              <w:t>50h</w:t>
            </w:r>
          </w:p>
        </w:tc>
      </w:tr>
    </w:tbl>
    <w:p w:rsidR="00F5487F" w:rsidRPr="00AE2A0D" w:rsidRDefault="00F5487F" w:rsidP="00F5487F">
      <w:pPr>
        <w:spacing w:before="120" w:line="360" w:lineRule="auto"/>
        <w:rPr>
          <w:rFonts w:cs="Arial"/>
        </w:rPr>
      </w:pPr>
    </w:p>
    <w:tbl>
      <w:tblPr>
        <w:tblW w:w="5000" w:type="pct"/>
        <w:tblLook w:val="04A0" w:firstRow="1" w:lastRow="0" w:firstColumn="1" w:lastColumn="0" w:noHBand="0" w:noVBand="1"/>
      </w:tblPr>
      <w:tblGrid>
        <w:gridCol w:w="4677"/>
        <w:gridCol w:w="4677"/>
      </w:tblGrid>
      <w:tr w:rsidR="00F5487F" w:rsidRPr="00AE2A0D" w:rsidTr="00FC668B">
        <w:trPr>
          <w:trHeight w:val="2977"/>
        </w:trPr>
        <w:tc>
          <w:tcPr>
            <w:tcW w:w="2663" w:type="pct"/>
            <w:vAlign w:val="center"/>
          </w:tcPr>
          <w:p w:rsidR="00F5487F" w:rsidRPr="00AE2A0D" w:rsidRDefault="00F5487F" w:rsidP="00FC668B">
            <w:pPr>
              <w:spacing w:after="0"/>
              <w:jc w:val="center"/>
              <w:rPr>
                <w:rFonts w:cs="Arial"/>
                <w:sz w:val="20"/>
                <w:szCs w:val="20"/>
              </w:rPr>
            </w:pPr>
            <w:r w:rsidRPr="00AE2A0D">
              <w:rPr>
                <w:rFonts w:cs="Arial"/>
                <w:noProof/>
                <w:sz w:val="20"/>
                <w:szCs w:val="20"/>
                <w:lang w:eastAsia="pt-BR"/>
              </w:rPr>
              <w:lastRenderedPageBreak/>
              <w:drawing>
                <wp:inline distT="0" distB="0" distL="0" distR="0" wp14:anchorId="2BA68647" wp14:editId="2E7A29AF">
                  <wp:extent cx="2880000" cy="1923147"/>
                  <wp:effectExtent l="0" t="0" r="0" b="1270"/>
                  <wp:docPr id="149" name="Imagem 149" descr="E:\Minhas imagens 2\Para separar novo\Integração Atibainha - Jaguari - SP_Out14\Nikon\Área 1 _DSCN1452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Minhas imagens 2\Para separar novo\Integração Atibainha - Jaguari - SP_Out14\Nikon\Área 1 _DSCN1452 cópia.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0000" cy="1923147"/>
                          </a:xfrm>
                          <a:prstGeom prst="rect">
                            <a:avLst/>
                          </a:prstGeom>
                          <a:noFill/>
                          <a:ln>
                            <a:noFill/>
                          </a:ln>
                        </pic:spPr>
                      </pic:pic>
                    </a:graphicData>
                  </a:graphic>
                </wp:inline>
              </w:drawing>
            </w:r>
          </w:p>
        </w:tc>
        <w:tc>
          <w:tcPr>
            <w:tcW w:w="2337" w:type="pct"/>
            <w:vAlign w:val="center"/>
          </w:tcPr>
          <w:p w:rsidR="00F5487F" w:rsidRPr="00AE2A0D" w:rsidRDefault="00F5487F" w:rsidP="00FC668B">
            <w:pPr>
              <w:spacing w:after="0"/>
              <w:jc w:val="center"/>
              <w:rPr>
                <w:rFonts w:cs="Arial"/>
                <w:sz w:val="20"/>
                <w:szCs w:val="20"/>
              </w:rPr>
            </w:pPr>
            <w:r w:rsidRPr="00AE2A0D">
              <w:rPr>
                <w:rFonts w:cs="Arial"/>
                <w:noProof/>
                <w:sz w:val="20"/>
                <w:szCs w:val="20"/>
                <w:lang w:eastAsia="pt-BR"/>
              </w:rPr>
              <w:drawing>
                <wp:inline distT="0" distB="0" distL="0" distR="0" wp14:anchorId="1F9DFAE3" wp14:editId="0AAEA7EA">
                  <wp:extent cx="2878877" cy="1922400"/>
                  <wp:effectExtent l="0" t="0" r="0" b="1905"/>
                  <wp:docPr id="150" name="Imagem 150" descr="E:\Minhas imagens 2\Para separar novo\Integração Atibainha - Jaguari - SP_Out14\Nikon\Área 2_DSCN1457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Minhas imagens 2\Para separar novo\Integração Atibainha - Jaguari - SP_Out14\Nikon\Área 2_DSCN1457 cópia.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78877" cy="1922400"/>
                          </a:xfrm>
                          <a:prstGeom prst="rect">
                            <a:avLst/>
                          </a:prstGeom>
                          <a:noFill/>
                          <a:ln>
                            <a:noFill/>
                          </a:ln>
                        </pic:spPr>
                      </pic:pic>
                    </a:graphicData>
                  </a:graphic>
                </wp:inline>
              </w:drawing>
            </w:r>
          </w:p>
        </w:tc>
      </w:tr>
      <w:tr w:rsidR="00F5487F" w:rsidRPr="00AE2A0D" w:rsidTr="00FC668B">
        <w:tc>
          <w:tcPr>
            <w:tcW w:w="2663" w:type="pct"/>
            <w:vAlign w:val="center"/>
          </w:tcPr>
          <w:p w:rsidR="00F5487F" w:rsidRPr="00AE2A0D" w:rsidRDefault="00F5487F" w:rsidP="00FC668B">
            <w:pPr>
              <w:spacing w:after="0"/>
              <w:rPr>
                <w:rFonts w:cs="Arial"/>
                <w:sz w:val="18"/>
                <w:szCs w:val="18"/>
              </w:rPr>
            </w:pPr>
            <w:r w:rsidRPr="00AE2A0D">
              <w:rPr>
                <w:rFonts w:cs="Arial"/>
                <w:sz w:val="18"/>
                <w:szCs w:val="18"/>
              </w:rPr>
              <w:t>Área amostral 1 no município de Santa Isabel, às margens da represa de Jaguari, sob intensa neblina da manhã.</w:t>
            </w:r>
          </w:p>
        </w:tc>
        <w:tc>
          <w:tcPr>
            <w:tcW w:w="2337" w:type="pct"/>
            <w:vAlign w:val="center"/>
          </w:tcPr>
          <w:p w:rsidR="00F5487F" w:rsidRPr="00AE2A0D" w:rsidRDefault="00F5487F" w:rsidP="00FC668B">
            <w:pPr>
              <w:spacing w:after="0"/>
              <w:rPr>
                <w:rFonts w:cs="Arial"/>
                <w:sz w:val="18"/>
                <w:szCs w:val="18"/>
              </w:rPr>
            </w:pPr>
            <w:r w:rsidRPr="00AE2A0D">
              <w:rPr>
                <w:rFonts w:cs="Arial"/>
                <w:sz w:val="18"/>
                <w:szCs w:val="18"/>
              </w:rPr>
              <w:t>Vista parcial da área amostral 2, destacando a baixa estatura do dossel.</w:t>
            </w:r>
          </w:p>
        </w:tc>
      </w:tr>
      <w:tr w:rsidR="00F5487F" w:rsidRPr="00AE2A0D" w:rsidTr="00FC668B">
        <w:tc>
          <w:tcPr>
            <w:tcW w:w="2663" w:type="pct"/>
            <w:vAlign w:val="center"/>
          </w:tcPr>
          <w:p w:rsidR="00F5487F" w:rsidRPr="00AE2A0D" w:rsidRDefault="00F5487F" w:rsidP="00FC668B">
            <w:pPr>
              <w:spacing w:after="0"/>
              <w:jc w:val="center"/>
              <w:rPr>
                <w:rFonts w:cs="Arial"/>
                <w:sz w:val="20"/>
                <w:szCs w:val="20"/>
              </w:rPr>
            </w:pPr>
            <w:r w:rsidRPr="00AE2A0D">
              <w:rPr>
                <w:rFonts w:cs="Arial"/>
                <w:noProof/>
                <w:sz w:val="20"/>
                <w:szCs w:val="20"/>
                <w:lang w:eastAsia="pt-BR"/>
              </w:rPr>
              <w:drawing>
                <wp:inline distT="0" distB="0" distL="0" distR="0" wp14:anchorId="696C807D" wp14:editId="028A3C5E">
                  <wp:extent cx="2880000" cy="1923147"/>
                  <wp:effectExtent l="0" t="0" r="0" b="1270"/>
                  <wp:docPr id="151" name="Imagem 151" descr="E:\Minhas imagens 2\Para separar novo\Integração Atibainha - Jaguari - SP_Out14\Nikon\Área 2_DSCN1463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Minhas imagens 2\Para separar novo\Integração Atibainha - Jaguari - SP_Out14\Nikon\Área 2_DSCN1463 cópia.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80000" cy="1923147"/>
                          </a:xfrm>
                          <a:prstGeom prst="rect">
                            <a:avLst/>
                          </a:prstGeom>
                          <a:noFill/>
                          <a:ln>
                            <a:noFill/>
                          </a:ln>
                        </pic:spPr>
                      </pic:pic>
                    </a:graphicData>
                  </a:graphic>
                </wp:inline>
              </w:drawing>
            </w:r>
          </w:p>
        </w:tc>
        <w:tc>
          <w:tcPr>
            <w:tcW w:w="2337" w:type="pct"/>
            <w:vAlign w:val="center"/>
          </w:tcPr>
          <w:p w:rsidR="00F5487F" w:rsidRPr="00AE2A0D" w:rsidRDefault="00F5487F" w:rsidP="00FC668B">
            <w:pPr>
              <w:spacing w:after="0"/>
              <w:jc w:val="center"/>
              <w:rPr>
                <w:rFonts w:cs="Arial"/>
                <w:sz w:val="20"/>
                <w:szCs w:val="20"/>
              </w:rPr>
            </w:pPr>
            <w:r w:rsidRPr="00AE2A0D">
              <w:rPr>
                <w:rFonts w:cs="Arial"/>
                <w:noProof/>
                <w:sz w:val="20"/>
                <w:szCs w:val="20"/>
                <w:lang w:eastAsia="pt-BR"/>
              </w:rPr>
              <w:drawing>
                <wp:inline distT="0" distB="0" distL="0" distR="0" wp14:anchorId="0C3A866B" wp14:editId="3C43670E">
                  <wp:extent cx="2880000" cy="1923147"/>
                  <wp:effectExtent l="0" t="0" r="0" b="1270"/>
                  <wp:docPr id="152" name="Imagem 152" descr="E:\Minhas imagens 2\Para separar novo\Integração Atibainha - Jaguari - SP_Out14\Nikon\Área 3_DSCN1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Minhas imagens 2\Para separar novo\Integração Atibainha - Jaguari - SP_Out14\Nikon\Área 3_DSCN1468.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80000" cy="1923147"/>
                          </a:xfrm>
                          <a:prstGeom prst="rect">
                            <a:avLst/>
                          </a:prstGeom>
                          <a:noFill/>
                          <a:ln>
                            <a:noFill/>
                          </a:ln>
                        </pic:spPr>
                      </pic:pic>
                    </a:graphicData>
                  </a:graphic>
                </wp:inline>
              </w:drawing>
            </w:r>
          </w:p>
        </w:tc>
      </w:tr>
      <w:tr w:rsidR="00F5487F" w:rsidRPr="00AE2A0D" w:rsidTr="00FC668B">
        <w:tc>
          <w:tcPr>
            <w:tcW w:w="2663" w:type="pct"/>
            <w:vAlign w:val="center"/>
          </w:tcPr>
          <w:p w:rsidR="00F5487F" w:rsidRPr="00AE2A0D" w:rsidRDefault="00F5487F" w:rsidP="00FC668B">
            <w:pPr>
              <w:spacing w:after="0"/>
              <w:rPr>
                <w:rFonts w:cs="Arial"/>
                <w:sz w:val="18"/>
                <w:szCs w:val="18"/>
              </w:rPr>
            </w:pPr>
            <w:r w:rsidRPr="00AE2A0D">
              <w:rPr>
                <w:rFonts w:cs="Arial"/>
                <w:sz w:val="18"/>
                <w:szCs w:val="18"/>
              </w:rPr>
              <w:t>Pequeno tanque de piscicultura nas imediações da área amostral 2.</w:t>
            </w:r>
          </w:p>
        </w:tc>
        <w:tc>
          <w:tcPr>
            <w:tcW w:w="2337" w:type="pct"/>
            <w:vAlign w:val="center"/>
          </w:tcPr>
          <w:p w:rsidR="00F5487F" w:rsidRPr="00AE2A0D" w:rsidRDefault="00F5487F" w:rsidP="00FC668B">
            <w:pPr>
              <w:spacing w:after="0"/>
              <w:rPr>
                <w:rFonts w:cs="Arial"/>
                <w:sz w:val="18"/>
                <w:szCs w:val="18"/>
              </w:rPr>
            </w:pPr>
            <w:r w:rsidRPr="00AE2A0D">
              <w:rPr>
                <w:rFonts w:cs="Arial"/>
                <w:sz w:val="18"/>
                <w:szCs w:val="18"/>
              </w:rPr>
              <w:t>Brejo tomado por taboa (</w:t>
            </w:r>
            <w:r w:rsidRPr="00AE2A0D">
              <w:rPr>
                <w:rFonts w:cs="Arial"/>
                <w:i/>
                <w:sz w:val="18"/>
                <w:szCs w:val="18"/>
              </w:rPr>
              <w:t>Tipha</w:t>
            </w:r>
            <w:r w:rsidRPr="00AE2A0D">
              <w:rPr>
                <w:rFonts w:cs="Arial"/>
                <w:sz w:val="18"/>
                <w:szCs w:val="18"/>
              </w:rPr>
              <w:t xml:space="preserve"> sp.) na área amostral 3.</w:t>
            </w:r>
          </w:p>
        </w:tc>
      </w:tr>
      <w:tr w:rsidR="00F5487F" w:rsidRPr="00AE2A0D" w:rsidTr="00FC668B">
        <w:tc>
          <w:tcPr>
            <w:tcW w:w="2663" w:type="pct"/>
            <w:vAlign w:val="center"/>
          </w:tcPr>
          <w:p w:rsidR="00F5487F" w:rsidRPr="00AE2A0D" w:rsidRDefault="00F5487F" w:rsidP="00FC668B">
            <w:pPr>
              <w:spacing w:after="0"/>
              <w:jc w:val="center"/>
              <w:rPr>
                <w:rFonts w:cs="Arial"/>
                <w:sz w:val="20"/>
                <w:szCs w:val="20"/>
              </w:rPr>
            </w:pPr>
            <w:r w:rsidRPr="00AE2A0D">
              <w:rPr>
                <w:rFonts w:cs="Arial"/>
                <w:noProof/>
                <w:sz w:val="20"/>
                <w:szCs w:val="20"/>
                <w:lang w:eastAsia="pt-BR"/>
              </w:rPr>
              <w:drawing>
                <wp:inline distT="0" distB="0" distL="0" distR="0" wp14:anchorId="00D546B1" wp14:editId="1105AADA">
                  <wp:extent cx="2880000" cy="1923147"/>
                  <wp:effectExtent l="0" t="0" r="0" b="1270"/>
                  <wp:docPr id="153" name="Imagem 153" descr="E:\Minhas imagens 2\Para separar novo\Integração Atibainha - Jaguari - SP_Out14\Nikon\Área 4_DSCN1470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Minhas imagens 2\Para separar novo\Integração Atibainha - Jaguari - SP_Out14\Nikon\Área 4_DSCN1470 cópia.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80000" cy="1923147"/>
                          </a:xfrm>
                          <a:prstGeom prst="rect">
                            <a:avLst/>
                          </a:prstGeom>
                          <a:noFill/>
                          <a:ln>
                            <a:noFill/>
                          </a:ln>
                        </pic:spPr>
                      </pic:pic>
                    </a:graphicData>
                  </a:graphic>
                </wp:inline>
              </w:drawing>
            </w:r>
          </w:p>
        </w:tc>
        <w:tc>
          <w:tcPr>
            <w:tcW w:w="2337" w:type="pct"/>
            <w:vAlign w:val="center"/>
          </w:tcPr>
          <w:p w:rsidR="00F5487F" w:rsidRPr="00AE2A0D" w:rsidRDefault="00F5487F" w:rsidP="00FC668B">
            <w:pPr>
              <w:spacing w:after="0"/>
              <w:jc w:val="center"/>
              <w:rPr>
                <w:rFonts w:cs="Arial"/>
                <w:sz w:val="20"/>
                <w:szCs w:val="20"/>
              </w:rPr>
            </w:pPr>
            <w:r w:rsidRPr="00AE2A0D">
              <w:rPr>
                <w:rFonts w:cs="Arial"/>
                <w:noProof/>
                <w:sz w:val="20"/>
                <w:szCs w:val="20"/>
                <w:lang w:eastAsia="pt-BR"/>
              </w:rPr>
              <w:drawing>
                <wp:inline distT="0" distB="0" distL="0" distR="0" wp14:anchorId="217829AA" wp14:editId="19E33424">
                  <wp:extent cx="2880000" cy="1923147"/>
                  <wp:effectExtent l="0" t="0" r="0" b="1270"/>
                  <wp:docPr id="154" name="Imagem 154" descr="E:\Minhas imagens 2\Para separar novo\Integração Atibainha - Jaguari - SP_Out14\Nikon\Área 5_DSCN1475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Minhas imagens 2\Para separar novo\Integração Atibainha - Jaguari - SP_Out14\Nikon\Área 5_DSCN1475 cópia.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80000" cy="1923147"/>
                          </a:xfrm>
                          <a:prstGeom prst="rect">
                            <a:avLst/>
                          </a:prstGeom>
                          <a:noFill/>
                          <a:ln>
                            <a:noFill/>
                          </a:ln>
                        </pic:spPr>
                      </pic:pic>
                    </a:graphicData>
                  </a:graphic>
                </wp:inline>
              </w:drawing>
            </w:r>
          </w:p>
        </w:tc>
      </w:tr>
      <w:tr w:rsidR="00F5487F" w:rsidRPr="00AE2A0D" w:rsidTr="00FC668B">
        <w:tc>
          <w:tcPr>
            <w:tcW w:w="2663" w:type="pct"/>
            <w:vAlign w:val="center"/>
          </w:tcPr>
          <w:p w:rsidR="00F5487F" w:rsidRPr="00AE2A0D" w:rsidRDefault="00F5487F" w:rsidP="00FC668B">
            <w:pPr>
              <w:spacing w:after="0"/>
              <w:rPr>
                <w:rFonts w:cs="Arial"/>
                <w:sz w:val="18"/>
                <w:szCs w:val="18"/>
              </w:rPr>
            </w:pPr>
            <w:r w:rsidRPr="00AE2A0D">
              <w:rPr>
                <w:rFonts w:cs="Arial"/>
                <w:sz w:val="18"/>
                <w:szCs w:val="18"/>
              </w:rPr>
              <w:t>Área amostral 4, com destaque para a elevada altura do dossel, bem como a forte presença de palmito juçara.</w:t>
            </w:r>
          </w:p>
        </w:tc>
        <w:tc>
          <w:tcPr>
            <w:tcW w:w="2337" w:type="pct"/>
            <w:vAlign w:val="center"/>
          </w:tcPr>
          <w:p w:rsidR="00F5487F" w:rsidRPr="00AE2A0D" w:rsidRDefault="00F5487F" w:rsidP="00FC668B">
            <w:pPr>
              <w:spacing w:after="0"/>
              <w:rPr>
                <w:rFonts w:cs="Arial"/>
                <w:sz w:val="18"/>
                <w:szCs w:val="18"/>
              </w:rPr>
            </w:pPr>
            <w:r w:rsidRPr="00AE2A0D">
              <w:rPr>
                <w:rFonts w:cs="Arial"/>
                <w:sz w:val="18"/>
                <w:szCs w:val="18"/>
              </w:rPr>
              <w:t>Área amostral 5 com destaque para a silvicultura de eucalipto no segundo plano e a escassez hídrica do reservatório de Atibainha.</w:t>
            </w:r>
          </w:p>
        </w:tc>
      </w:tr>
    </w:tbl>
    <w:p w:rsidR="00F5487F" w:rsidRPr="00F5487F" w:rsidRDefault="00F5487F" w:rsidP="00F5487F">
      <w:pPr>
        <w:pStyle w:val="Ttulo6"/>
      </w:pPr>
      <w:bookmarkStart w:id="87" w:name="_Toc402254386"/>
      <w:r>
        <w:t>B.3.</w:t>
      </w:r>
      <w:r>
        <w:tab/>
      </w:r>
      <w:r w:rsidRPr="00F5487F">
        <w:t>Análise de Dados</w:t>
      </w:r>
      <w:bookmarkEnd w:id="87"/>
    </w:p>
    <w:p w:rsidR="00F5487F" w:rsidRPr="00AE2A0D" w:rsidRDefault="00F5487F" w:rsidP="00F5487F">
      <w:pPr>
        <w:rPr>
          <w:b/>
        </w:rPr>
      </w:pPr>
      <w:r w:rsidRPr="00AE2A0D">
        <w:t xml:space="preserve">Os nomes científicos, vernaculares (nomes populares) e a classificação taxonômica seguiram o Comitê Brasileiro de Registros Ornitológicos (CBRO, 2011). Espécies endêmicas da Mata Atlântica foram consideradas conforme Brooks </w:t>
      </w:r>
      <w:r w:rsidRPr="00AE2A0D">
        <w:rPr>
          <w:i/>
        </w:rPr>
        <w:t>et al</w:t>
      </w:r>
      <w:r w:rsidRPr="00AE2A0D">
        <w:t xml:space="preserve">. (1999), a sensitividade das espécies foi avaliada de acordo com Stotz </w:t>
      </w:r>
      <w:r w:rsidRPr="00AE2A0D">
        <w:rPr>
          <w:i/>
        </w:rPr>
        <w:t>et al</w:t>
      </w:r>
      <w:r w:rsidRPr="00AE2A0D">
        <w:t>. (1996), a dependência de habitat adaptado de Silva (2003) e Sick (1997), enquanto o caráter migratório seguindo as recomendações do CBRO (2011). Informações a respeito de espécies cinegéticas e de interesse econômico (canoras e decorativas) foram baseadas em Sick (1997) e Simon (2009) enquanto dados a respeito de espécies exóticas e invasoras em Sick (1997).</w:t>
      </w:r>
    </w:p>
    <w:p w:rsidR="00F5487F" w:rsidRPr="00AE2A0D" w:rsidRDefault="00F5487F" w:rsidP="00F5487F">
      <w:r w:rsidRPr="00AE2A0D">
        <w:t xml:space="preserve">Averiguou-se a categoria de ameaça de extinção de cada espécie listada com base em informações do “Livro Vermelho da Fauna Brasileira Ameaçada de Extinção” (Machado </w:t>
      </w:r>
      <w:r w:rsidRPr="00AE2A0D">
        <w:rPr>
          <w:i/>
        </w:rPr>
        <w:t>et al.</w:t>
      </w:r>
      <w:r w:rsidRPr="00AE2A0D">
        <w:rPr>
          <w:iCs/>
        </w:rPr>
        <w:t>,</w:t>
      </w:r>
      <w:r w:rsidRPr="00AE2A0D">
        <w:rPr>
          <w:i/>
        </w:rPr>
        <w:t xml:space="preserve"> </w:t>
      </w:r>
      <w:r w:rsidRPr="00AE2A0D">
        <w:rPr>
          <w:iCs/>
        </w:rPr>
        <w:lastRenderedPageBreak/>
        <w:t>2008</w:t>
      </w:r>
      <w:r w:rsidRPr="00AE2A0D">
        <w:t xml:space="preserve">), por meio da Lista Vermelha das Espécies Ameaçadas da </w:t>
      </w:r>
      <w:r w:rsidRPr="00AE2A0D">
        <w:rPr>
          <w:i/>
        </w:rPr>
        <w:t>International Union for Conservation of Nature</w:t>
      </w:r>
      <w:r w:rsidRPr="00AE2A0D">
        <w:t xml:space="preserve"> (IUCN, 2014) e da “Lista de espécies ameaçadas de extinção do Estado de São Paulo” (SMA, 2014), dos Apêndices I, II e III da </w:t>
      </w:r>
      <w:r w:rsidRPr="00AE2A0D">
        <w:rPr>
          <w:i/>
        </w:rPr>
        <w:t>Convention on International Trade in Endangered Species of Wild Fauna and Flora</w:t>
      </w:r>
      <w:r w:rsidRPr="00AE2A0D">
        <w:t xml:space="preserve"> (CITES, 2011), além da Instrução Normativa MMA n</w:t>
      </w:r>
      <w:r w:rsidRPr="00AE2A0D">
        <w:rPr>
          <w:u w:val="single"/>
          <w:vertAlign w:val="superscript"/>
        </w:rPr>
        <w:t>o</w:t>
      </w:r>
      <w:r w:rsidRPr="00AE2A0D">
        <w:t xml:space="preserve"> 1, </w:t>
      </w:r>
      <w:r w:rsidRPr="00AE2A0D">
        <w:rPr>
          <w:bCs/>
          <w:lang w:eastAsia="pt-BR"/>
        </w:rPr>
        <w:t xml:space="preserve">de </w:t>
      </w:r>
      <w:r>
        <w:rPr>
          <w:bCs/>
          <w:lang w:eastAsia="pt-BR"/>
        </w:rPr>
        <w:t>0</w:t>
      </w:r>
      <w:r w:rsidRPr="00AE2A0D">
        <w:rPr>
          <w:bCs/>
          <w:lang w:eastAsia="pt-BR"/>
        </w:rPr>
        <w:t>9</w:t>
      </w:r>
      <w:r>
        <w:rPr>
          <w:bCs/>
          <w:lang w:eastAsia="pt-BR"/>
        </w:rPr>
        <w:t>/12/</w:t>
      </w:r>
      <w:r w:rsidRPr="00AE2A0D">
        <w:rPr>
          <w:bCs/>
          <w:lang w:eastAsia="pt-BR"/>
        </w:rPr>
        <w:t>2010</w:t>
      </w:r>
      <w:r w:rsidRPr="00AE2A0D">
        <w:t xml:space="preserve"> (Brasil, 2010), que dispõe sobre a implantação da Convenção sobre o Comércio Internacional de Espécies da Flora e Fauna Selvagens em Perigo de Extinção (CITES).</w:t>
      </w:r>
    </w:p>
    <w:p w:rsidR="00F5487F" w:rsidRPr="00AE2A0D" w:rsidRDefault="00F5487F" w:rsidP="00F5487F">
      <w:r w:rsidRPr="00AE2A0D">
        <w:t xml:space="preserve">Definida como o número de espécies amostradas pelos levantamentos, a riqueza e a suficiência amostral foram analisadas por meio da curva do coletor (rarefação baseada na amostra), utilizando-se o estimador </w:t>
      </w:r>
      <w:r w:rsidRPr="00AE2A0D">
        <w:rPr>
          <w:i/>
        </w:rPr>
        <w:t>Jackknife</w:t>
      </w:r>
      <w:r w:rsidRPr="00AE2A0D">
        <w:t xml:space="preserve"> de primeira ordem como parâmetro da riqueza esperada. Os cálculos da curva foram randomizados 1000 vezes e computados pelo </w:t>
      </w:r>
      <w:r w:rsidRPr="00AE2A0D">
        <w:rPr>
          <w:i/>
        </w:rPr>
        <w:t>software Estimates</w:t>
      </w:r>
      <w:r w:rsidRPr="00AE2A0D">
        <w:t xml:space="preserve"> 8.2 (Colwell, 2006).</w:t>
      </w:r>
    </w:p>
    <w:p w:rsidR="00F5487F" w:rsidRPr="00AE2A0D" w:rsidRDefault="00F5487F" w:rsidP="00F5487F">
      <w:r w:rsidRPr="00AE2A0D">
        <w:t xml:space="preserve">O Índice Pontual de Abundância foi calculado a partir do número total de indivíduos de uma determinada espécie (a), dividido pelo número total de pontos amostrais. </w:t>
      </w:r>
    </w:p>
    <w:p w:rsidR="00F5487F" w:rsidRPr="00AE2A0D" w:rsidRDefault="00F5487F" w:rsidP="00F5487F">
      <w:r w:rsidRPr="00AE2A0D">
        <w:t>A riqueza e a composição de espécies foram os principais parâmetros utilizados nas comparações entre as áreas amostrais. A diversidade biológica ou biodiversidade pode ser definida como uma medida da riqueza de aves de uma comunidade que leva em consideração a abundância relativa de cada espécie (</w:t>
      </w:r>
      <w:r w:rsidRPr="00AE2A0D">
        <w:rPr>
          <w:caps/>
        </w:rPr>
        <w:t>Magurran</w:t>
      </w:r>
      <w:r w:rsidRPr="00AE2A0D">
        <w:t xml:space="preserve">, 1988; </w:t>
      </w:r>
      <w:r w:rsidRPr="00AE2A0D">
        <w:rPr>
          <w:caps/>
        </w:rPr>
        <w:t>Martins</w:t>
      </w:r>
      <w:r w:rsidRPr="00AE2A0D">
        <w:t xml:space="preserve"> e </w:t>
      </w:r>
      <w:r w:rsidRPr="00AE2A0D">
        <w:rPr>
          <w:caps/>
        </w:rPr>
        <w:t>Santos</w:t>
      </w:r>
      <w:r w:rsidRPr="00AE2A0D">
        <w:t>, 1999). Existem diversos índices de diversidade, mas sua interpretação requer atenção, pois geralmente não leva em consideração a composição de espécies da comunidade (</w:t>
      </w:r>
      <w:r w:rsidRPr="00AE2A0D">
        <w:rPr>
          <w:caps/>
        </w:rPr>
        <w:t>Magurran</w:t>
      </w:r>
      <w:r w:rsidRPr="00AE2A0D">
        <w:t xml:space="preserve">, 1988). Para comparações de diversidade entre as áreas de amostragem foram utilizados os índices de diversidade de </w:t>
      </w:r>
      <w:r w:rsidRPr="00AE2A0D">
        <w:rPr>
          <w:i/>
        </w:rPr>
        <w:t>Shannon</w:t>
      </w:r>
      <w:r w:rsidRPr="00AE2A0D">
        <w:t xml:space="preserve"> (H’) e o índice de similaridade de </w:t>
      </w:r>
      <w:r w:rsidRPr="00AE2A0D">
        <w:rPr>
          <w:i/>
        </w:rPr>
        <w:t>Sorensen</w:t>
      </w:r>
      <w:r w:rsidRPr="00AE2A0D">
        <w:t xml:space="preserve"> (Bray-Curtis).</w:t>
      </w:r>
    </w:p>
    <w:p w:rsidR="00F5487F" w:rsidRPr="00AE2A0D" w:rsidRDefault="00F5487F" w:rsidP="00F5487F">
      <w:r w:rsidRPr="00AE2A0D">
        <w:t xml:space="preserve">O índice de diversidade de </w:t>
      </w:r>
      <w:r w:rsidRPr="00AE2A0D">
        <w:rPr>
          <w:i/>
        </w:rPr>
        <w:t>Shannon</w:t>
      </w:r>
      <w:r w:rsidRPr="00AE2A0D">
        <w:t xml:space="preserve"> (H’) foi calculado pela fórmula H=-Σ (pi x (ln pi)), onde pi é a abundância relativa de cada espécie na comunidade. Este índice assume que os indivíduos são amostrados aleatoriamente em uma grande população e que todas as espécies foram representadas na amostra (</w:t>
      </w:r>
      <w:r w:rsidRPr="00AE2A0D">
        <w:rPr>
          <w:caps/>
        </w:rPr>
        <w:t>Magurran</w:t>
      </w:r>
      <w:r w:rsidRPr="00AE2A0D">
        <w:t>, 1988). No seu cálculo, as espécies raras recebem um peso menor do que as comuns, sendo muito influenciado pelo número de espécies com valores intermediários de abundância relativa (</w:t>
      </w:r>
      <w:r w:rsidRPr="00AE2A0D">
        <w:rPr>
          <w:caps/>
        </w:rPr>
        <w:t>Martins</w:t>
      </w:r>
      <w:r w:rsidRPr="00AE2A0D">
        <w:t xml:space="preserve"> e </w:t>
      </w:r>
      <w:r w:rsidRPr="00AE2A0D">
        <w:rPr>
          <w:caps/>
        </w:rPr>
        <w:t>Santos</w:t>
      </w:r>
      <w:r w:rsidRPr="00AE2A0D">
        <w:t>, 1999). Quanto maior o seu valor, maior a diversidade de espécies da comunidade amostrada.</w:t>
      </w:r>
    </w:p>
    <w:p w:rsidR="00F5487F" w:rsidRPr="00AE2A0D" w:rsidRDefault="00F5487F" w:rsidP="000C50CE">
      <w:pPr>
        <w:pStyle w:val="Ttulo5"/>
        <w:numPr>
          <w:ilvl w:val="0"/>
          <w:numId w:val="6"/>
        </w:numPr>
      </w:pPr>
      <w:bookmarkStart w:id="88" w:name="_Toc402254387"/>
      <w:r w:rsidRPr="00AE2A0D">
        <w:t>Avifauna de provável ocorrência na AII</w:t>
      </w:r>
      <w:bookmarkEnd w:id="88"/>
    </w:p>
    <w:p w:rsidR="00F5487F" w:rsidRPr="00AE2A0D" w:rsidRDefault="00F5487F" w:rsidP="00F5487F">
      <w:r w:rsidRPr="00AE2A0D">
        <w:t xml:space="preserve">A compilação das informações oriundas dos dados secundários resultou em uma listagem de </w:t>
      </w:r>
      <w:r w:rsidRPr="005A3F39">
        <w:t>269 espécies de aves que possivelmente ocorrem na área de estudo (</w:t>
      </w:r>
      <w:r w:rsidRPr="005A3F39">
        <w:rPr>
          <w:b/>
        </w:rPr>
        <w:t xml:space="preserve">Anexo </w:t>
      </w:r>
      <w:r w:rsidR="00CC29CE" w:rsidRPr="005A3F39">
        <w:rPr>
          <w:b/>
        </w:rPr>
        <w:t>2.1</w:t>
      </w:r>
      <w:r w:rsidRPr="005A3F39">
        <w:t>). Tais aves</w:t>
      </w:r>
      <w:r w:rsidRPr="00AE2A0D">
        <w:t xml:space="preserve"> distribuem-se em 23 ordens e 61 famílias, sendo 31 não passeriformes e 30 passeriformes. As famílias mais representativas neste levantamento foram os tiranídeos (n=34), seguida por furnarídeos (n=17), traupídeos (n=16), tamnofilídeos (n=15) e troquilídeos (n=11). Excluindo-se os tiranídeos que invariavelmente são a família mais numerosa em todo levantamento ornitológico conduzido no neotrópico, ganha destaque a grande representatividade de famílias estritamente associadas a ambientes florestados, como é o caso dos furnarídeos e tamnofilídeos.</w:t>
      </w:r>
    </w:p>
    <w:p w:rsidR="00F5487F" w:rsidRPr="00AE2A0D" w:rsidRDefault="00F5487F" w:rsidP="00F5487F">
      <w:r w:rsidRPr="00AE2A0D">
        <w:t xml:space="preserve">A riqueza levantada por meio dos dados secundários pode ser considerada elevada, principalmente se levado em conta </w:t>
      </w:r>
      <w:r>
        <w:t>a</w:t>
      </w:r>
      <w:r w:rsidRPr="00AE2A0D">
        <w:t xml:space="preserve"> média qualidade ambiental das áreas estudas. Tal fato é reforçado pela comparação das informações aqui compiladas, com a lista de espécies de avifauna em outros fragmentos florestais localizados nas imediações da AII do empreendimento (até 80 km). No levantamento ornitológico conduzido para a caracterização da avifauna do P. E. da Cantareira, área contínua a Serra de Itaberaba, foram registradas 234 espécies de aves (Leonel, 2009), valor próximo ao encontrado na Serra do Japi (n=207), por Silva (1992) e Willis e OnikI (1981), e na Reserva Estadual do Morro Grande (n=201) por Develey e Martensen (2006). Assim, o montante de 269 espécies aqui reunidas, a partir da compilação de três publicações de cunho local pode ser considerado bastante representativo da avifauna esperada para a AII do empreendimento. </w:t>
      </w:r>
    </w:p>
    <w:p w:rsidR="00F5487F" w:rsidRPr="00AE2A0D" w:rsidRDefault="00F5487F" w:rsidP="00F5487F">
      <w:r w:rsidRPr="00AE2A0D">
        <w:t xml:space="preserve">No que diz respeito à relação das espécies levantadas com seu habitat preferencial, a maior parte das aves potenciais (41%; n=109) pode ser considerada dependente de ambientes florestados, enquanto 24% (n=66) independem de florestas para sobreviver, ocupando com </w:t>
      </w:r>
      <w:r w:rsidRPr="00AE2A0D">
        <w:lastRenderedPageBreak/>
        <w:t>frequência áreas antropizadas e campestres. Outros 23% (n=62) são consideradas semi-dependentes de florestas, isto é, ocupam tanto o interior da mata, quanto ambientes de borda e seu entorno imediato. Por fim, 12% (n=32) do total estão estritamente associadas a ambientes úmidos, como matas ciliares, brejos, represas e outros corpos hídricos. Pelo exposto, fica evidente que a AII do empreendimento, de uma maneira geral, ainda apresenta formações florestais representativas, fato reforçado pela ampla presença de espécies dependentes ou semi-dependentes de mata que juntas somaram 64% (n=171) do total.</w:t>
      </w:r>
    </w:p>
    <w:p w:rsidR="00F5487F" w:rsidRPr="00AE2A0D" w:rsidRDefault="00F5487F" w:rsidP="00F5487F">
      <w:r w:rsidRPr="00AE2A0D">
        <w:t>No que tange a sensibilidade das aves a distúrbios de origem antrópica, observa-se uma dominância das espécies de baixa sensibilidade, responsáveis por mais de 51% do total (n=137), seguidas pelas de média sensibilidade, que responderam por aproximadamente 42% (n=117) das espécies, e por fim, as de alta sensibilidade responsáveis por somente 7% do total (n=19). Embora haja uma dominância de espécies de baixa sensibilidade, faz-se notar a grande representatividade de táxons de média e alta sensibilidade, que juntas representam quase metade das espécies que potencialmente ocorrem na AII (49%; n=132). Tais dados reforçam as informações supracitadas relativas à relação das espécies com seu habitat preferencial, que indica que a região na qual se insere o empreendimento ainda apresenta fragmentos florestais capazes de manter uma comunidade ornitológica de maior relevância conservacionista.</w:t>
      </w:r>
    </w:p>
    <w:p w:rsidR="00F5487F" w:rsidRPr="00AE2A0D" w:rsidRDefault="00F5487F" w:rsidP="00F5487F">
      <w:r w:rsidRPr="00AE2A0D">
        <w:t>A avifauna de interesse conservacionista também foi bem representada no levantamento de dados secundários. Ressalta-se aqui, a possibilidade de ocorrência de 64 (24% do total) aves endêmicas de Mata Atlântica, 33 (12%) listadas nos apêndices I ou II do CITES, uma espécie migratória, 24 (9%) cinegéticas, 40 (15%) que possuem algum interesse econômico, sendo recorrentemente alvo de traficantes de animais, seja por suas qualidades canoras, ou para servir de animais de companhia (Xerimbabo), além de 24 (9%) aves consideradas exóticas, invasoras ou introduzidas na região de estudo.</w:t>
      </w:r>
    </w:p>
    <w:p w:rsidR="00F5487F" w:rsidRPr="00AE2A0D" w:rsidRDefault="00F5487F" w:rsidP="00F5487F">
      <w:pPr>
        <w:rPr>
          <w:color w:val="222222"/>
          <w:shd w:val="clear" w:color="auto" w:fill="FFFFFF"/>
        </w:rPr>
      </w:pPr>
      <w:r w:rsidRPr="00AE2A0D">
        <w:t xml:space="preserve">Em relação às aves presentes em alguma das listas de espécies ameaçadas de extinção, seja global, nacional ou regional, cita-se a presença de 21 táxons incluídos em alguma categoria das diferentes listas. Dentre essas, oito são verdadeiramente consideradas ameaçadas de extinção, enquanto 13 figuram em categorias secundárias como “Quase Ameaçadas” ou “Insuficientemente Conhecidas” (DD). </w:t>
      </w:r>
      <w:r w:rsidRPr="00AE2A0D">
        <w:rPr>
          <w:color w:val="222222"/>
          <w:shd w:val="clear" w:color="auto" w:fill="FFFFFF"/>
        </w:rPr>
        <w:t>Dentre as espécies presentes em categorias primárias de ameaça de extinção, destaca-se juriti-vermelha (</w:t>
      </w:r>
      <w:r w:rsidRPr="00AE2A0D">
        <w:rPr>
          <w:i/>
          <w:iCs/>
          <w:color w:val="222222"/>
          <w:shd w:val="clear" w:color="auto" w:fill="FFFFFF"/>
        </w:rPr>
        <w:t>Geotrygon violacea</w:t>
      </w:r>
      <w:r w:rsidRPr="00AE2A0D">
        <w:rPr>
          <w:color w:val="222222"/>
          <w:shd w:val="clear" w:color="auto" w:fill="FFFFFF"/>
        </w:rPr>
        <w:t>), o chibante (</w:t>
      </w:r>
      <w:r w:rsidRPr="00AE2A0D">
        <w:rPr>
          <w:i/>
          <w:iCs/>
          <w:color w:val="222222"/>
          <w:shd w:val="clear" w:color="auto" w:fill="FFFFFF"/>
        </w:rPr>
        <w:t>Laniisoma elegans</w:t>
      </w:r>
      <w:r w:rsidRPr="00AE2A0D">
        <w:rPr>
          <w:color w:val="222222"/>
          <w:shd w:val="clear" w:color="auto" w:fill="FFFFFF"/>
        </w:rPr>
        <w:t>), o pavó (</w:t>
      </w:r>
      <w:r w:rsidRPr="00AE2A0D">
        <w:rPr>
          <w:i/>
          <w:iCs/>
          <w:color w:val="222222"/>
          <w:shd w:val="clear" w:color="auto" w:fill="FFFFFF"/>
        </w:rPr>
        <w:t>Pyroderus scutatus</w:t>
      </w:r>
      <w:r w:rsidRPr="00AE2A0D">
        <w:rPr>
          <w:color w:val="222222"/>
          <w:shd w:val="clear" w:color="auto" w:fill="FFFFFF"/>
        </w:rPr>
        <w:t>), a araponga (</w:t>
      </w:r>
      <w:r w:rsidRPr="00AE2A0D">
        <w:rPr>
          <w:i/>
          <w:iCs/>
          <w:color w:val="222222"/>
          <w:shd w:val="clear" w:color="auto" w:fill="FFFFFF"/>
        </w:rPr>
        <w:t>Procnias nudicollis</w:t>
      </w:r>
      <w:r w:rsidRPr="00AE2A0D">
        <w:rPr>
          <w:color w:val="222222"/>
          <w:shd w:val="clear" w:color="auto" w:fill="FFFFFF"/>
        </w:rPr>
        <w:t>),</w:t>
      </w:r>
      <w:r w:rsidRPr="00AE2A0D">
        <w:rPr>
          <w:rStyle w:val="apple-converted-space"/>
          <w:rFonts w:cs="Arial"/>
          <w:color w:val="222222"/>
          <w:shd w:val="clear" w:color="auto" w:fill="FFFFFF"/>
        </w:rPr>
        <w:t> </w:t>
      </w:r>
      <w:r w:rsidRPr="00AE2A0D">
        <w:rPr>
          <w:color w:val="222222"/>
          <w:shd w:val="clear" w:color="auto" w:fill="FFFFFF"/>
        </w:rPr>
        <w:t>o gavião-pega-macaco (</w:t>
      </w:r>
      <w:r w:rsidRPr="00AE2A0D">
        <w:rPr>
          <w:i/>
          <w:iCs/>
          <w:color w:val="222222"/>
          <w:shd w:val="clear" w:color="auto" w:fill="FFFFFF"/>
        </w:rPr>
        <w:t>Spizaetus tyrannus</w:t>
      </w:r>
      <w:r w:rsidRPr="00AE2A0D">
        <w:rPr>
          <w:color w:val="222222"/>
          <w:shd w:val="clear" w:color="auto" w:fill="FFFFFF"/>
        </w:rPr>
        <w:t>) e o gavião-pombo-pequeno (</w:t>
      </w:r>
      <w:r w:rsidRPr="00AE2A0D">
        <w:rPr>
          <w:i/>
          <w:iCs/>
          <w:color w:val="222222"/>
          <w:shd w:val="clear" w:color="auto" w:fill="FFFFFF"/>
        </w:rPr>
        <w:t>Amadonastur lacernulatus</w:t>
      </w:r>
      <w:r w:rsidRPr="00AE2A0D">
        <w:rPr>
          <w:color w:val="222222"/>
          <w:shd w:val="clear" w:color="auto" w:fill="FFFFFF"/>
        </w:rPr>
        <w:t>).</w:t>
      </w:r>
    </w:p>
    <w:p w:rsidR="00F5487F" w:rsidRPr="00AE2A0D" w:rsidRDefault="00F5487F" w:rsidP="00F5487F">
      <w:r w:rsidRPr="00AE2A0D">
        <w:t xml:space="preserve">Ainda neste contexto, chama atenção à representatividade de táxons pertencentes a grupos funcionais importantes ecologicamente, como é o caso dos frugívoros de médio e grande porte, como a </w:t>
      </w:r>
      <w:r w:rsidRPr="00AE2A0D">
        <w:rPr>
          <w:i/>
        </w:rPr>
        <w:t>G.</w:t>
      </w:r>
      <w:r w:rsidRPr="00AE2A0D">
        <w:t xml:space="preserve"> </w:t>
      </w:r>
      <w:r w:rsidRPr="00AE2A0D">
        <w:rPr>
          <w:i/>
        </w:rPr>
        <w:t>violacea, L.</w:t>
      </w:r>
      <w:r w:rsidRPr="00AE2A0D">
        <w:t xml:space="preserve"> </w:t>
      </w:r>
      <w:r w:rsidRPr="00AE2A0D">
        <w:rPr>
          <w:i/>
        </w:rPr>
        <w:t>elegans</w:t>
      </w:r>
      <w:r w:rsidRPr="00AE2A0D">
        <w:t xml:space="preserve">, </w:t>
      </w:r>
      <w:r w:rsidRPr="00AE2A0D">
        <w:rPr>
          <w:i/>
        </w:rPr>
        <w:t>P.</w:t>
      </w:r>
      <w:r w:rsidRPr="00AE2A0D">
        <w:t xml:space="preserve"> </w:t>
      </w:r>
      <w:r w:rsidRPr="00AE2A0D">
        <w:rPr>
          <w:i/>
        </w:rPr>
        <w:t>scutatus</w:t>
      </w:r>
      <w:r w:rsidRPr="00AE2A0D">
        <w:t xml:space="preserve">, </w:t>
      </w:r>
      <w:r w:rsidRPr="00AE2A0D">
        <w:rPr>
          <w:i/>
        </w:rPr>
        <w:t>P.</w:t>
      </w:r>
      <w:r w:rsidRPr="00AE2A0D">
        <w:t xml:space="preserve"> </w:t>
      </w:r>
      <w:r w:rsidRPr="00AE2A0D">
        <w:rPr>
          <w:i/>
        </w:rPr>
        <w:t>nudicollis</w:t>
      </w:r>
      <w:r w:rsidRPr="00AE2A0D">
        <w:t xml:space="preserve">, além de espécies florestais consideradas predadoras de topo de cadeia, como </w:t>
      </w:r>
      <w:r w:rsidRPr="00AE2A0D">
        <w:rPr>
          <w:i/>
        </w:rPr>
        <w:t>A. lacernulatus</w:t>
      </w:r>
      <w:r w:rsidRPr="00AE2A0D">
        <w:t xml:space="preserve"> e </w:t>
      </w:r>
      <w:r w:rsidRPr="00AE2A0D">
        <w:rPr>
          <w:i/>
        </w:rPr>
        <w:t>S. tyrannus</w:t>
      </w:r>
      <w:r w:rsidRPr="00AE2A0D">
        <w:t>.</w:t>
      </w:r>
    </w:p>
    <w:p w:rsidR="00F5487F" w:rsidRPr="00AE2A0D" w:rsidRDefault="00F5487F" w:rsidP="00F5487F">
      <w:pPr>
        <w:rPr>
          <w:color w:val="000000"/>
        </w:rPr>
      </w:pPr>
      <w:r w:rsidRPr="00AE2A0D">
        <w:t>A análise preliminar das informações levantadas a partir dos dados secundários sugere uma comunidade ornitológica bastante representativa de ambientes florestados, indicando que a AII, embora situada na região metropolitana da maior cidade do Brasil, ainda apresenta qualidade ambiental satisfatória no que tange a sobrevivência dessas espécies. Esta informação é sustentada pelo elevado número de aves consideradas dependentes ou semi-dependentes de florestas, e também de média e alta sensibilidade a distúrbios de origem antrópica. Destaca-se ainda a grande presença de espécies de distribuição restrita (endêmicas) e em delicada situação conservacionista (ameaçadas), justificando a inclusão da região como “</w:t>
      </w:r>
      <w:r w:rsidRPr="00AE2A0D">
        <w:rPr>
          <w:color w:val="000000"/>
        </w:rPr>
        <w:t>Área Prioritária para a Conservação” e “Área Prioritária para Conectividade do Estado de São Paulo”.</w:t>
      </w:r>
    </w:p>
    <w:p w:rsidR="00F5487F" w:rsidRPr="00AE2A0D" w:rsidRDefault="00F5487F" w:rsidP="00F5487F">
      <w:pPr>
        <w:rPr>
          <w:color w:val="000000"/>
        </w:rPr>
      </w:pPr>
      <w:r w:rsidRPr="00AE2A0D">
        <w:rPr>
          <w:color w:val="000000"/>
        </w:rPr>
        <w:t>A presença de muitas espécies ameaçadas e endêmicas é um dos critérios utilizados para a eleição de áreas prioritárias para a conservação de aves no Brasil (IBAs). De fato, a possibilidade de ocorrência de 64 endemismos de Mata Atlântica e 25 táxons em delicada situação conservacionista sustenta a inclusão de áreas próximas a da AII do empreendimento como uma das IBA</w:t>
      </w:r>
      <w:r>
        <w:rPr>
          <w:color w:val="000000"/>
        </w:rPr>
        <w:t>s</w:t>
      </w:r>
      <w:r w:rsidRPr="00AE2A0D">
        <w:rPr>
          <w:color w:val="000000"/>
        </w:rPr>
        <w:t xml:space="preserve"> de São Paulo (IBA SP03). Assim, a presença dessas espécies justifica as preocupações necessárias no que tange a conservação dos fragmentos estudados em um contexto regional.</w:t>
      </w:r>
    </w:p>
    <w:p w:rsidR="00F5487F" w:rsidRPr="001F6C6C" w:rsidRDefault="00F5487F" w:rsidP="000C50CE">
      <w:pPr>
        <w:pStyle w:val="Ttulo5"/>
        <w:numPr>
          <w:ilvl w:val="0"/>
          <w:numId w:val="6"/>
        </w:numPr>
      </w:pPr>
      <w:bookmarkStart w:id="89" w:name="_Toc402254388"/>
      <w:r w:rsidRPr="001F6C6C">
        <w:lastRenderedPageBreak/>
        <w:t>Avifauna da AID</w:t>
      </w:r>
      <w:bookmarkEnd w:id="89"/>
      <w:r w:rsidRPr="001F6C6C">
        <w:t xml:space="preserve"> </w:t>
      </w:r>
    </w:p>
    <w:p w:rsidR="00F5487F" w:rsidRPr="00AE2A0D" w:rsidRDefault="001F6C6C" w:rsidP="001F6C6C">
      <w:pPr>
        <w:pStyle w:val="Ttulo6"/>
      </w:pPr>
      <w:bookmarkStart w:id="90" w:name="_Toc402254389"/>
      <w:r>
        <w:t>D.1.</w:t>
      </w:r>
      <w:r>
        <w:tab/>
      </w:r>
      <w:r w:rsidR="00F5487F" w:rsidRPr="00AE2A0D">
        <w:t>Características Ecológicas da Comunidade Ornitológica</w:t>
      </w:r>
      <w:bookmarkEnd w:id="90"/>
    </w:p>
    <w:p w:rsidR="00F5487F" w:rsidRDefault="00F5487F" w:rsidP="00F5487F">
      <w:r w:rsidRPr="00AE2A0D">
        <w:t xml:space="preserve">Em todo o inventário realizado na AID do empreendimento registrou-se o equivalente a 65% (n=174) da avifauna esperada para a área de estudo (n=269; dados secundários), além de 20 aves que não foram previamente citadas no levantamento de dados secundários, totalizando assim, 194 espécies (dados primários). Este montante distribui-se em 22 ordens e 51 famílias, sendo 26 Não-passeriformes e 25 Passeriformes, sendo as mais numerosas os Tyrannidae (n=28), seguido pelos Thraupidae (n=14), Furnariidae (n=11), Thamnophilidae (n=9), </w:t>
      </w:r>
      <w:r w:rsidRPr="005A3F39">
        <w:t>Emberizidae (n=8) e Columbidae (n=8) (</w:t>
      </w:r>
      <w:r w:rsidRPr="005A3F39">
        <w:rPr>
          <w:b/>
        </w:rPr>
        <w:t xml:space="preserve">Anexo </w:t>
      </w:r>
      <w:r w:rsidR="00CC29CE" w:rsidRPr="005A3F39">
        <w:rPr>
          <w:b/>
        </w:rPr>
        <w:t>2.1</w:t>
      </w:r>
      <w:r w:rsidRPr="005A3F39">
        <w:t xml:space="preserve">). Na </w:t>
      </w:r>
      <w:r w:rsidR="003845D5" w:rsidRPr="005A3F39">
        <w:rPr>
          <w:b/>
        </w:rPr>
        <w:t>Figura 6.4.</w:t>
      </w:r>
      <w:r w:rsidR="004C4CC5" w:rsidRPr="005A3F39">
        <w:rPr>
          <w:b/>
        </w:rPr>
        <w:t>4-1</w:t>
      </w:r>
      <w:r w:rsidR="003845D5" w:rsidRPr="005A3F39">
        <w:t xml:space="preserve"> </w:t>
      </w:r>
      <w:r w:rsidRPr="005A3F39">
        <w:t>está representado</w:t>
      </w:r>
      <w:r w:rsidRPr="00AE2A0D">
        <w:t xml:space="preserve"> graficamente uma imagem comparativa da representatividade de espécies para cada família Passeriforme e Não-passeriforme.</w:t>
      </w:r>
    </w:p>
    <w:p w:rsidR="003845D5" w:rsidRPr="003845D5" w:rsidRDefault="003845D5" w:rsidP="003845D5">
      <w:pPr>
        <w:pStyle w:val="Quadro"/>
        <w:rPr>
          <w:b w:val="0"/>
          <w:bCs/>
        </w:rPr>
      </w:pPr>
      <w:bookmarkStart w:id="91" w:name="_Ref401840737"/>
      <w:r w:rsidRPr="003845D5">
        <w:rPr>
          <w:b w:val="0"/>
          <w:bCs/>
        </w:rPr>
        <w:t xml:space="preserve">Figura </w:t>
      </w:r>
      <w:bookmarkEnd w:id="91"/>
      <w:r w:rsidRPr="003845D5">
        <w:rPr>
          <w:b w:val="0"/>
          <w:bCs/>
        </w:rPr>
        <w:t>6.4.</w:t>
      </w:r>
      <w:r w:rsidR="00926285">
        <w:rPr>
          <w:b w:val="0"/>
          <w:bCs/>
        </w:rPr>
        <w:t>4-</w:t>
      </w:r>
      <w:r w:rsidR="004C4CC5">
        <w:rPr>
          <w:b w:val="0"/>
          <w:bCs/>
        </w:rPr>
        <w:t>1</w:t>
      </w:r>
      <w:r w:rsidR="00926285">
        <w:rPr>
          <w:b w:val="0"/>
          <w:bCs/>
        </w:rPr>
        <w:t>.</w:t>
      </w:r>
      <w:r w:rsidRPr="003845D5">
        <w:rPr>
          <w:b w:val="0"/>
          <w:bCs/>
        </w:rPr>
        <w:t xml:space="preserve"> Número de espécies registradas para cada família Passeriforme e Não-passeriforme </w:t>
      </w:r>
      <w:r w:rsidR="009B231F">
        <w:rPr>
          <w:b w:val="0"/>
          <w:bCs/>
        </w:rPr>
        <w:t xml:space="preserve">por meio de </w:t>
      </w:r>
      <w:r w:rsidRPr="003845D5">
        <w:rPr>
          <w:b w:val="0"/>
          <w:bCs/>
        </w:rPr>
        <w:t>dados primários</w:t>
      </w:r>
      <w:r w:rsidR="009B231F">
        <w:rPr>
          <w:b w:val="0"/>
          <w:bCs/>
        </w:rPr>
        <w:t xml:space="preserve"> e secundários</w:t>
      </w:r>
      <w:r w:rsidRPr="003845D5">
        <w:rPr>
          <w:b w:val="0"/>
          <w:bCs/>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F5487F" w:rsidRPr="00AE2A0D" w:rsidTr="00FC668B">
        <w:tc>
          <w:tcPr>
            <w:tcW w:w="9070" w:type="dxa"/>
            <w:vAlign w:val="center"/>
          </w:tcPr>
          <w:p w:rsidR="00F5487F" w:rsidRPr="00AE2A0D" w:rsidRDefault="00F5487F" w:rsidP="00FC668B">
            <w:pPr>
              <w:tabs>
                <w:tab w:val="left" w:pos="3900"/>
              </w:tabs>
              <w:jc w:val="center"/>
              <w:rPr>
                <w:rFonts w:cs="Arial"/>
                <w:bCs/>
              </w:rPr>
            </w:pPr>
            <w:r w:rsidRPr="00AE2A0D">
              <w:rPr>
                <w:rFonts w:cs="Arial"/>
                <w:bCs/>
                <w:noProof/>
              </w:rPr>
              <w:drawing>
                <wp:inline distT="0" distB="0" distL="0" distR="0" wp14:anchorId="3C540EF3" wp14:editId="7FCE5581">
                  <wp:extent cx="4883150" cy="4749165"/>
                  <wp:effectExtent l="0" t="0" r="0" b="0"/>
                  <wp:docPr id="298" name="Imagem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883150" cy="4749165"/>
                          </a:xfrm>
                          <a:prstGeom prst="rect">
                            <a:avLst/>
                          </a:prstGeom>
                          <a:noFill/>
                        </pic:spPr>
                      </pic:pic>
                    </a:graphicData>
                  </a:graphic>
                </wp:inline>
              </w:drawing>
            </w:r>
          </w:p>
        </w:tc>
      </w:tr>
    </w:tbl>
    <w:p w:rsidR="00F5487F" w:rsidRPr="00AE2A0D" w:rsidRDefault="00F5487F" w:rsidP="00F5487F">
      <w:r w:rsidRPr="00AE2A0D">
        <w:t>As espécies acrescidas são em sua maioria de ampla distribuição no Brasil, e o fato de não terem sido citadas anteriormente pode estar associado a um mero artefato amostral, como por exemplo, a inclusão de fisionomias ausentes nos dados oriundos de fontes bibliográficas.</w:t>
      </w:r>
    </w:p>
    <w:p w:rsidR="00F5487F" w:rsidRPr="00AE2A0D" w:rsidRDefault="00F5487F" w:rsidP="00F5487F">
      <w:r w:rsidRPr="00AE2A0D">
        <w:t>No montante de adendas realizadas, chama atenção o registro de alguns táxons considerados invasores recentes de algumas regiões de Mata Atlântica, como é o caso do periquito-de-encontro-amarelo (</w:t>
      </w:r>
      <w:r w:rsidRPr="00AE2A0D">
        <w:rPr>
          <w:i/>
        </w:rPr>
        <w:t>Brotogeris chiriri</w:t>
      </w:r>
      <w:r w:rsidRPr="00AE2A0D">
        <w:t>), o arapaçu-do-cerrado (</w:t>
      </w:r>
      <w:r w:rsidRPr="00AE2A0D">
        <w:rPr>
          <w:i/>
        </w:rPr>
        <w:t>Lepidocolaptes angustirostris</w:t>
      </w:r>
      <w:r w:rsidRPr="00AE2A0D">
        <w:t>), o casaca-de-couro-da-lama (</w:t>
      </w:r>
      <w:r w:rsidRPr="00AE2A0D">
        <w:rPr>
          <w:i/>
        </w:rPr>
        <w:t>Furnarius figulus</w:t>
      </w:r>
      <w:r w:rsidRPr="00AE2A0D">
        <w:t>) e a saíra-de-chapéu-preto (</w:t>
      </w:r>
      <w:r w:rsidRPr="00AE2A0D">
        <w:rPr>
          <w:i/>
        </w:rPr>
        <w:t>Nemosia pileata</w:t>
      </w:r>
      <w:r w:rsidRPr="00AE2A0D">
        <w:t xml:space="preserve">). Além dessas, destacam-se as aves de rapina que foram acrescidas à lista, representadas neste caso por </w:t>
      </w:r>
      <w:r w:rsidRPr="00AE2A0D">
        <w:rPr>
          <w:i/>
        </w:rPr>
        <w:t>Harpagus diodon</w:t>
      </w:r>
      <w:r w:rsidRPr="00AE2A0D">
        <w:t xml:space="preserve">, </w:t>
      </w:r>
      <w:r w:rsidRPr="00AE2A0D">
        <w:rPr>
          <w:i/>
        </w:rPr>
        <w:t>Pulsatrix koeniswaldiana</w:t>
      </w:r>
      <w:r w:rsidRPr="00AE2A0D">
        <w:t xml:space="preserve"> e </w:t>
      </w:r>
      <w:r w:rsidRPr="00AE2A0D">
        <w:rPr>
          <w:i/>
        </w:rPr>
        <w:t>Heterospizias meridionalis</w:t>
      </w:r>
      <w:r w:rsidRPr="00AE2A0D">
        <w:t xml:space="preserve">. Embora tais espécies possuam ampla distribuição em território nacional, este grupo específico no qual estão </w:t>
      </w:r>
      <w:r w:rsidRPr="00AE2A0D">
        <w:lastRenderedPageBreak/>
        <w:t>a totalidade de espécies dos Falconiformes, Accipitriformes e Strigiformes, são naturalmente incomuns, além de necessitarem de grandes áreas de forrageamento, logo, sua detecção muitas vezes depende do tempo disponível em campo e da extensão da área estudada.</w:t>
      </w:r>
    </w:p>
    <w:p w:rsidR="00F5487F" w:rsidRPr="00AE2A0D" w:rsidRDefault="00F5487F" w:rsidP="00F5487F">
      <w:r w:rsidRPr="00AE2A0D">
        <w:t>Além dos táxons citados anteriormente, foram adicionados à lista o bico-reto-de-banda-branca (</w:t>
      </w:r>
      <w:r w:rsidRPr="00AE2A0D">
        <w:rPr>
          <w:i/>
        </w:rPr>
        <w:t>Heliomaster squamosus</w:t>
      </w:r>
      <w:r w:rsidRPr="00AE2A0D">
        <w:t>), o piolhinho-chiador (</w:t>
      </w:r>
      <w:r w:rsidRPr="00AE2A0D">
        <w:rPr>
          <w:i/>
        </w:rPr>
        <w:t>Tyranniscus burmeisteri</w:t>
      </w:r>
      <w:r w:rsidRPr="00AE2A0D">
        <w:t>), o suiriri-pequeno (</w:t>
      </w:r>
      <w:r w:rsidRPr="00AE2A0D">
        <w:rPr>
          <w:i/>
        </w:rPr>
        <w:t>Satrapa icterophrys</w:t>
      </w:r>
      <w:r w:rsidRPr="00AE2A0D">
        <w:t>), a andorinha-doméstica-grande (</w:t>
      </w:r>
      <w:r w:rsidRPr="00AE2A0D">
        <w:rPr>
          <w:i/>
        </w:rPr>
        <w:t>Progne chalybea</w:t>
      </w:r>
      <w:r w:rsidRPr="00AE2A0D">
        <w:t>), o sabiá-ferreiro (</w:t>
      </w:r>
      <w:r w:rsidRPr="00AE2A0D">
        <w:rPr>
          <w:i/>
        </w:rPr>
        <w:t>Turdus subalaris</w:t>
      </w:r>
      <w:r w:rsidRPr="00AE2A0D">
        <w:t>), o saí-andorinha (</w:t>
      </w:r>
      <w:r w:rsidRPr="00AE2A0D">
        <w:rPr>
          <w:i/>
        </w:rPr>
        <w:t>Tersina viridis</w:t>
      </w:r>
      <w:r w:rsidRPr="00AE2A0D">
        <w:t>), a saíra-ferrugem (</w:t>
      </w:r>
      <w:r w:rsidRPr="00AE2A0D">
        <w:rPr>
          <w:i/>
        </w:rPr>
        <w:t>Hemithraupis ruficapilla</w:t>
      </w:r>
      <w:r w:rsidRPr="00AE2A0D">
        <w:t>), a cigarra-do-coqueiro (</w:t>
      </w:r>
      <w:r w:rsidRPr="00AE2A0D">
        <w:rPr>
          <w:i/>
        </w:rPr>
        <w:t>Tiaris fuliginosus</w:t>
      </w:r>
      <w:r w:rsidRPr="00AE2A0D">
        <w:t>), o japu (</w:t>
      </w:r>
      <w:r w:rsidRPr="00AE2A0D">
        <w:rPr>
          <w:i/>
        </w:rPr>
        <w:t>Psarocolius decumanus</w:t>
      </w:r>
      <w:r w:rsidRPr="00AE2A0D">
        <w:t>), o encontro (</w:t>
      </w:r>
      <w:r w:rsidRPr="00AE2A0D">
        <w:rPr>
          <w:i/>
        </w:rPr>
        <w:t>Icterus pyrrhopterus</w:t>
      </w:r>
      <w:r w:rsidRPr="00AE2A0D">
        <w:t>), o savacu (</w:t>
      </w:r>
      <w:r w:rsidRPr="00AE2A0D">
        <w:rPr>
          <w:i/>
        </w:rPr>
        <w:t>Nycticorax nycticorax</w:t>
      </w:r>
      <w:r w:rsidRPr="00AE2A0D">
        <w:t>), o coró-coró (</w:t>
      </w:r>
      <w:r w:rsidRPr="00AE2A0D">
        <w:rPr>
          <w:i/>
        </w:rPr>
        <w:t>Mesembrinibis cayennensis</w:t>
      </w:r>
      <w:r w:rsidRPr="00AE2A0D">
        <w:t>) e a sanã-parda (</w:t>
      </w:r>
      <w:r w:rsidRPr="00AE2A0D">
        <w:rPr>
          <w:i/>
        </w:rPr>
        <w:t>Laterallus melanophaius</w:t>
      </w:r>
      <w:r w:rsidRPr="00AE2A0D">
        <w:t>).</w:t>
      </w:r>
    </w:p>
    <w:p w:rsidR="00F5487F" w:rsidRPr="00AE2A0D" w:rsidRDefault="00F5487F" w:rsidP="00F5487F">
      <w:r w:rsidRPr="00AE2A0D">
        <w:t>Diante do exposto, as informações aqui apresentadas contribuem para o conhecimento ornitológico desta região do estado de São Paulo, gerando dados relevantes para a gestão da biodiversidade e, consequentemente, para a conservação de recursos naturais e de espécies de interesse conservacionista.</w:t>
      </w:r>
    </w:p>
    <w:p w:rsidR="00F5487F" w:rsidRPr="00AE2A0D" w:rsidRDefault="00F5487F" w:rsidP="00F5487F">
      <w:pPr>
        <w:rPr>
          <w:bCs/>
        </w:rPr>
      </w:pPr>
      <w:r w:rsidRPr="00AE2A0D">
        <w:t>A comparação da riqueza obtida em campo</w:t>
      </w:r>
      <w:r w:rsidRPr="00AE2A0D">
        <w:rPr>
          <w:bCs/>
        </w:rPr>
        <w:t xml:space="preserve"> (dados primários; n=194), com a de potencial ocorrência levantada por meio dos dados secundários (n=269), revela uma diferença considerável no número de espécies (n=75). Tal diferença já era esperada, uma vez que o levantamento de dados secundários foi resultado de uma ampla revisão bibliográfica que reuniu três diferentes levantamentos ornitológicos, abrangendo uma região mais ampla, com esforço de campo maior e envolvendo diferentes métodos (e.g. redes de neblina), fato que certamente colaborou para a maior riqueza observada. </w:t>
      </w:r>
    </w:p>
    <w:p w:rsidR="00F5487F" w:rsidRPr="00AE2A0D" w:rsidRDefault="00F5487F" w:rsidP="00F5487F">
      <w:r w:rsidRPr="00AE2A0D">
        <w:t>Ainda assim, a riqueza específica obtida no levantamento primário pode ser considerada elevada, levando-se em conta o curto período de amostragem, a realização de uma única campanha, curta e pontual e</w:t>
      </w:r>
      <w:r>
        <w:t>,</w:t>
      </w:r>
      <w:r w:rsidRPr="00AE2A0D">
        <w:t xml:space="preserve"> ainda, a média qualidade de conservação dos ambientes amostrados, localizados </w:t>
      </w:r>
      <w:r>
        <w:t>junto à</w:t>
      </w:r>
      <w:r w:rsidRPr="00AE2A0D">
        <w:t xml:space="preserve"> Região Metropolitana de São Paulo, em meio a áreas antropizadas e sob intensa atividade rural. Esta afirmação torna-se ainda mais relevante quando os dados primários são comparados isoladamente com cada uma das três fontes bibliográficas utilizadas para compor o levantamento secundário.</w:t>
      </w:r>
    </w:p>
    <w:p w:rsidR="00F5487F" w:rsidRPr="00AE2A0D" w:rsidRDefault="00F5487F" w:rsidP="00F5487F">
      <w:r w:rsidRPr="00AE2A0D">
        <w:t>Gussoni e Campos (2004), em um esforço de campo consideravelmente maior (20 dias distribuídos em um ano de pesquisa), registraram 235 espécies em uma região localizada nas imediações da AID do presente empreendimento. Longo (2007), por sua vez, observou apenas 138 táxons na RPPN do Rio dos Pilões no município de Santa Isabel-SP, valor próximo ao observado por Fundação Florestal (2010) para o inventário ornitológico dos P.E da Serra de Itaberaba e Itapetinga onde foram registradas 160 aves ao longo de 20 dias de atividades ornitológicas.</w:t>
      </w:r>
    </w:p>
    <w:p w:rsidR="00F5487F" w:rsidRDefault="00F5487F" w:rsidP="00F5487F">
      <w:r w:rsidRPr="00AE2A0D">
        <w:t>Desta forma, fica evidente que o levantamento ornitológico aqui apresentado é bastante representativo da área de estudo, fato corroborado pela análise da curva de acúmulo de espécies apresentada na</w:t>
      </w:r>
      <w:r w:rsidR="003845D5">
        <w:t xml:space="preserve"> </w:t>
      </w:r>
      <w:r w:rsidR="003845D5" w:rsidRPr="003845D5">
        <w:rPr>
          <w:b/>
        </w:rPr>
        <w:t>Figura 6.4.</w:t>
      </w:r>
      <w:r w:rsidR="004C4CC5">
        <w:rPr>
          <w:b/>
        </w:rPr>
        <w:t>4-2</w:t>
      </w:r>
      <w:r w:rsidRPr="00AE2A0D">
        <w:t xml:space="preserve">, bem como pelo valor do estimador de riqueza </w:t>
      </w:r>
      <w:r w:rsidRPr="00AE2A0D">
        <w:rPr>
          <w:i/>
        </w:rPr>
        <w:t>Jackknife</w:t>
      </w:r>
      <w:r w:rsidRPr="00AE2A0D">
        <w:t xml:space="preserve"> de primeira ordem, utilizado</w:t>
      </w:r>
      <w:r w:rsidR="00CC29CE">
        <w:t xml:space="preserve"> como parâmetro neste trabalho.</w:t>
      </w:r>
    </w:p>
    <w:p w:rsidR="000A41C3" w:rsidRPr="000A41C3" w:rsidRDefault="000A41C3" w:rsidP="000A41C3">
      <w:pPr>
        <w:pStyle w:val="Quadro"/>
        <w:rPr>
          <w:b w:val="0"/>
          <w:bCs/>
        </w:rPr>
      </w:pPr>
      <w:bookmarkStart w:id="92" w:name="_Ref401840827"/>
      <w:r w:rsidRPr="003845D5">
        <w:rPr>
          <w:b w:val="0"/>
          <w:bCs/>
        </w:rPr>
        <w:lastRenderedPageBreak/>
        <w:t xml:space="preserve">Figura </w:t>
      </w:r>
      <w:bookmarkEnd w:id="92"/>
      <w:r w:rsidRPr="003845D5">
        <w:rPr>
          <w:b w:val="0"/>
          <w:bCs/>
        </w:rPr>
        <w:t>6.4.4</w:t>
      </w:r>
      <w:r w:rsidR="004C4CC5">
        <w:rPr>
          <w:b w:val="0"/>
          <w:bCs/>
        </w:rPr>
        <w:t>-2.</w:t>
      </w:r>
      <w:r w:rsidRPr="003845D5">
        <w:rPr>
          <w:b w:val="0"/>
          <w:bCs/>
        </w:rPr>
        <w:t xml:space="preserve"> Curva do Coletor (rarefação baseada na amostra) e estimador de riqueza </w:t>
      </w:r>
      <w:r w:rsidR="000F2964">
        <w:rPr>
          <w:b w:val="0"/>
          <w:bCs/>
        </w:rPr>
        <w:t xml:space="preserve">de Avifauna, </w:t>
      </w:r>
      <w:r w:rsidRPr="003845D5">
        <w:rPr>
          <w:b w:val="0"/>
          <w:bCs/>
        </w:rPr>
        <w:t>calculados para a AID do empreendimento</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F5487F" w:rsidRPr="00AE2A0D" w:rsidTr="003845D5">
        <w:tc>
          <w:tcPr>
            <w:tcW w:w="5000" w:type="pct"/>
            <w:vAlign w:val="center"/>
          </w:tcPr>
          <w:p w:rsidR="00F5487F" w:rsidRPr="00AE2A0D" w:rsidRDefault="00F5487F" w:rsidP="00FC668B">
            <w:pPr>
              <w:spacing w:after="0" w:line="360" w:lineRule="auto"/>
              <w:jc w:val="center"/>
              <w:rPr>
                <w:rFonts w:cs="Arial"/>
                <w:color w:val="000000"/>
              </w:rPr>
            </w:pPr>
            <w:r w:rsidRPr="00AE2A0D">
              <w:rPr>
                <w:rFonts w:cs="Arial"/>
                <w:noProof/>
                <w:color w:val="000000"/>
              </w:rPr>
              <w:drawing>
                <wp:inline distT="0" distB="0" distL="0" distR="0" wp14:anchorId="29B33A7D" wp14:editId="5BD7945E">
                  <wp:extent cx="4467225" cy="2746200"/>
                  <wp:effectExtent l="19050" t="0" r="0" b="0"/>
                  <wp:docPr id="299" name="Imagem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470276" cy="2748076"/>
                          </a:xfrm>
                          <a:prstGeom prst="rect">
                            <a:avLst/>
                          </a:prstGeom>
                          <a:noFill/>
                        </pic:spPr>
                      </pic:pic>
                    </a:graphicData>
                  </a:graphic>
                </wp:inline>
              </w:drawing>
            </w:r>
          </w:p>
        </w:tc>
      </w:tr>
    </w:tbl>
    <w:p w:rsidR="00F5487F" w:rsidRPr="00AE2A0D" w:rsidRDefault="00F5487F" w:rsidP="00F5487F">
      <w:r w:rsidRPr="00AE2A0D">
        <w:t xml:space="preserve">A curva do coletor, elaborada contemplando as horas de esforço como unidade amostral apresentou tendência à estabilização a partir da 50ª hora de esforço. De acordo com o estimador </w:t>
      </w:r>
      <w:r w:rsidRPr="00AE2A0D">
        <w:rPr>
          <w:i/>
        </w:rPr>
        <w:t>Jackknife</w:t>
      </w:r>
      <w:r w:rsidRPr="00AE2A0D">
        <w:t xml:space="preserve"> de primeira ordem (</w:t>
      </w:r>
      <w:r w:rsidRPr="00AE2A0D">
        <w:rPr>
          <w:i/>
        </w:rPr>
        <w:t>Jack</w:t>
      </w:r>
      <w:r w:rsidRPr="00AE2A0D">
        <w:t xml:space="preserve"> 1), 83% das espécies esperadas para a AID do empreendimento foram registradas, portanto, pelo menos 34 espécies (para uma estimativa de 228, com desvio padrão de ±6 espécies) ainda podem ser observadas na área de estudo. Cabe destacar que esses dados são provenientes de uma única campanha, rápida e pontual, contemplando, portanto, somente a estação seca na Mata Atlântica. Novas amostragens realizadas em estações do ano diferentes, certamente resultariam na adenda de espécies a lista de dados primários.</w:t>
      </w:r>
    </w:p>
    <w:p w:rsidR="00F5487F" w:rsidRDefault="00F5487F" w:rsidP="00F5487F">
      <w:r w:rsidRPr="00AE2A0D">
        <w:t>Analisando a riqueza observada em cada uma das cinco áreas amostrais separadamente (</w:t>
      </w:r>
      <w:r w:rsidR="000A41C3" w:rsidRPr="000A41C3">
        <w:rPr>
          <w:b/>
        </w:rPr>
        <w:t>Figura 6.4.</w:t>
      </w:r>
      <w:r w:rsidR="004C4CC5">
        <w:rPr>
          <w:b/>
        </w:rPr>
        <w:t>4-3</w:t>
      </w:r>
      <w:r w:rsidRPr="00AE2A0D">
        <w:t>), notar-se-á que a área 4 obteve o maior número de espécies (n=123; 63%; sendo 49 exclusivamente registradas neste ponto), seguida pela área 2 (n=95, 49%; 12 exclusividades), área 5 (n=69; 35%; sete exclusividades), área 1 (n=68, 35%; 10 exclusividades) e finalmente a área 3 (n=65, 33%; seis exclusividades).</w:t>
      </w:r>
    </w:p>
    <w:p w:rsidR="000A41C3" w:rsidRPr="000A41C3" w:rsidRDefault="000A41C3" w:rsidP="000A41C3">
      <w:pPr>
        <w:pStyle w:val="Quadro"/>
        <w:rPr>
          <w:b w:val="0"/>
          <w:bCs/>
        </w:rPr>
      </w:pPr>
      <w:bookmarkStart w:id="93" w:name="_Ref401840853"/>
      <w:r w:rsidRPr="000A41C3">
        <w:rPr>
          <w:b w:val="0"/>
          <w:bCs/>
        </w:rPr>
        <w:t xml:space="preserve">Figura </w:t>
      </w:r>
      <w:bookmarkEnd w:id="93"/>
      <w:r w:rsidRPr="000A41C3">
        <w:rPr>
          <w:b w:val="0"/>
          <w:bCs/>
        </w:rPr>
        <w:t>6.4.</w:t>
      </w:r>
      <w:r w:rsidR="004C4CC5">
        <w:rPr>
          <w:b w:val="0"/>
          <w:bCs/>
        </w:rPr>
        <w:t>4-3.</w:t>
      </w:r>
      <w:r w:rsidRPr="000A41C3">
        <w:rPr>
          <w:b w:val="0"/>
          <w:bCs/>
        </w:rPr>
        <w:t xml:space="preserve"> Número de espécies </w:t>
      </w:r>
      <w:r w:rsidR="000F2964">
        <w:rPr>
          <w:b w:val="0"/>
          <w:bCs/>
        </w:rPr>
        <w:t xml:space="preserve">de Aves </w:t>
      </w:r>
      <w:r w:rsidRPr="000A41C3">
        <w:rPr>
          <w:b w:val="0"/>
          <w:bCs/>
        </w:rPr>
        <w:t>registradas em cada área amostral e número de espécies exclusivas por área</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F5487F" w:rsidRPr="00AE2A0D" w:rsidTr="000A41C3">
        <w:tc>
          <w:tcPr>
            <w:tcW w:w="9070" w:type="dxa"/>
            <w:vAlign w:val="center"/>
          </w:tcPr>
          <w:p w:rsidR="00F5487F" w:rsidRPr="00AE2A0D" w:rsidRDefault="00F5487F" w:rsidP="00FC668B">
            <w:pPr>
              <w:spacing w:after="0" w:line="360" w:lineRule="auto"/>
              <w:jc w:val="center"/>
              <w:rPr>
                <w:rFonts w:cs="Arial"/>
                <w:bCs/>
              </w:rPr>
            </w:pPr>
            <w:r w:rsidRPr="00AE2A0D">
              <w:rPr>
                <w:rFonts w:cs="Arial"/>
                <w:bCs/>
                <w:noProof/>
              </w:rPr>
              <w:drawing>
                <wp:inline distT="0" distB="0" distL="0" distR="0" wp14:anchorId="7863B482" wp14:editId="2410E1AE">
                  <wp:extent cx="4324350" cy="2761353"/>
                  <wp:effectExtent l="19050" t="0" r="0" b="0"/>
                  <wp:docPr id="300" name="Imagem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25517" cy="2762098"/>
                          </a:xfrm>
                          <a:prstGeom prst="rect">
                            <a:avLst/>
                          </a:prstGeom>
                          <a:noFill/>
                        </pic:spPr>
                      </pic:pic>
                    </a:graphicData>
                  </a:graphic>
                </wp:inline>
              </w:drawing>
            </w:r>
          </w:p>
        </w:tc>
      </w:tr>
    </w:tbl>
    <w:p w:rsidR="00F5487F" w:rsidRPr="00AE2A0D" w:rsidRDefault="00F5487F" w:rsidP="00F5487F">
      <w:pPr>
        <w:rPr>
          <w:bCs/>
        </w:rPr>
      </w:pPr>
      <w:r w:rsidRPr="00AE2A0D">
        <w:lastRenderedPageBreak/>
        <w:t>Algumas características fisionômicas das áreas investigadas contribuíram para esta variação observada. Estações amostrais mais ricas, como as áreas 4 (n=123) e área 2 (n=95), apresentaram maior heterogeneidade de ambientes, associando um bloco florestal de maior representatividade a formações úmidas, como brejos, açudes e ainda formações antrópicas, como áreas de pastagem. Tais características proporcionam diferentes nichos ecológicos ocupados por espécies distintas. As áreas de menor riqueza, área 1 (n=68) e área 3 (n=65), por sua vez, eram formadas por um fragmento florestal mais depauperado e isolado em um contexto de paisagem, fato que deve ter contribuído para a menor riqueza encontrada nessas</w:t>
      </w:r>
      <w:r w:rsidRPr="00AE2A0D">
        <w:rPr>
          <w:bCs/>
        </w:rPr>
        <w:t xml:space="preserve"> áreas. A similaridade entre as estações amostrais parece responder basicamente às características de habitat encontradas em cada área visitada, já que a análise foi realizada com base em dados qualitativos (</w:t>
      </w:r>
      <w:r w:rsidR="000A41C3" w:rsidRPr="000A41C3">
        <w:rPr>
          <w:b/>
        </w:rPr>
        <w:t>Figura 6.4.</w:t>
      </w:r>
      <w:r w:rsidR="004C4CC5">
        <w:rPr>
          <w:b/>
        </w:rPr>
        <w:t>4-4</w:t>
      </w:r>
      <w:r w:rsidRPr="00AE2A0D">
        <w:rPr>
          <w:bCs/>
        </w:rPr>
        <w:t>). As áreas 2 e 3 foram as mais similares entre si, compartilhando 58% do total de aves. Além da proximidade física entre essas áreas, chama atenção também o entorno formado por diferentes paisagens, tais como lagos artificiais e silvicultura de eucalipto.</w:t>
      </w:r>
    </w:p>
    <w:p w:rsidR="00F5487F" w:rsidRPr="00AE2A0D" w:rsidRDefault="00F5487F" w:rsidP="00F5487F">
      <w:r w:rsidRPr="00AE2A0D">
        <w:t>Secundariamente a essas áreas, aparece</w:t>
      </w:r>
      <w:r>
        <w:t>m</w:t>
      </w:r>
      <w:r w:rsidRPr="00AE2A0D">
        <w:t xml:space="preserve"> a</w:t>
      </w:r>
      <w:r>
        <w:t>s</w:t>
      </w:r>
      <w:r w:rsidRPr="00AE2A0D">
        <w:t xml:space="preserve"> estaç</w:t>
      </w:r>
      <w:r>
        <w:t>ões amostrais</w:t>
      </w:r>
      <w:r w:rsidRPr="00AE2A0D">
        <w:t xml:space="preserve"> 5 e 1, que compartilham quase 50% da avifauna presente com as regiões supracitadas. Tal qual a área 2 e 3, as áreas 5 e 1 possuem em seu entorno um corpo hídrico representativo, formado respectivamente pela represa de Atibainha e Jaguari, fato que disponibilizou nicho ecológico para uma série de espécies associadas a ambientes úmidos. Separadamente </w:t>
      </w:r>
      <w:r>
        <w:t>à</w:t>
      </w:r>
      <w:r w:rsidRPr="00AE2A0D">
        <w:t>s demais estações amostrais, encontra-se a Área 4. Esta estação amostral possui o maior bloco florestal, e em melhor estado de conservação de todas as áreas visitadas, fato que colaborou para o encontro de diversas espécies que foram exclusivamente observadas ali (n=49), fazendo com que tal área compartilhe poucas espécies no que tange a comunidade ornitológica com os demais locais estudados.</w:t>
      </w:r>
    </w:p>
    <w:p w:rsidR="00F5487F" w:rsidRPr="000A41C3" w:rsidRDefault="000A41C3" w:rsidP="000A41C3">
      <w:pPr>
        <w:pStyle w:val="Quadro"/>
        <w:rPr>
          <w:b w:val="0"/>
          <w:bCs/>
        </w:rPr>
      </w:pPr>
      <w:bookmarkStart w:id="94" w:name="_Ref401840898"/>
      <w:r w:rsidRPr="000A41C3">
        <w:rPr>
          <w:b w:val="0"/>
          <w:bCs/>
        </w:rPr>
        <w:t>Figura</w:t>
      </w:r>
      <w:bookmarkEnd w:id="94"/>
      <w:r w:rsidRPr="000A41C3">
        <w:rPr>
          <w:b w:val="0"/>
          <w:bCs/>
        </w:rPr>
        <w:t xml:space="preserve"> 6.4.</w:t>
      </w:r>
      <w:r w:rsidR="004C4CC5">
        <w:rPr>
          <w:b w:val="0"/>
          <w:bCs/>
        </w:rPr>
        <w:t>4-4.</w:t>
      </w:r>
      <w:r w:rsidRPr="000A41C3">
        <w:rPr>
          <w:b w:val="0"/>
          <w:bCs/>
        </w:rPr>
        <w:t xml:space="preserve"> Similaridade entre as cinco áreas amostrais</w:t>
      </w:r>
      <w:r w:rsidR="000F2964">
        <w:rPr>
          <w:b w:val="0"/>
          <w:bCs/>
        </w:rPr>
        <w:t xml:space="preserve"> de Avifauna</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F5487F" w:rsidRPr="00AE2A0D" w:rsidTr="00FC668B">
        <w:tc>
          <w:tcPr>
            <w:tcW w:w="5000" w:type="pct"/>
            <w:vAlign w:val="center"/>
          </w:tcPr>
          <w:p w:rsidR="00F5487F" w:rsidRPr="00AE2A0D" w:rsidRDefault="00F5487F" w:rsidP="00FC668B">
            <w:pPr>
              <w:spacing w:after="0" w:line="360" w:lineRule="auto"/>
              <w:jc w:val="center"/>
              <w:rPr>
                <w:rFonts w:cs="Arial"/>
                <w:color w:val="000000"/>
              </w:rPr>
            </w:pPr>
            <w:r w:rsidRPr="00AE2A0D">
              <w:rPr>
                <w:rFonts w:cs="Arial"/>
                <w:noProof/>
                <w:color w:val="000000"/>
              </w:rPr>
              <w:drawing>
                <wp:inline distT="0" distB="0" distL="0" distR="0" wp14:anchorId="36AE8CD4" wp14:editId="615D78D4">
                  <wp:extent cx="4389755" cy="2921000"/>
                  <wp:effectExtent l="0" t="0" r="0" b="0"/>
                  <wp:docPr id="301" name="Imagem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b="19299"/>
                          <a:stretch/>
                        </pic:blipFill>
                        <pic:spPr bwMode="auto">
                          <a:xfrm>
                            <a:off x="0" y="0"/>
                            <a:ext cx="4389755" cy="2921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F5487F" w:rsidRPr="00AE2A0D" w:rsidRDefault="00F5487F" w:rsidP="00F5487F">
      <w:pPr>
        <w:spacing w:before="120"/>
      </w:pPr>
      <w:r w:rsidRPr="00AE2A0D">
        <w:t>O m</w:t>
      </w:r>
      <w:r>
        <w:t>elho</w:t>
      </w:r>
      <w:r w:rsidRPr="00AE2A0D">
        <w:t xml:space="preserve">r estado de conservação da área 4, frente às demais localidades de estudo é sustentado também pela análise do índice de diversidade de </w:t>
      </w:r>
      <w:r w:rsidRPr="00AE2A0D">
        <w:rPr>
          <w:i/>
        </w:rPr>
        <w:t>Shannon</w:t>
      </w:r>
      <w:r w:rsidRPr="00AE2A0D">
        <w:t>, que pode ser observado na</w:t>
      </w:r>
      <w:r w:rsidR="000A41C3">
        <w:t xml:space="preserve"> </w:t>
      </w:r>
      <w:r w:rsidR="000A41C3" w:rsidRPr="009409FA">
        <w:rPr>
          <w:b/>
        </w:rPr>
        <w:t>Tabela 6.4.</w:t>
      </w:r>
      <w:r w:rsidR="009409FA" w:rsidRPr="009409FA">
        <w:rPr>
          <w:b/>
        </w:rPr>
        <w:t>4-3</w:t>
      </w:r>
      <w:r w:rsidRPr="00AE2A0D">
        <w:t>. Este índice variou de H’=3,98 na área 1 a H’=4,4 na área 4. Apesar dessa variação, o índice calculado para toda área de estudo pode ser considerado alto (H’=4,88), e dentro da normalidade para áreas de Mata Atlântica, refletindo, portanto, a alta diversidade encontrada neste bioma.</w:t>
      </w:r>
    </w:p>
    <w:p w:rsidR="00F5487F" w:rsidRPr="000A41C3" w:rsidRDefault="00F5487F" w:rsidP="000A41C3">
      <w:pPr>
        <w:pStyle w:val="Quadro"/>
        <w:rPr>
          <w:b w:val="0"/>
          <w:bCs/>
        </w:rPr>
      </w:pPr>
      <w:bookmarkStart w:id="95" w:name="_Ref401840932"/>
      <w:r w:rsidRPr="000A41C3">
        <w:rPr>
          <w:b w:val="0"/>
          <w:bCs/>
        </w:rPr>
        <w:t>Tabela</w:t>
      </w:r>
      <w:bookmarkEnd w:id="95"/>
      <w:r w:rsidR="000A41C3" w:rsidRPr="000A41C3">
        <w:rPr>
          <w:b w:val="0"/>
          <w:bCs/>
        </w:rPr>
        <w:t xml:space="preserve"> 6.4.</w:t>
      </w:r>
      <w:r w:rsidR="009409FA">
        <w:rPr>
          <w:b w:val="0"/>
          <w:bCs/>
        </w:rPr>
        <w:t>4-3</w:t>
      </w:r>
      <w:r w:rsidRPr="000A41C3">
        <w:rPr>
          <w:b w:val="0"/>
          <w:bCs/>
        </w:rPr>
        <w:t>. Índice de diversidade de Shannon cal</w:t>
      </w:r>
      <w:r w:rsidR="007055B7">
        <w:rPr>
          <w:b w:val="0"/>
          <w:bCs/>
        </w:rPr>
        <w:t>culado para cada área de estudo de Avifauna</w:t>
      </w:r>
    </w:p>
    <w:tbl>
      <w:tblPr>
        <w:tblW w:w="5000" w:type="pct"/>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2476"/>
        <w:gridCol w:w="982"/>
        <w:gridCol w:w="1217"/>
        <w:gridCol w:w="1197"/>
        <w:gridCol w:w="1240"/>
        <w:gridCol w:w="1197"/>
        <w:gridCol w:w="1025"/>
      </w:tblGrid>
      <w:tr w:rsidR="00F5487F" w:rsidRPr="00AE2A0D" w:rsidTr="007055B7">
        <w:trPr>
          <w:trHeight w:val="300"/>
          <w:tblHeader/>
          <w:jc w:val="center"/>
        </w:trPr>
        <w:tc>
          <w:tcPr>
            <w:tcW w:w="1327" w:type="pct"/>
            <w:shd w:val="clear" w:color="000000" w:fill="D9D9D9"/>
            <w:noWrap/>
            <w:vAlign w:val="center"/>
            <w:hideMark/>
          </w:tcPr>
          <w:p w:rsidR="00F5487F" w:rsidRPr="00AE2A0D" w:rsidRDefault="00F5487F" w:rsidP="00FC668B">
            <w:pPr>
              <w:spacing w:after="0"/>
              <w:rPr>
                <w:rFonts w:eastAsia="Times New Roman" w:cs="Arial"/>
                <w:b/>
                <w:color w:val="000000"/>
                <w:sz w:val="18"/>
                <w:szCs w:val="18"/>
                <w:lang w:eastAsia="pt-BR"/>
              </w:rPr>
            </w:pPr>
            <w:r w:rsidRPr="00AE2A0D">
              <w:rPr>
                <w:rFonts w:eastAsia="Times New Roman" w:cs="Arial"/>
                <w:b/>
                <w:color w:val="000000"/>
                <w:sz w:val="18"/>
                <w:szCs w:val="18"/>
                <w:lang w:eastAsia="pt-BR"/>
              </w:rPr>
              <w:t>Categoria</w:t>
            </w:r>
          </w:p>
        </w:tc>
        <w:tc>
          <w:tcPr>
            <w:tcW w:w="526" w:type="pct"/>
            <w:shd w:val="clear" w:color="000000" w:fill="D9D9D9"/>
            <w:noWrap/>
            <w:vAlign w:val="center"/>
            <w:hideMark/>
          </w:tcPr>
          <w:p w:rsidR="00F5487F" w:rsidRPr="00AE2A0D" w:rsidRDefault="00F5487F" w:rsidP="00FC668B">
            <w:pPr>
              <w:spacing w:after="0"/>
              <w:jc w:val="center"/>
              <w:rPr>
                <w:rFonts w:eastAsia="Times New Roman" w:cs="Arial"/>
                <w:b/>
                <w:color w:val="000000"/>
                <w:sz w:val="18"/>
                <w:szCs w:val="18"/>
                <w:lang w:eastAsia="pt-BR"/>
              </w:rPr>
            </w:pPr>
            <w:r w:rsidRPr="00AE2A0D">
              <w:rPr>
                <w:rFonts w:eastAsia="Times New Roman" w:cs="Arial"/>
                <w:b/>
                <w:color w:val="000000"/>
                <w:sz w:val="18"/>
                <w:szCs w:val="18"/>
                <w:lang w:eastAsia="pt-BR"/>
              </w:rPr>
              <w:t>Área 1</w:t>
            </w:r>
          </w:p>
        </w:tc>
        <w:tc>
          <w:tcPr>
            <w:tcW w:w="652" w:type="pct"/>
            <w:shd w:val="clear" w:color="000000" w:fill="D9D9D9"/>
            <w:noWrap/>
            <w:vAlign w:val="center"/>
            <w:hideMark/>
          </w:tcPr>
          <w:p w:rsidR="00F5487F" w:rsidRPr="00AE2A0D" w:rsidRDefault="00F5487F" w:rsidP="00FC668B">
            <w:pPr>
              <w:spacing w:after="0"/>
              <w:jc w:val="center"/>
              <w:rPr>
                <w:rFonts w:eastAsia="Times New Roman" w:cs="Arial"/>
                <w:b/>
                <w:color w:val="000000"/>
                <w:sz w:val="18"/>
                <w:szCs w:val="18"/>
                <w:lang w:eastAsia="pt-BR"/>
              </w:rPr>
            </w:pPr>
            <w:r w:rsidRPr="00AE2A0D">
              <w:rPr>
                <w:rFonts w:eastAsia="Times New Roman" w:cs="Arial"/>
                <w:b/>
                <w:color w:val="000000"/>
                <w:sz w:val="18"/>
                <w:szCs w:val="18"/>
                <w:lang w:eastAsia="pt-BR"/>
              </w:rPr>
              <w:t>Área 2</w:t>
            </w:r>
          </w:p>
        </w:tc>
        <w:tc>
          <w:tcPr>
            <w:tcW w:w="641" w:type="pct"/>
            <w:shd w:val="clear" w:color="000000" w:fill="D9D9D9"/>
            <w:noWrap/>
            <w:vAlign w:val="center"/>
            <w:hideMark/>
          </w:tcPr>
          <w:p w:rsidR="00F5487F" w:rsidRPr="00AE2A0D" w:rsidRDefault="00F5487F" w:rsidP="00FC668B">
            <w:pPr>
              <w:spacing w:after="0"/>
              <w:jc w:val="center"/>
              <w:rPr>
                <w:rFonts w:eastAsia="Times New Roman" w:cs="Arial"/>
                <w:b/>
                <w:color w:val="000000"/>
                <w:sz w:val="18"/>
                <w:szCs w:val="18"/>
                <w:lang w:eastAsia="pt-BR"/>
              </w:rPr>
            </w:pPr>
            <w:r w:rsidRPr="00AE2A0D">
              <w:rPr>
                <w:rFonts w:eastAsia="Times New Roman" w:cs="Arial"/>
                <w:b/>
                <w:color w:val="000000"/>
                <w:sz w:val="18"/>
                <w:szCs w:val="18"/>
                <w:lang w:eastAsia="pt-BR"/>
              </w:rPr>
              <w:t>Área 3</w:t>
            </w:r>
          </w:p>
        </w:tc>
        <w:tc>
          <w:tcPr>
            <w:tcW w:w="664" w:type="pct"/>
            <w:shd w:val="clear" w:color="000000" w:fill="D9D9D9"/>
            <w:noWrap/>
            <w:vAlign w:val="center"/>
            <w:hideMark/>
          </w:tcPr>
          <w:p w:rsidR="00F5487F" w:rsidRPr="00AE2A0D" w:rsidRDefault="00F5487F" w:rsidP="00FC668B">
            <w:pPr>
              <w:spacing w:after="0"/>
              <w:jc w:val="center"/>
              <w:rPr>
                <w:rFonts w:eastAsia="Times New Roman" w:cs="Arial"/>
                <w:b/>
                <w:color w:val="000000"/>
                <w:sz w:val="18"/>
                <w:szCs w:val="18"/>
                <w:lang w:eastAsia="pt-BR"/>
              </w:rPr>
            </w:pPr>
            <w:r w:rsidRPr="00AE2A0D">
              <w:rPr>
                <w:rFonts w:eastAsia="Times New Roman" w:cs="Arial"/>
                <w:b/>
                <w:color w:val="000000"/>
                <w:sz w:val="18"/>
                <w:szCs w:val="18"/>
                <w:lang w:eastAsia="pt-BR"/>
              </w:rPr>
              <w:t>Área 4</w:t>
            </w:r>
          </w:p>
        </w:tc>
        <w:tc>
          <w:tcPr>
            <w:tcW w:w="641" w:type="pct"/>
            <w:shd w:val="clear" w:color="000000" w:fill="D9D9D9"/>
            <w:noWrap/>
            <w:vAlign w:val="center"/>
            <w:hideMark/>
          </w:tcPr>
          <w:p w:rsidR="00F5487F" w:rsidRPr="00AE2A0D" w:rsidRDefault="00F5487F" w:rsidP="00FC668B">
            <w:pPr>
              <w:spacing w:after="0"/>
              <w:jc w:val="center"/>
              <w:rPr>
                <w:rFonts w:eastAsia="Times New Roman" w:cs="Arial"/>
                <w:b/>
                <w:color w:val="000000"/>
                <w:sz w:val="18"/>
                <w:szCs w:val="18"/>
                <w:lang w:eastAsia="pt-BR"/>
              </w:rPr>
            </w:pPr>
            <w:r w:rsidRPr="00AE2A0D">
              <w:rPr>
                <w:rFonts w:eastAsia="Times New Roman" w:cs="Arial"/>
                <w:b/>
                <w:color w:val="000000"/>
                <w:sz w:val="18"/>
                <w:szCs w:val="18"/>
                <w:lang w:eastAsia="pt-BR"/>
              </w:rPr>
              <w:t>Área 5</w:t>
            </w:r>
          </w:p>
        </w:tc>
        <w:tc>
          <w:tcPr>
            <w:tcW w:w="549" w:type="pct"/>
            <w:shd w:val="clear" w:color="000000" w:fill="D9D9D9"/>
            <w:noWrap/>
            <w:vAlign w:val="center"/>
            <w:hideMark/>
          </w:tcPr>
          <w:p w:rsidR="00F5487F" w:rsidRPr="00AE2A0D" w:rsidRDefault="00F5487F" w:rsidP="00FC668B">
            <w:pPr>
              <w:spacing w:after="0"/>
              <w:jc w:val="center"/>
              <w:rPr>
                <w:rFonts w:eastAsia="Times New Roman" w:cs="Arial"/>
                <w:b/>
                <w:color w:val="000000"/>
                <w:sz w:val="18"/>
                <w:szCs w:val="18"/>
                <w:lang w:eastAsia="pt-BR"/>
              </w:rPr>
            </w:pPr>
            <w:r w:rsidRPr="00AE2A0D">
              <w:rPr>
                <w:rFonts w:eastAsia="Times New Roman" w:cs="Arial"/>
                <w:b/>
                <w:color w:val="000000"/>
                <w:sz w:val="18"/>
                <w:szCs w:val="18"/>
                <w:lang w:eastAsia="pt-BR"/>
              </w:rPr>
              <w:t>Total</w:t>
            </w:r>
          </w:p>
        </w:tc>
      </w:tr>
      <w:tr w:rsidR="00F5487F" w:rsidRPr="00AE2A0D" w:rsidTr="00FC668B">
        <w:trPr>
          <w:trHeight w:val="300"/>
          <w:jc w:val="center"/>
        </w:trPr>
        <w:tc>
          <w:tcPr>
            <w:tcW w:w="1327" w:type="pct"/>
            <w:shd w:val="clear" w:color="auto" w:fill="auto"/>
            <w:noWrap/>
            <w:vAlign w:val="center"/>
            <w:hideMark/>
          </w:tcPr>
          <w:p w:rsidR="00F5487F" w:rsidRPr="00AE2A0D" w:rsidRDefault="00F5487F" w:rsidP="00FC668B">
            <w:pPr>
              <w:spacing w:after="0"/>
              <w:rPr>
                <w:rFonts w:eastAsia="Times New Roman" w:cs="Arial"/>
                <w:color w:val="000000"/>
                <w:sz w:val="18"/>
                <w:szCs w:val="18"/>
                <w:lang w:eastAsia="pt-BR"/>
              </w:rPr>
            </w:pPr>
            <w:r w:rsidRPr="00AE2A0D">
              <w:rPr>
                <w:rFonts w:eastAsia="Times New Roman" w:cs="Arial"/>
                <w:color w:val="000000"/>
                <w:sz w:val="18"/>
                <w:szCs w:val="18"/>
                <w:lang w:eastAsia="pt-BR"/>
              </w:rPr>
              <w:t>Riqueza</w:t>
            </w:r>
          </w:p>
        </w:tc>
        <w:tc>
          <w:tcPr>
            <w:tcW w:w="526"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68</w:t>
            </w:r>
          </w:p>
        </w:tc>
        <w:tc>
          <w:tcPr>
            <w:tcW w:w="652"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95</w:t>
            </w:r>
          </w:p>
        </w:tc>
        <w:tc>
          <w:tcPr>
            <w:tcW w:w="641"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65</w:t>
            </w:r>
          </w:p>
        </w:tc>
        <w:tc>
          <w:tcPr>
            <w:tcW w:w="664"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123</w:t>
            </w:r>
          </w:p>
        </w:tc>
        <w:tc>
          <w:tcPr>
            <w:tcW w:w="641"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69</w:t>
            </w:r>
          </w:p>
        </w:tc>
        <w:tc>
          <w:tcPr>
            <w:tcW w:w="549"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194</w:t>
            </w:r>
          </w:p>
        </w:tc>
      </w:tr>
      <w:tr w:rsidR="00F5487F" w:rsidRPr="00AE2A0D" w:rsidTr="00FC668B">
        <w:trPr>
          <w:trHeight w:val="300"/>
          <w:jc w:val="center"/>
        </w:trPr>
        <w:tc>
          <w:tcPr>
            <w:tcW w:w="1327" w:type="pct"/>
            <w:shd w:val="clear" w:color="auto" w:fill="auto"/>
            <w:noWrap/>
            <w:vAlign w:val="center"/>
            <w:hideMark/>
          </w:tcPr>
          <w:p w:rsidR="00F5487F" w:rsidRPr="00AE2A0D" w:rsidRDefault="00F5487F" w:rsidP="00FC668B">
            <w:pPr>
              <w:spacing w:after="0"/>
              <w:rPr>
                <w:rFonts w:eastAsia="Times New Roman" w:cs="Arial"/>
                <w:color w:val="000000"/>
                <w:sz w:val="18"/>
                <w:szCs w:val="18"/>
                <w:lang w:eastAsia="pt-BR"/>
              </w:rPr>
            </w:pPr>
            <w:r w:rsidRPr="00AE2A0D">
              <w:rPr>
                <w:rFonts w:eastAsia="Times New Roman" w:cs="Arial"/>
                <w:color w:val="000000"/>
                <w:sz w:val="18"/>
                <w:szCs w:val="18"/>
                <w:lang w:eastAsia="pt-BR"/>
              </w:rPr>
              <w:t>Indivíduos</w:t>
            </w:r>
          </w:p>
        </w:tc>
        <w:tc>
          <w:tcPr>
            <w:tcW w:w="526"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133</w:t>
            </w:r>
          </w:p>
        </w:tc>
        <w:tc>
          <w:tcPr>
            <w:tcW w:w="652"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211</w:t>
            </w:r>
          </w:p>
        </w:tc>
        <w:tc>
          <w:tcPr>
            <w:tcW w:w="641"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134</w:t>
            </w:r>
          </w:p>
        </w:tc>
        <w:tc>
          <w:tcPr>
            <w:tcW w:w="664"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385</w:t>
            </w:r>
          </w:p>
        </w:tc>
        <w:tc>
          <w:tcPr>
            <w:tcW w:w="641"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109</w:t>
            </w:r>
          </w:p>
        </w:tc>
        <w:tc>
          <w:tcPr>
            <w:tcW w:w="549"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972</w:t>
            </w:r>
          </w:p>
        </w:tc>
      </w:tr>
      <w:tr w:rsidR="00F5487F" w:rsidRPr="00AE2A0D" w:rsidTr="00FC668B">
        <w:trPr>
          <w:trHeight w:val="300"/>
          <w:jc w:val="center"/>
        </w:trPr>
        <w:tc>
          <w:tcPr>
            <w:tcW w:w="1327" w:type="pct"/>
            <w:shd w:val="clear" w:color="auto" w:fill="auto"/>
            <w:noWrap/>
            <w:vAlign w:val="center"/>
            <w:hideMark/>
          </w:tcPr>
          <w:p w:rsidR="00F5487F" w:rsidRPr="00AE2A0D" w:rsidRDefault="00F5487F" w:rsidP="00FC668B">
            <w:pPr>
              <w:spacing w:after="0"/>
              <w:rPr>
                <w:rFonts w:eastAsia="Times New Roman" w:cs="Arial"/>
                <w:color w:val="000000"/>
                <w:sz w:val="18"/>
                <w:szCs w:val="18"/>
                <w:lang w:eastAsia="pt-BR"/>
              </w:rPr>
            </w:pPr>
            <w:r w:rsidRPr="00AE2A0D">
              <w:rPr>
                <w:rFonts w:eastAsia="Times New Roman" w:cs="Arial"/>
                <w:color w:val="000000"/>
                <w:sz w:val="18"/>
                <w:szCs w:val="18"/>
                <w:lang w:eastAsia="pt-BR"/>
              </w:rPr>
              <w:lastRenderedPageBreak/>
              <w:t>Índice de Shannon</w:t>
            </w:r>
          </w:p>
        </w:tc>
        <w:tc>
          <w:tcPr>
            <w:tcW w:w="526"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3,988</w:t>
            </w:r>
          </w:p>
        </w:tc>
        <w:tc>
          <w:tcPr>
            <w:tcW w:w="652"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4,275</w:t>
            </w:r>
          </w:p>
        </w:tc>
        <w:tc>
          <w:tcPr>
            <w:tcW w:w="641"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3,978</w:t>
            </w:r>
          </w:p>
        </w:tc>
        <w:tc>
          <w:tcPr>
            <w:tcW w:w="664"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4,407</w:t>
            </w:r>
          </w:p>
        </w:tc>
        <w:tc>
          <w:tcPr>
            <w:tcW w:w="641"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4,107</w:t>
            </w:r>
          </w:p>
        </w:tc>
        <w:tc>
          <w:tcPr>
            <w:tcW w:w="549" w:type="pct"/>
            <w:shd w:val="clear" w:color="auto" w:fill="auto"/>
            <w:noWrap/>
            <w:vAlign w:val="center"/>
            <w:hideMark/>
          </w:tcPr>
          <w:p w:rsidR="00F5487F" w:rsidRPr="00AE2A0D" w:rsidRDefault="00F5487F" w:rsidP="00FC668B">
            <w:pPr>
              <w:spacing w:after="0"/>
              <w:jc w:val="center"/>
              <w:rPr>
                <w:rFonts w:eastAsia="Times New Roman" w:cs="Arial"/>
                <w:color w:val="000000"/>
                <w:sz w:val="18"/>
                <w:szCs w:val="18"/>
                <w:lang w:eastAsia="pt-BR"/>
              </w:rPr>
            </w:pPr>
            <w:r w:rsidRPr="00AE2A0D">
              <w:rPr>
                <w:rFonts w:eastAsia="Times New Roman" w:cs="Arial"/>
                <w:color w:val="000000"/>
                <w:sz w:val="18"/>
                <w:szCs w:val="18"/>
                <w:lang w:eastAsia="pt-BR"/>
              </w:rPr>
              <w:t>4,888</w:t>
            </w:r>
          </w:p>
        </w:tc>
      </w:tr>
    </w:tbl>
    <w:p w:rsidR="00F5487F" w:rsidRPr="00AE2A0D" w:rsidRDefault="00F5487F" w:rsidP="00F5487F">
      <w:pPr>
        <w:spacing w:before="120"/>
        <w:rPr>
          <w:bCs/>
        </w:rPr>
      </w:pPr>
      <w:r w:rsidRPr="00AE2A0D">
        <w:t>A distribuição dos índices pontuais de abundância (IPA), coletados a partir da amostragem realizada nos pontos fixo</w:t>
      </w:r>
      <w:r>
        <w:t>s</w:t>
      </w:r>
      <w:r w:rsidRPr="00AE2A0D">
        <w:t xml:space="preserve">, indica que o ambiente investigado é dominado por poucas espécies, ao passo que a maior parte delas apresenta um número populacional reduzido. Na </w:t>
      </w:r>
      <w:r w:rsidR="000A41C3" w:rsidRPr="000A41C3">
        <w:rPr>
          <w:b/>
        </w:rPr>
        <w:t>Figura 6.4.</w:t>
      </w:r>
      <w:r w:rsidR="004C4CC5">
        <w:rPr>
          <w:b/>
        </w:rPr>
        <w:t>4-5</w:t>
      </w:r>
      <w:r w:rsidR="000A41C3">
        <w:t xml:space="preserve"> </w:t>
      </w:r>
      <w:r w:rsidRPr="00AE2A0D">
        <w:t>estão ilustrados os IPAs calculados para cada táxon registrado em campo. Sua análise revela que apenas 11,3% (n=22) das espécies registradas podem ser consideradas dominantes, respondendo por 36% (n=335) do total de contatos (=registros). O grupo intermediário é formado por 39 táxons (n=20% do total), respondendo por 30% das observações realizadas. Por fim, a maior parte das espécies registradas em campo (68%;</w:t>
      </w:r>
      <w:r w:rsidRPr="00AE2A0D">
        <w:rPr>
          <w:bCs/>
        </w:rPr>
        <w:t xml:space="preserve"> n=133), respondeu por aproximadamente 34% (n=331) das observações realizadas.</w:t>
      </w:r>
    </w:p>
    <w:p w:rsidR="00F5487F" w:rsidRPr="000A41C3" w:rsidRDefault="000A41C3" w:rsidP="000A41C3">
      <w:pPr>
        <w:pStyle w:val="Quadro"/>
        <w:rPr>
          <w:b w:val="0"/>
          <w:bCs/>
        </w:rPr>
      </w:pPr>
      <w:bookmarkStart w:id="96" w:name="_Ref401840952"/>
      <w:r w:rsidRPr="000A41C3">
        <w:rPr>
          <w:b w:val="0"/>
          <w:bCs/>
        </w:rPr>
        <w:t xml:space="preserve">Figura </w:t>
      </w:r>
      <w:bookmarkEnd w:id="96"/>
      <w:r w:rsidRPr="000A41C3">
        <w:rPr>
          <w:b w:val="0"/>
          <w:bCs/>
        </w:rPr>
        <w:t>6.4.</w:t>
      </w:r>
      <w:r w:rsidR="004C4CC5">
        <w:rPr>
          <w:b w:val="0"/>
          <w:bCs/>
        </w:rPr>
        <w:t>4-5.</w:t>
      </w:r>
      <w:r w:rsidRPr="000A41C3">
        <w:rPr>
          <w:b w:val="0"/>
          <w:bCs/>
        </w:rPr>
        <w:t xml:space="preserve"> Distribuição dos Índices Pontuais de Abundância calculados para todas as espécies </w:t>
      </w:r>
      <w:r w:rsidR="000F2964">
        <w:rPr>
          <w:b w:val="0"/>
          <w:bCs/>
        </w:rPr>
        <w:t xml:space="preserve">de Aves </w:t>
      </w:r>
      <w:r w:rsidRPr="000A41C3">
        <w:rPr>
          <w:b w:val="0"/>
          <w:bCs/>
        </w:rPr>
        <w:t>registradas na área de estudo através dos pontos de escuta</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F5487F" w:rsidRPr="00AE2A0D" w:rsidTr="00FC668B">
        <w:tc>
          <w:tcPr>
            <w:tcW w:w="5000" w:type="pct"/>
            <w:vAlign w:val="center"/>
          </w:tcPr>
          <w:p w:rsidR="00F5487F" w:rsidRPr="00AE2A0D" w:rsidRDefault="00F5487F" w:rsidP="00FC668B">
            <w:pPr>
              <w:spacing w:after="0" w:line="360" w:lineRule="auto"/>
              <w:jc w:val="center"/>
              <w:rPr>
                <w:rFonts w:cs="Arial"/>
                <w:bCs/>
              </w:rPr>
            </w:pPr>
            <w:r w:rsidRPr="00AE2A0D">
              <w:rPr>
                <w:rFonts w:cs="Arial"/>
                <w:bCs/>
                <w:noProof/>
              </w:rPr>
              <w:drawing>
                <wp:inline distT="0" distB="0" distL="0" distR="0" wp14:anchorId="59F158B9" wp14:editId="1AE586C7">
                  <wp:extent cx="4352925" cy="2725420"/>
                  <wp:effectExtent l="0" t="0" r="9525" b="0"/>
                  <wp:docPr id="302" name="Imagem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52925" cy="2725420"/>
                          </a:xfrm>
                          <a:prstGeom prst="rect">
                            <a:avLst/>
                          </a:prstGeom>
                          <a:noFill/>
                        </pic:spPr>
                      </pic:pic>
                    </a:graphicData>
                  </a:graphic>
                </wp:inline>
              </w:drawing>
            </w:r>
          </w:p>
        </w:tc>
      </w:tr>
    </w:tbl>
    <w:p w:rsidR="00F5487F" w:rsidRPr="00AE2A0D" w:rsidRDefault="00F5487F" w:rsidP="00F5487F">
      <w:r w:rsidRPr="00AE2A0D">
        <w:t>O grupo de espécies dominantes é formado por aves comuns e com ampla plasticidade ambiental ou por espécies endêmicas, mas de hábitos gregários e de vocalização conspícua. As aves com maior IPA registradas na área de estudo foram a juruviara (</w:t>
      </w:r>
      <w:r w:rsidRPr="00AE2A0D">
        <w:rPr>
          <w:i/>
        </w:rPr>
        <w:t>Vireo olivaceus</w:t>
      </w:r>
      <w:r w:rsidRPr="00AE2A0D">
        <w:t>), o tangará (</w:t>
      </w:r>
      <w:r w:rsidRPr="00AE2A0D">
        <w:rPr>
          <w:i/>
        </w:rPr>
        <w:t>Chiroxiphia caudata</w:t>
      </w:r>
      <w:r w:rsidRPr="00AE2A0D">
        <w:t>), o pula-pula (</w:t>
      </w:r>
      <w:r w:rsidRPr="00AE2A0D">
        <w:rPr>
          <w:i/>
        </w:rPr>
        <w:t>Basileuterus culicivorus</w:t>
      </w:r>
      <w:r w:rsidRPr="00AE2A0D">
        <w:t>), o sanhaçu-cinzento (</w:t>
      </w:r>
      <w:r w:rsidRPr="00FF45CA">
        <w:rPr>
          <w:i/>
        </w:rPr>
        <w:t>Tangara sayaca</w:t>
      </w:r>
      <w:r w:rsidRPr="00AE2A0D">
        <w:t>), o pula-pula-assobiador (</w:t>
      </w:r>
      <w:r w:rsidRPr="00AE2A0D">
        <w:rPr>
          <w:i/>
        </w:rPr>
        <w:t>Basileuterus leucoblepharus</w:t>
      </w:r>
      <w:r w:rsidRPr="00AE2A0D">
        <w:t>), o pombão (</w:t>
      </w:r>
      <w:r w:rsidRPr="00AE2A0D">
        <w:rPr>
          <w:i/>
        </w:rPr>
        <w:t>Patagioenas picazuro</w:t>
      </w:r>
      <w:r w:rsidRPr="00AE2A0D">
        <w:t>), o bem-te-vi (</w:t>
      </w:r>
      <w:r w:rsidRPr="00AE2A0D">
        <w:rPr>
          <w:i/>
        </w:rPr>
        <w:t>Pitangus sulphuratus</w:t>
      </w:r>
      <w:r w:rsidRPr="00AE2A0D">
        <w:t>), o pitiguari (</w:t>
      </w:r>
      <w:r w:rsidRPr="00AE2A0D">
        <w:rPr>
          <w:i/>
        </w:rPr>
        <w:t>Ciclarhis gujanensis</w:t>
      </w:r>
      <w:r w:rsidRPr="00AE2A0D">
        <w:t>), o tico-tico (</w:t>
      </w:r>
      <w:r w:rsidRPr="00AE2A0D">
        <w:rPr>
          <w:i/>
        </w:rPr>
        <w:t>Zonotrichia capensis</w:t>
      </w:r>
      <w:r w:rsidRPr="00AE2A0D">
        <w:t>) e a sabiá-do-barranco (</w:t>
      </w:r>
      <w:r w:rsidRPr="00AE2A0D">
        <w:rPr>
          <w:i/>
        </w:rPr>
        <w:t>Turdus leucomelas</w:t>
      </w:r>
      <w:r w:rsidRPr="00AE2A0D">
        <w:t>). Espécies de abundância intermediária podem ser representadas por táxons tipicamente dependentes de ambientes florestados, porém de baixa sensibilidade a distúrbios de origem antrópica, como é o caso do arapaçu-verde (</w:t>
      </w:r>
      <w:r w:rsidRPr="00AE2A0D">
        <w:rPr>
          <w:i/>
        </w:rPr>
        <w:t>Sittasomus griseicapillus</w:t>
      </w:r>
      <w:r w:rsidRPr="00AE2A0D">
        <w:t>), o tiê-preto (</w:t>
      </w:r>
      <w:r w:rsidRPr="00AE2A0D">
        <w:rPr>
          <w:i/>
        </w:rPr>
        <w:t>Tachyphonus coronatus</w:t>
      </w:r>
      <w:r w:rsidRPr="00AE2A0D">
        <w:t>), a choca-da-mata (</w:t>
      </w:r>
      <w:r w:rsidRPr="00AE2A0D">
        <w:rPr>
          <w:i/>
        </w:rPr>
        <w:t>Thamnophilus caerulescens</w:t>
      </w:r>
      <w:r w:rsidRPr="00AE2A0D">
        <w:t>), o pichoré (</w:t>
      </w:r>
      <w:r w:rsidRPr="00AE2A0D">
        <w:rPr>
          <w:i/>
        </w:rPr>
        <w:t>Synallaxis ruficapilla</w:t>
      </w:r>
      <w:r w:rsidRPr="00AE2A0D">
        <w:t>) e a figuinha-de-rabo-castanho (</w:t>
      </w:r>
      <w:r w:rsidRPr="00AE2A0D">
        <w:rPr>
          <w:i/>
        </w:rPr>
        <w:t>Conirostrum speciosum</w:t>
      </w:r>
      <w:r w:rsidRPr="00AE2A0D">
        <w:t>). Já as aves mais raras podem ser representas por táxons endêmicos e ameaçados de extinção, como é o caso da araponga (</w:t>
      </w:r>
      <w:r w:rsidRPr="00AE2A0D">
        <w:rPr>
          <w:i/>
        </w:rPr>
        <w:t>Procnias nudicollis</w:t>
      </w:r>
      <w:r w:rsidRPr="00AE2A0D">
        <w:t>) e do pavó (</w:t>
      </w:r>
      <w:r w:rsidRPr="00AE2A0D">
        <w:rPr>
          <w:i/>
        </w:rPr>
        <w:t>Pyroderus scutatus</w:t>
      </w:r>
      <w:r w:rsidRPr="00AE2A0D">
        <w:t>).</w:t>
      </w:r>
    </w:p>
    <w:p w:rsidR="00F5487F" w:rsidRPr="00AE2A0D" w:rsidRDefault="00F5487F" w:rsidP="00F5487F">
      <w:r w:rsidRPr="00AE2A0D">
        <w:t>Ressalta-se que os resultados das análises de abundância devem ser interpretados com cautela, uma vez que tais dados foram coletados em apenas uma campanha. Destaca-se ainda a intensa atividade vocal de algumas aves em detrimento a outras igualmente abundantes, mas de vocalização mais discreta, fato que pode fornecer um panorama pouco realista da avifauna local.</w:t>
      </w:r>
    </w:p>
    <w:p w:rsidR="00F5487F" w:rsidRPr="00AE2A0D" w:rsidRDefault="00F5487F" w:rsidP="00F5487F">
      <w:r w:rsidRPr="00AE2A0D">
        <w:t xml:space="preserve">No que tange a relação das espécies registradas em campo com seu habitat preferencial, a maior parte (n=67; 34%) das aves registradas (dados primários) dependem de ambientes florestados para sobreviver, enquanto outras 32% (n=62) são consideradas independentes de florestas, 24% (n=46) são semi-dependentes e somente 10% (n=19) estão estritamente relacionadas com </w:t>
      </w:r>
      <w:r w:rsidRPr="00AE2A0D">
        <w:lastRenderedPageBreak/>
        <w:t>ambientes úmidos. Assim, os dados coletados em campo corroboram as informações levantadas a partir dos dados secundários, com proporções semelhantes para todos os grupos amostrais.</w:t>
      </w:r>
    </w:p>
    <w:p w:rsidR="00F5487F" w:rsidRPr="000A41C3" w:rsidRDefault="000A41C3" w:rsidP="000A41C3">
      <w:pPr>
        <w:pStyle w:val="Quadro"/>
        <w:rPr>
          <w:b w:val="0"/>
          <w:bCs/>
        </w:rPr>
      </w:pPr>
      <w:bookmarkStart w:id="97" w:name="_Ref401841037"/>
      <w:r w:rsidRPr="000A41C3">
        <w:rPr>
          <w:b w:val="0"/>
          <w:bCs/>
        </w:rPr>
        <w:t xml:space="preserve">Figura </w:t>
      </w:r>
      <w:bookmarkEnd w:id="97"/>
      <w:r w:rsidRPr="000A41C3">
        <w:rPr>
          <w:b w:val="0"/>
          <w:bCs/>
        </w:rPr>
        <w:t>6.4.</w:t>
      </w:r>
      <w:r w:rsidR="004C4CC5">
        <w:rPr>
          <w:b w:val="0"/>
          <w:bCs/>
        </w:rPr>
        <w:t>4-6.</w:t>
      </w:r>
      <w:r w:rsidRPr="000A41C3">
        <w:rPr>
          <w:b w:val="0"/>
          <w:bCs/>
        </w:rPr>
        <w:t xml:space="preserve"> Preferência de habitat para as aves registradas em campo nas diferentes áreas amostrais</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F5487F" w:rsidRPr="00AE2A0D" w:rsidTr="00FC668B">
        <w:tc>
          <w:tcPr>
            <w:tcW w:w="9210" w:type="dxa"/>
            <w:vAlign w:val="center"/>
          </w:tcPr>
          <w:p w:rsidR="00F5487F" w:rsidRPr="00AE2A0D" w:rsidRDefault="00F5487F" w:rsidP="00FC668B">
            <w:pPr>
              <w:spacing w:after="0" w:line="360" w:lineRule="auto"/>
              <w:jc w:val="center"/>
              <w:rPr>
                <w:rFonts w:cs="Arial"/>
                <w:color w:val="000000"/>
              </w:rPr>
            </w:pPr>
            <w:r w:rsidRPr="00AE2A0D">
              <w:rPr>
                <w:rFonts w:cs="Arial"/>
                <w:noProof/>
                <w:color w:val="000000"/>
              </w:rPr>
              <w:drawing>
                <wp:inline distT="0" distB="0" distL="0" distR="0" wp14:anchorId="72704466" wp14:editId="57FD0187">
                  <wp:extent cx="5395595" cy="3133725"/>
                  <wp:effectExtent l="0" t="0" r="0" b="9525"/>
                  <wp:docPr id="303" name="Imagem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395595" cy="3133725"/>
                          </a:xfrm>
                          <a:prstGeom prst="rect">
                            <a:avLst/>
                          </a:prstGeom>
                          <a:noFill/>
                        </pic:spPr>
                      </pic:pic>
                    </a:graphicData>
                  </a:graphic>
                </wp:inline>
              </w:drawing>
            </w:r>
          </w:p>
        </w:tc>
      </w:tr>
    </w:tbl>
    <w:p w:rsidR="00F5487F" w:rsidRPr="00AE2A0D" w:rsidRDefault="00F5487F" w:rsidP="00F5487F">
      <w:r w:rsidRPr="00AE2A0D">
        <w:t>Deve-se destacar, contudo, que quando as informações secundárias e primárias são comparadas com cada área amostral isoladamente, nota-se uma diferença entre tais distribuições. Com exceção da área 4</w:t>
      </w:r>
      <w:r>
        <w:t>,</w:t>
      </w:r>
      <w:r w:rsidRPr="00AE2A0D">
        <w:t xml:space="preserve"> que manteve os mesmos padrões encontrados nos dados primários e secundários, os demais locais avaliados (áreas 1, 2, 3 e 5) obtiveram dominância de espécies independentes de florestas, em detrimento as dependentes, conforme ilustra a</w:t>
      </w:r>
      <w:r w:rsidR="000A41C3">
        <w:t xml:space="preserve"> </w:t>
      </w:r>
      <w:r w:rsidR="000A41C3" w:rsidRPr="000A41C3">
        <w:rPr>
          <w:b/>
        </w:rPr>
        <w:t>Figura 6.4.</w:t>
      </w:r>
      <w:r w:rsidR="004C4CC5">
        <w:rPr>
          <w:b/>
        </w:rPr>
        <w:t>4-6</w:t>
      </w:r>
      <w:r w:rsidRPr="00AE2A0D">
        <w:t>. Essas proporções discrepantes corroboram os dados relativos à similaridade entre as áreas estudadas, sugerindo uma maior uniformidade da comunidade no que diz respeito às áreas 1, 2, 3 e 5, que aparentemente encontra</w:t>
      </w:r>
      <w:r>
        <w:t>m</w:t>
      </w:r>
      <w:r w:rsidRPr="00AE2A0D">
        <w:t>-se em um contexto de paisagem mais antropizad</w:t>
      </w:r>
      <w:r>
        <w:t>a</w:t>
      </w:r>
      <w:r w:rsidRPr="00AE2A0D">
        <w:t>, fato justificado pela maior representatividade de espécies independentes de ambientes florestais.</w:t>
      </w:r>
    </w:p>
    <w:p w:rsidR="00F5487F" w:rsidRPr="00AE2A0D" w:rsidRDefault="00F5487F" w:rsidP="00F5487F">
      <w:r w:rsidRPr="00AE2A0D">
        <w:t>A sensibilidade das espécies quanto aos distúrbios de origem an</w:t>
      </w:r>
      <w:r>
        <w:t>trópica</w:t>
      </w:r>
      <w:r w:rsidRPr="00AE2A0D">
        <w:t xml:space="preserve"> talvez seja o melhor fator que explique a composição encontrada quanto à dependência aos ambientes amostrados. A maior parte (58,8%; n=114) das espécies registradas em campo é considerada de baixa sensitividade, seguido pelas espécies de média sensitividade com 37,6% do total (n=73) e então espécies altamente sensíveis</w:t>
      </w:r>
      <w:r>
        <w:t>,</w:t>
      </w:r>
      <w:r w:rsidRPr="00AE2A0D">
        <w:t xml:space="preserve"> com somente 3,6% (n=7) do total. Proporção semelhante foi observada nas espécies levantadas a partir do levantamento secundário, onde 50,9% (n=137) são consideradas de baixa sensitividade a distúrbios, enquanto 42% (n=113) apresentam media sensitividade e 7,1% (n=19) consideradas altamente sensíveis.</w:t>
      </w:r>
    </w:p>
    <w:p w:rsidR="00F5487F" w:rsidRPr="00AE2A0D" w:rsidRDefault="00F5487F" w:rsidP="00F5487F">
      <w:r w:rsidRPr="00AE2A0D">
        <w:t xml:space="preserve">Quando tais informações são comparadas isoladamente </w:t>
      </w:r>
      <w:r>
        <w:t>e</w:t>
      </w:r>
      <w:r w:rsidRPr="00AE2A0D">
        <w:t>m cada área visitada (</w:t>
      </w:r>
      <w:r w:rsidR="000A41C3" w:rsidRPr="000A41C3">
        <w:rPr>
          <w:b/>
        </w:rPr>
        <w:t>Figura 6.4.</w:t>
      </w:r>
      <w:r w:rsidR="004C4CC5">
        <w:rPr>
          <w:b/>
        </w:rPr>
        <w:t>4-7</w:t>
      </w:r>
      <w:r w:rsidRPr="00AE2A0D">
        <w:t>), observa-se mais uma vez diferenças entre as proporções encontradas. Com exceção da área 4, que manteve os mesmos padrões, as demais localidades (áreas 1, 2, 3 e 5) destacam-se pela ausência completa de espécies consideradas de alta sensibilidade a distúrbios de origem antrópica, fato que reforça as características antrópicas presentes nessas áreas.</w:t>
      </w:r>
    </w:p>
    <w:p w:rsidR="00F5487F" w:rsidRPr="00F37F8C" w:rsidRDefault="00F37F8C" w:rsidP="00F37F8C">
      <w:pPr>
        <w:pStyle w:val="Quadro"/>
        <w:rPr>
          <w:b w:val="0"/>
          <w:bCs/>
        </w:rPr>
      </w:pPr>
      <w:bookmarkStart w:id="98" w:name="_Ref401841049"/>
      <w:r w:rsidRPr="00F37F8C">
        <w:rPr>
          <w:b w:val="0"/>
          <w:bCs/>
        </w:rPr>
        <w:lastRenderedPageBreak/>
        <w:t xml:space="preserve">Figura </w:t>
      </w:r>
      <w:bookmarkEnd w:id="98"/>
      <w:r w:rsidRPr="00F37F8C">
        <w:rPr>
          <w:b w:val="0"/>
          <w:bCs/>
        </w:rPr>
        <w:t>6.4.</w:t>
      </w:r>
      <w:r w:rsidR="004C4CC5">
        <w:rPr>
          <w:b w:val="0"/>
          <w:bCs/>
        </w:rPr>
        <w:t>4-7.</w:t>
      </w:r>
      <w:r w:rsidRPr="00F37F8C">
        <w:rPr>
          <w:b w:val="0"/>
          <w:bCs/>
        </w:rPr>
        <w:t xml:space="preserve"> Sensibilidade a distúrbios de origem antrópica </w:t>
      </w:r>
      <w:r w:rsidR="000F2964">
        <w:rPr>
          <w:b w:val="0"/>
          <w:bCs/>
        </w:rPr>
        <w:t xml:space="preserve">para as espécies de Aves </w:t>
      </w:r>
      <w:r w:rsidRPr="00F37F8C">
        <w:rPr>
          <w:b w:val="0"/>
          <w:bCs/>
        </w:rPr>
        <w:t xml:space="preserve">encontradas </w:t>
      </w:r>
      <w:r w:rsidR="000F2964">
        <w:rPr>
          <w:b w:val="0"/>
          <w:bCs/>
        </w:rPr>
        <w:t xml:space="preserve">em </w:t>
      </w:r>
      <w:r w:rsidRPr="00F37F8C">
        <w:rPr>
          <w:b w:val="0"/>
          <w:bCs/>
        </w:rPr>
        <w:t>cada área pesquisada</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F5487F" w:rsidRPr="00AE2A0D" w:rsidTr="00FC668B">
        <w:tc>
          <w:tcPr>
            <w:tcW w:w="5000" w:type="pct"/>
            <w:vAlign w:val="center"/>
          </w:tcPr>
          <w:p w:rsidR="00F5487F" w:rsidRPr="00AE2A0D" w:rsidRDefault="00F5487F" w:rsidP="00FC668B">
            <w:pPr>
              <w:spacing w:after="0" w:line="360" w:lineRule="auto"/>
              <w:jc w:val="center"/>
              <w:rPr>
                <w:rFonts w:cs="Arial"/>
                <w:color w:val="000000"/>
              </w:rPr>
            </w:pPr>
            <w:r w:rsidRPr="00AE2A0D">
              <w:rPr>
                <w:rFonts w:cs="Arial"/>
                <w:noProof/>
                <w:color w:val="000000"/>
              </w:rPr>
              <w:drawing>
                <wp:inline distT="0" distB="0" distL="0" distR="0" wp14:anchorId="20307747" wp14:editId="7E5CB375">
                  <wp:extent cx="5541645" cy="3237230"/>
                  <wp:effectExtent l="0" t="0" r="1905" b="1270"/>
                  <wp:docPr id="304" name="Imagem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541645" cy="3237230"/>
                          </a:xfrm>
                          <a:prstGeom prst="rect">
                            <a:avLst/>
                          </a:prstGeom>
                          <a:noFill/>
                        </pic:spPr>
                      </pic:pic>
                    </a:graphicData>
                  </a:graphic>
                </wp:inline>
              </w:drawing>
            </w:r>
          </w:p>
        </w:tc>
      </w:tr>
    </w:tbl>
    <w:p w:rsidR="00F5487F" w:rsidRPr="00AE2A0D" w:rsidRDefault="00F5487F" w:rsidP="00F5487F">
      <w:r w:rsidRPr="00AE2A0D">
        <w:t>Como espécies de baixa sensitividade, pode-se citar aves mais generalistas e oportunistas, que geralmente ocupam uma ampla gama de ambientes, como é o caso da andorinha-serradora (</w:t>
      </w:r>
      <w:r w:rsidRPr="00AE2A0D">
        <w:rPr>
          <w:i/>
        </w:rPr>
        <w:t>Stelgidopteryx ruficollis</w:t>
      </w:r>
      <w:r w:rsidRPr="00AE2A0D">
        <w:t>), do gavião-carijó (</w:t>
      </w:r>
      <w:r w:rsidRPr="00AE2A0D">
        <w:rPr>
          <w:i/>
        </w:rPr>
        <w:t>Rupornis magnirostris</w:t>
      </w:r>
      <w:r w:rsidRPr="00AE2A0D">
        <w:t>) e do Tiziu (</w:t>
      </w:r>
      <w:r w:rsidRPr="00AE2A0D">
        <w:rPr>
          <w:i/>
        </w:rPr>
        <w:t>Volatinia jacarina</w:t>
      </w:r>
      <w:r w:rsidRPr="00AE2A0D">
        <w:t>). Espécies de média sensitividade a distúrbios podem ser representadas pelo jacuaçu (</w:t>
      </w:r>
      <w:r w:rsidRPr="00AE2A0D">
        <w:rPr>
          <w:i/>
        </w:rPr>
        <w:t>Penelope obscura</w:t>
      </w:r>
      <w:r w:rsidRPr="00AE2A0D">
        <w:t>) e pelo gavião-bombachinha (</w:t>
      </w:r>
      <w:r w:rsidRPr="00AE2A0D">
        <w:rPr>
          <w:i/>
        </w:rPr>
        <w:t>Harpagus diodon</w:t>
      </w:r>
      <w:r w:rsidRPr="00AE2A0D">
        <w:t>), enquanto aves altamente sensíveis estão representadas pelo tovacuçu (</w:t>
      </w:r>
      <w:r w:rsidRPr="00AE2A0D">
        <w:rPr>
          <w:i/>
        </w:rPr>
        <w:t>Grallaria varia</w:t>
      </w:r>
      <w:r w:rsidRPr="00AE2A0D">
        <w:t>), vira-folhas (</w:t>
      </w:r>
      <w:r w:rsidRPr="00AE2A0D">
        <w:rPr>
          <w:i/>
        </w:rPr>
        <w:t>Sclerurus scansor</w:t>
      </w:r>
      <w:r w:rsidRPr="00AE2A0D">
        <w:t>) e a araponga-do-horto (</w:t>
      </w:r>
      <w:r w:rsidRPr="00AE2A0D">
        <w:rPr>
          <w:i/>
        </w:rPr>
        <w:t>Oxyrunchus cristatus</w:t>
      </w:r>
      <w:r w:rsidRPr="00AE2A0D">
        <w:t>).</w:t>
      </w:r>
    </w:p>
    <w:p w:rsidR="00F5487F" w:rsidRPr="00AE2A0D" w:rsidRDefault="00F5487F" w:rsidP="00F5487F">
      <w:r w:rsidRPr="00AE2A0D">
        <w:t xml:space="preserve">No que diz respeito às guildas tróficas, observa-se ampla dominância de espécies insetívoras, que responderam por 44,8% (n=87), seguido por espécies onívoras (22,1%; n=43), frugívoras (12,3%; n=24), carnívoras (5,7%; n=11), granívoros (5,7%; n=11), piscívoras (4,1%; n=8), nectarívoras (4,1%; n=8) e detritívoras, responsáveis por somente 1% (n=2) do total registrado. Na </w:t>
      </w:r>
      <w:r w:rsidR="00F37F8C" w:rsidRPr="00F37F8C">
        <w:rPr>
          <w:b/>
        </w:rPr>
        <w:t>Figura 6.4.</w:t>
      </w:r>
      <w:r w:rsidR="004C4CC5">
        <w:rPr>
          <w:b/>
        </w:rPr>
        <w:t>4-8</w:t>
      </w:r>
      <w:r w:rsidR="00F37F8C">
        <w:t xml:space="preserve"> </w:t>
      </w:r>
      <w:r w:rsidRPr="00AE2A0D">
        <w:t>pode-se observar um gráfico comparativo dos valores encontrados para cada guilda trófica relativa aos dados primários e secundários.</w:t>
      </w:r>
    </w:p>
    <w:p w:rsidR="00F5487F" w:rsidRPr="00F37F8C" w:rsidRDefault="00F37F8C" w:rsidP="00F37F8C">
      <w:pPr>
        <w:pStyle w:val="Quadro"/>
        <w:rPr>
          <w:b w:val="0"/>
          <w:bCs/>
        </w:rPr>
      </w:pPr>
      <w:bookmarkStart w:id="99" w:name="_Ref401841090"/>
      <w:r w:rsidRPr="00F37F8C">
        <w:rPr>
          <w:b w:val="0"/>
          <w:bCs/>
        </w:rPr>
        <w:t xml:space="preserve">Figura </w:t>
      </w:r>
      <w:bookmarkEnd w:id="99"/>
      <w:r w:rsidRPr="00F37F8C">
        <w:rPr>
          <w:b w:val="0"/>
          <w:bCs/>
        </w:rPr>
        <w:t>6.4.</w:t>
      </w:r>
      <w:r w:rsidR="004C4CC5">
        <w:rPr>
          <w:b w:val="0"/>
          <w:bCs/>
        </w:rPr>
        <w:t>4-8.</w:t>
      </w:r>
      <w:r w:rsidRPr="00F37F8C">
        <w:rPr>
          <w:b w:val="0"/>
          <w:bCs/>
        </w:rPr>
        <w:t xml:space="preserve"> </w:t>
      </w:r>
      <w:r w:rsidR="000F2964">
        <w:rPr>
          <w:b w:val="0"/>
          <w:bCs/>
        </w:rPr>
        <w:t xml:space="preserve">Avifauna. </w:t>
      </w:r>
      <w:r w:rsidRPr="00F37F8C">
        <w:rPr>
          <w:b w:val="0"/>
          <w:bCs/>
        </w:rPr>
        <w:t>Distribuição das guildas tróficas para os dados primários e secundários</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F5487F" w:rsidRPr="00AE2A0D" w:rsidTr="00FC668B">
        <w:tc>
          <w:tcPr>
            <w:tcW w:w="5000" w:type="pct"/>
            <w:vAlign w:val="center"/>
          </w:tcPr>
          <w:p w:rsidR="00F5487F" w:rsidRPr="00AE2A0D" w:rsidRDefault="00F5487F" w:rsidP="00FC668B">
            <w:pPr>
              <w:spacing w:after="0" w:line="360" w:lineRule="auto"/>
              <w:jc w:val="center"/>
              <w:rPr>
                <w:rFonts w:cs="Arial"/>
                <w:bCs/>
              </w:rPr>
            </w:pPr>
            <w:r w:rsidRPr="00AE2A0D">
              <w:rPr>
                <w:rFonts w:cs="Arial"/>
                <w:bCs/>
                <w:noProof/>
              </w:rPr>
              <w:drawing>
                <wp:inline distT="0" distB="0" distL="0" distR="0" wp14:anchorId="455D9972" wp14:editId="32D493B0">
                  <wp:extent cx="5553710" cy="2329180"/>
                  <wp:effectExtent l="0" t="0" r="8890" b="0"/>
                  <wp:docPr id="305" name="Imagem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553710" cy="2329180"/>
                          </a:xfrm>
                          <a:prstGeom prst="rect">
                            <a:avLst/>
                          </a:prstGeom>
                          <a:noFill/>
                        </pic:spPr>
                      </pic:pic>
                    </a:graphicData>
                  </a:graphic>
                </wp:inline>
              </w:drawing>
            </w:r>
          </w:p>
        </w:tc>
      </w:tr>
    </w:tbl>
    <w:p w:rsidR="00F5487F" w:rsidRPr="00AE2A0D" w:rsidRDefault="00F5487F" w:rsidP="00F5487F">
      <w:r w:rsidRPr="00AE2A0D">
        <w:t xml:space="preserve">Outras características relativas à guilda trófica da comunidade avifaunística observada em campo podem ser utilizadas como indicativos de ambientes bem estruturados. A presença de </w:t>
      </w:r>
      <w:r w:rsidRPr="00AE2A0D">
        <w:lastRenderedPageBreak/>
        <w:t>espécies insetívoras escaladoras de tronco como os Dendrocolaptídeos (arapaçus) e Picídeos (pica-paus), tem sido apontada como um sinal de boa qualidade ambiental, já que tais espécies são sensíveis à fragmentação e possuem baixo potencial de colonização (Soares e Anjos, 1999). De fato, cinco das oito espécies de pica-paus e três das cinco espécies de arapaçus com potencial ocorrência na área de estudo, foram registradas em campo. Destaca-se neste caso, a presença de espécies endêmicas como o arapaçu-rajado (</w:t>
      </w:r>
      <w:r w:rsidRPr="00AE2A0D">
        <w:rPr>
          <w:i/>
        </w:rPr>
        <w:t>Xiphorhynchus fuscus</w:t>
      </w:r>
      <w:r w:rsidRPr="00AE2A0D">
        <w:t>) e do pica-pau-verde-carijó (</w:t>
      </w:r>
      <w:r w:rsidRPr="00AE2A0D">
        <w:rPr>
          <w:i/>
        </w:rPr>
        <w:t>Veniliornis spilogaster</w:t>
      </w:r>
      <w:r w:rsidRPr="00AE2A0D">
        <w:t>).</w:t>
      </w:r>
    </w:p>
    <w:p w:rsidR="00F5487F" w:rsidRPr="00AE2A0D" w:rsidRDefault="00F5487F" w:rsidP="00F5487F">
      <w:r w:rsidRPr="00AE2A0D">
        <w:t>Da mesma forma, aves frugívoras de médio e grande porte estão entre as espécies mais suscetíveis à fragmentação do ambiente, uma vez que são incapazes de encontrar nesses fragmentos todos os recursos necessários para sua sobrevivência ao longo do ano (Pizo, 2001; Jordano et al., 2006). Em campo foram registradas importantes espécies frugívoras de médio e grande porte, como alguns membros da família Ramphastidae (tucanos e araçaris), Trogonidae (surucuás), Cotingidae (arapongas e afins) e Psitacidae (papagaios, maritacas e tuins). Neste caso, ganha destaca espécies em delicada situação conservacionista como a araponga (</w:t>
      </w:r>
      <w:r w:rsidRPr="00AE2A0D">
        <w:rPr>
          <w:i/>
        </w:rPr>
        <w:t>Procnias nudicollis</w:t>
      </w:r>
      <w:r w:rsidRPr="00AE2A0D">
        <w:t>) e o pavó (</w:t>
      </w:r>
      <w:r w:rsidRPr="00AE2A0D">
        <w:rPr>
          <w:i/>
        </w:rPr>
        <w:t>Pyroderus scutatus</w:t>
      </w:r>
      <w:r w:rsidRPr="00AE2A0D">
        <w:t xml:space="preserve">). </w:t>
      </w:r>
    </w:p>
    <w:p w:rsidR="00F5487F" w:rsidRPr="00AE2A0D" w:rsidRDefault="00F5487F" w:rsidP="00F5487F">
      <w:r w:rsidRPr="00AE2A0D">
        <w:t>Carnívoros predadores de topo de cadeia, como as aves de rapina, especialmente os gaviões e corujas, também são importantes indicadores de qualidade ambiental, já que são constituídos por aves comumente raras e que exigem grandes áreas de vida (Jullien e Thiollay, 1996; Azevedo et al, 2003). Tais espécies foram registradas com regularidade nas unidades amostrais (11 de 20 possíveis, incluindo neste caso todos os Strigidae, Accipitridae e Falconidae), destacando-se aqui, as de hábitos mais florestais, como a murucututu-de-barriga-amarela (</w:t>
      </w:r>
      <w:r w:rsidRPr="00AE2A0D">
        <w:rPr>
          <w:i/>
        </w:rPr>
        <w:t>Pulsatrix koeniswaldiana</w:t>
      </w:r>
      <w:r w:rsidRPr="00AE2A0D">
        <w:t>), o gavião-bombachinha (</w:t>
      </w:r>
      <w:r w:rsidRPr="00AE2A0D">
        <w:rPr>
          <w:i/>
        </w:rPr>
        <w:t>Harpagus diodon</w:t>
      </w:r>
      <w:r w:rsidRPr="00AE2A0D">
        <w:t>), o falcão-relógio (</w:t>
      </w:r>
      <w:r w:rsidRPr="00AE2A0D">
        <w:rPr>
          <w:i/>
        </w:rPr>
        <w:t>Micrastur semitorquatus</w:t>
      </w:r>
      <w:r w:rsidRPr="00AE2A0D">
        <w:t>) e o falcão-caburé (</w:t>
      </w:r>
      <w:r w:rsidRPr="00AE2A0D">
        <w:rPr>
          <w:i/>
        </w:rPr>
        <w:t>Micrastur ruficollis</w:t>
      </w:r>
      <w:r w:rsidRPr="00AE2A0D">
        <w:t xml:space="preserve">). </w:t>
      </w:r>
    </w:p>
    <w:p w:rsidR="00F5487F" w:rsidRPr="00AE2A0D" w:rsidRDefault="00F5487F" w:rsidP="00F5487F">
      <w:r w:rsidRPr="00AE2A0D">
        <w:t>Outro grupo recorrentemente utilizado como indicador de ambientes bem estruturados é formado pelos insetívoros de sub-bosque que geralmente possuem baixo potencial de dispersão, habitando principalmente áreas florestadas e sombreadas. Tais espécies representadas pela totalidade dos membros da família Thamnophilidae, Furnariidae, Scleruridae, Grallaridae e Conopophagidae, responderam por 23 das 38 espécies possíveis. Destacam-se ainda a grande representatividade de aves polinizadoras, representadas pelos Trochilidae (beija-flores), que responderam por sete de 11 espécies de potencial ocorrência na área de estudo.</w:t>
      </w:r>
    </w:p>
    <w:p w:rsidR="00F5487F" w:rsidRPr="001F6C6C" w:rsidRDefault="001F6C6C" w:rsidP="001F6C6C">
      <w:pPr>
        <w:pStyle w:val="Ttulo6"/>
      </w:pPr>
      <w:bookmarkStart w:id="100" w:name="_Toc402254390"/>
      <w:r>
        <w:t>D.2.</w:t>
      </w:r>
      <w:r>
        <w:tab/>
      </w:r>
      <w:r w:rsidR="00F5487F" w:rsidRPr="001F6C6C">
        <w:t>Espécies Raras, Endêmicas, de Interesse Econômico e Científico, Ameaçadas de Extinção, Exóticas, Invasoras e Migratórias</w:t>
      </w:r>
      <w:bookmarkEnd w:id="100"/>
    </w:p>
    <w:p w:rsidR="00F5487F" w:rsidRPr="00AE2A0D" w:rsidRDefault="00F5487F" w:rsidP="00F5487F">
      <w:r w:rsidRPr="00AE2A0D">
        <w:t>Dentre as 194 espécies de aves registradas durante as atividades de campo, 34 são endêmicas de Mata Atlântica, quatro encontram-se em delicada situação conservacionista (Machado et al., 2008; IUCN, 2013; Silveira et al., 2009), 21 táxons constam na lista da CITES (apêndice I e II) e na Instrução Normativa n</w:t>
      </w:r>
      <w:r w:rsidRPr="000B0F5E">
        <w:rPr>
          <w:vertAlign w:val="superscript"/>
        </w:rPr>
        <w:t>o</w:t>
      </w:r>
      <w:r w:rsidRPr="00AE2A0D">
        <w:t xml:space="preserve"> 1 (MMA, 2010), 17 são consideradas cinegéticas, 33 são de interesse econômico ou doméstico, 23 são exótico/invasoras e nenhuma é considerada migrante intercontinental (CBRO, 2011), conforme ilustra a </w:t>
      </w:r>
      <w:r w:rsidRPr="006874BF">
        <w:rPr>
          <w:b/>
        </w:rPr>
        <w:t xml:space="preserve">Tabela </w:t>
      </w:r>
      <w:r w:rsidR="00F37F8C">
        <w:rPr>
          <w:b/>
        </w:rPr>
        <w:t>6.4.</w:t>
      </w:r>
      <w:r w:rsidR="009409FA">
        <w:rPr>
          <w:b/>
        </w:rPr>
        <w:t>4-4</w:t>
      </w:r>
      <w:r w:rsidRPr="00AE2A0D">
        <w:t>.</w:t>
      </w:r>
    </w:p>
    <w:p w:rsidR="00F5487F" w:rsidRPr="00F37F8C" w:rsidRDefault="00F5487F" w:rsidP="00F37F8C">
      <w:pPr>
        <w:pStyle w:val="Quadro"/>
        <w:rPr>
          <w:b w:val="0"/>
          <w:bCs/>
        </w:rPr>
      </w:pPr>
      <w:r w:rsidRPr="00F37F8C">
        <w:rPr>
          <w:b w:val="0"/>
          <w:bCs/>
        </w:rPr>
        <w:t xml:space="preserve">Tabela </w:t>
      </w:r>
      <w:r w:rsidR="00F37F8C" w:rsidRPr="00F37F8C">
        <w:rPr>
          <w:b w:val="0"/>
          <w:bCs/>
        </w:rPr>
        <w:t>6.4.</w:t>
      </w:r>
      <w:r w:rsidR="009409FA">
        <w:rPr>
          <w:b w:val="0"/>
          <w:bCs/>
        </w:rPr>
        <w:t>4-4.</w:t>
      </w:r>
      <w:r w:rsidRPr="00F37F8C">
        <w:rPr>
          <w:b w:val="0"/>
          <w:bCs/>
        </w:rPr>
        <w:t xml:space="preserve"> Número de espécies </w:t>
      </w:r>
      <w:r w:rsidR="00F80621">
        <w:rPr>
          <w:b w:val="0"/>
          <w:bCs/>
        </w:rPr>
        <w:t xml:space="preserve">de aves </w:t>
      </w:r>
      <w:r w:rsidRPr="00F37F8C">
        <w:rPr>
          <w:b w:val="0"/>
          <w:bCs/>
        </w:rPr>
        <w:t>endêmicas, ameaçadas, incluídas nos Apêndices da CITES e IN n</w:t>
      </w:r>
      <w:r w:rsidRPr="009409FA">
        <w:rPr>
          <w:b w:val="0"/>
          <w:bCs/>
          <w:vertAlign w:val="superscript"/>
        </w:rPr>
        <w:t>o</w:t>
      </w:r>
      <w:r w:rsidRPr="00F37F8C">
        <w:rPr>
          <w:b w:val="0"/>
          <w:bCs/>
        </w:rPr>
        <w:t xml:space="preserve"> 1, cinegéticas, de interesse econômico, migratórias e exótico-invasoras, com potencial ocorrência e registradas em campo nas Áreas de Influência do empreendimento</w:t>
      </w:r>
    </w:p>
    <w:tbl>
      <w:tblPr>
        <w:tblW w:w="500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686"/>
        <w:gridCol w:w="1221"/>
        <w:gridCol w:w="972"/>
        <w:gridCol w:w="691"/>
        <w:gridCol w:w="691"/>
        <w:gridCol w:w="691"/>
        <w:gridCol w:w="691"/>
        <w:gridCol w:w="691"/>
      </w:tblGrid>
      <w:tr w:rsidR="00F5487F" w:rsidRPr="00AE2A0D" w:rsidTr="00FC668B">
        <w:trPr>
          <w:trHeight w:val="600"/>
          <w:tblHeader/>
        </w:trPr>
        <w:tc>
          <w:tcPr>
            <w:tcW w:w="1979" w:type="pct"/>
            <w:shd w:val="clear" w:color="000000" w:fill="D9D9D9"/>
            <w:noWrap/>
            <w:vAlign w:val="center"/>
            <w:hideMark/>
          </w:tcPr>
          <w:p w:rsidR="00F5487F" w:rsidRPr="00AE2A0D" w:rsidRDefault="00F5487F" w:rsidP="00FC668B">
            <w:pPr>
              <w:spacing w:after="0"/>
              <w:jc w:val="center"/>
              <w:rPr>
                <w:rFonts w:eastAsia="Times New Roman" w:cs="Arial"/>
                <w:b/>
                <w:bCs/>
                <w:sz w:val="18"/>
                <w:szCs w:val="18"/>
                <w:lang w:eastAsia="pt-BR"/>
              </w:rPr>
            </w:pPr>
            <w:r w:rsidRPr="00AE2A0D">
              <w:rPr>
                <w:rFonts w:eastAsia="Times New Roman" w:cs="Arial"/>
                <w:b/>
                <w:bCs/>
                <w:sz w:val="18"/>
                <w:szCs w:val="18"/>
                <w:lang w:eastAsia="pt-BR"/>
              </w:rPr>
              <w:t>Status de Conservação</w:t>
            </w:r>
          </w:p>
        </w:tc>
        <w:tc>
          <w:tcPr>
            <w:tcW w:w="653" w:type="pct"/>
            <w:shd w:val="clear" w:color="000000" w:fill="D9D9D9"/>
            <w:vAlign w:val="center"/>
            <w:hideMark/>
          </w:tcPr>
          <w:p w:rsidR="00F5487F" w:rsidRPr="00AE2A0D" w:rsidRDefault="00F5487F" w:rsidP="00FC668B">
            <w:pPr>
              <w:spacing w:after="0"/>
              <w:jc w:val="center"/>
              <w:rPr>
                <w:rFonts w:eastAsia="Times New Roman" w:cs="Arial"/>
                <w:b/>
                <w:bCs/>
                <w:sz w:val="18"/>
                <w:szCs w:val="18"/>
                <w:lang w:eastAsia="pt-BR"/>
              </w:rPr>
            </w:pPr>
            <w:r w:rsidRPr="00AE2A0D">
              <w:rPr>
                <w:rFonts w:eastAsia="Times New Roman" w:cs="Arial"/>
                <w:b/>
                <w:bCs/>
                <w:sz w:val="18"/>
                <w:szCs w:val="18"/>
                <w:lang w:eastAsia="pt-BR"/>
              </w:rPr>
              <w:t>Dados Secundários</w:t>
            </w:r>
          </w:p>
        </w:tc>
        <w:tc>
          <w:tcPr>
            <w:tcW w:w="526" w:type="pct"/>
            <w:shd w:val="clear" w:color="000000" w:fill="D9D9D9"/>
            <w:vAlign w:val="center"/>
            <w:hideMark/>
          </w:tcPr>
          <w:p w:rsidR="00F5487F" w:rsidRPr="00AE2A0D" w:rsidRDefault="00F5487F" w:rsidP="00FC668B">
            <w:pPr>
              <w:spacing w:after="0"/>
              <w:jc w:val="center"/>
              <w:rPr>
                <w:rFonts w:eastAsia="Times New Roman" w:cs="Arial"/>
                <w:b/>
                <w:bCs/>
                <w:sz w:val="18"/>
                <w:szCs w:val="18"/>
                <w:lang w:eastAsia="pt-BR"/>
              </w:rPr>
            </w:pPr>
            <w:r w:rsidRPr="00AE2A0D">
              <w:rPr>
                <w:rFonts w:eastAsia="Times New Roman" w:cs="Arial"/>
                <w:b/>
                <w:bCs/>
                <w:sz w:val="18"/>
                <w:szCs w:val="18"/>
                <w:lang w:eastAsia="pt-BR"/>
              </w:rPr>
              <w:t>Dados Primários</w:t>
            </w:r>
          </w:p>
        </w:tc>
        <w:tc>
          <w:tcPr>
            <w:tcW w:w="368" w:type="pct"/>
            <w:shd w:val="clear" w:color="000000" w:fill="D9D9D9"/>
            <w:noWrap/>
            <w:vAlign w:val="center"/>
            <w:hideMark/>
          </w:tcPr>
          <w:p w:rsidR="00F5487F" w:rsidRPr="00AE2A0D" w:rsidRDefault="00F5487F" w:rsidP="00FC668B">
            <w:pPr>
              <w:spacing w:after="0"/>
              <w:jc w:val="center"/>
              <w:rPr>
                <w:rFonts w:eastAsia="Times New Roman" w:cs="Arial"/>
                <w:b/>
                <w:bCs/>
                <w:sz w:val="18"/>
                <w:szCs w:val="18"/>
                <w:lang w:eastAsia="pt-BR"/>
              </w:rPr>
            </w:pPr>
            <w:r w:rsidRPr="00AE2A0D">
              <w:rPr>
                <w:rFonts w:eastAsia="Times New Roman" w:cs="Arial"/>
                <w:b/>
                <w:bCs/>
                <w:sz w:val="18"/>
                <w:szCs w:val="18"/>
                <w:lang w:eastAsia="pt-BR"/>
              </w:rPr>
              <w:t>Área 1</w:t>
            </w:r>
          </w:p>
        </w:tc>
        <w:tc>
          <w:tcPr>
            <w:tcW w:w="368" w:type="pct"/>
            <w:shd w:val="clear" w:color="000000" w:fill="D9D9D9"/>
            <w:noWrap/>
            <w:vAlign w:val="center"/>
            <w:hideMark/>
          </w:tcPr>
          <w:p w:rsidR="00F5487F" w:rsidRPr="00AE2A0D" w:rsidRDefault="00F5487F" w:rsidP="00FC668B">
            <w:pPr>
              <w:spacing w:after="0"/>
              <w:jc w:val="center"/>
              <w:rPr>
                <w:rFonts w:eastAsia="Times New Roman" w:cs="Arial"/>
                <w:b/>
                <w:bCs/>
                <w:sz w:val="18"/>
                <w:szCs w:val="18"/>
                <w:lang w:eastAsia="pt-BR"/>
              </w:rPr>
            </w:pPr>
            <w:r w:rsidRPr="00AE2A0D">
              <w:rPr>
                <w:rFonts w:eastAsia="Times New Roman" w:cs="Arial"/>
                <w:b/>
                <w:bCs/>
                <w:sz w:val="18"/>
                <w:szCs w:val="18"/>
                <w:lang w:eastAsia="pt-BR"/>
              </w:rPr>
              <w:t>Área 2</w:t>
            </w:r>
          </w:p>
        </w:tc>
        <w:tc>
          <w:tcPr>
            <w:tcW w:w="368" w:type="pct"/>
            <w:shd w:val="clear" w:color="000000" w:fill="D9D9D9"/>
            <w:noWrap/>
            <w:vAlign w:val="center"/>
            <w:hideMark/>
          </w:tcPr>
          <w:p w:rsidR="00F5487F" w:rsidRPr="00AE2A0D" w:rsidRDefault="00F5487F" w:rsidP="00FC668B">
            <w:pPr>
              <w:spacing w:after="0"/>
              <w:jc w:val="center"/>
              <w:rPr>
                <w:rFonts w:eastAsia="Times New Roman" w:cs="Arial"/>
                <w:b/>
                <w:bCs/>
                <w:sz w:val="18"/>
                <w:szCs w:val="18"/>
                <w:lang w:eastAsia="pt-BR"/>
              </w:rPr>
            </w:pPr>
            <w:r w:rsidRPr="00AE2A0D">
              <w:rPr>
                <w:rFonts w:eastAsia="Times New Roman" w:cs="Arial"/>
                <w:b/>
                <w:bCs/>
                <w:sz w:val="18"/>
                <w:szCs w:val="18"/>
                <w:lang w:eastAsia="pt-BR"/>
              </w:rPr>
              <w:t>Área 3</w:t>
            </w:r>
          </w:p>
        </w:tc>
        <w:tc>
          <w:tcPr>
            <w:tcW w:w="368" w:type="pct"/>
            <w:shd w:val="clear" w:color="000000" w:fill="D9D9D9"/>
            <w:noWrap/>
            <w:vAlign w:val="center"/>
            <w:hideMark/>
          </w:tcPr>
          <w:p w:rsidR="00F5487F" w:rsidRPr="00AE2A0D" w:rsidRDefault="00F5487F" w:rsidP="00FC668B">
            <w:pPr>
              <w:spacing w:after="0"/>
              <w:jc w:val="center"/>
              <w:rPr>
                <w:rFonts w:eastAsia="Times New Roman" w:cs="Arial"/>
                <w:b/>
                <w:bCs/>
                <w:sz w:val="18"/>
                <w:szCs w:val="18"/>
                <w:lang w:eastAsia="pt-BR"/>
              </w:rPr>
            </w:pPr>
            <w:r w:rsidRPr="00AE2A0D">
              <w:rPr>
                <w:rFonts w:eastAsia="Times New Roman" w:cs="Arial"/>
                <w:b/>
                <w:bCs/>
                <w:sz w:val="18"/>
                <w:szCs w:val="18"/>
                <w:lang w:eastAsia="pt-BR"/>
              </w:rPr>
              <w:t>Área 4</w:t>
            </w:r>
          </w:p>
        </w:tc>
        <w:tc>
          <w:tcPr>
            <w:tcW w:w="368" w:type="pct"/>
            <w:shd w:val="clear" w:color="000000" w:fill="D9D9D9"/>
            <w:noWrap/>
            <w:vAlign w:val="center"/>
            <w:hideMark/>
          </w:tcPr>
          <w:p w:rsidR="00F5487F" w:rsidRPr="00AE2A0D" w:rsidRDefault="00F5487F" w:rsidP="00FC668B">
            <w:pPr>
              <w:spacing w:after="0"/>
              <w:jc w:val="center"/>
              <w:rPr>
                <w:rFonts w:eastAsia="Times New Roman" w:cs="Arial"/>
                <w:b/>
                <w:bCs/>
                <w:sz w:val="18"/>
                <w:szCs w:val="18"/>
                <w:lang w:eastAsia="pt-BR"/>
              </w:rPr>
            </w:pPr>
            <w:r w:rsidRPr="00AE2A0D">
              <w:rPr>
                <w:rFonts w:eastAsia="Times New Roman" w:cs="Arial"/>
                <w:b/>
                <w:bCs/>
                <w:sz w:val="18"/>
                <w:szCs w:val="18"/>
                <w:lang w:eastAsia="pt-BR"/>
              </w:rPr>
              <w:t>Área 5</w:t>
            </w:r>
          </w:p>
        </w:tc>
      </w:tr>
      <w:tr w:rsidR="00F5487F" w:rsidRPr="00AE2A0D" w:rsidTr="00FC668B">
        <w:trPr>
          <w:trHeight w:val="300"/>
        </w:trPr>
        <w:tc>
          <w:tcPr>
            <w:tcW w:w="1979" w:type="pct"/>
            <w:shd w:val="clear" w:color="auto" w:fill="auto"/>
            <w:noWrap/>
            <w:vAlign w:val="center"/>
            <w:hideMark/>
          </w:tcPr>
          <w:p w:rsidR="00F5487F" w:rsidRPr="00AE2A0D" w:rsidRDefault="00F5487F" w:rsidP="00FC668B">
            <w:pPr>
              <w:spacing w:after="0"/>
              <w:rPr>
                <w:rFonts w:eastAsia="Times New Roman" w:cs="Arial"/>
                <w:sz w:val="18"/>
                <w:szCs w:val="18"/>
                <w:lang w:eastAsia="pt-BR"/>
              </w:rPr>
            </w:pPr>
            <w:r w:rsidRPr="00AE2A0D">
              <w:rPr>
                <w:rFonts w:eastAsia="Times New Roman" w:cs="Arial"/>
                <w:sz w:val="18"/>
                <w:szCs w:val="18"/>
                <w:lang w:eastAsia="pt-BR"/>
              </w:rPr>
              <w:t>Ameaçadas Global (IUCN, 2013)</w:t>
            </w:r>
          </w:p>
        </w:tc>
        <w:tc>
          <w:tcPr>
            <w:tcW w:w="653"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c>
          <w:tcPr>
            <w:tcW w:w="526"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1</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1</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r>
      <w:tr w:rsidR="00F5487F" w:rsidRPr="00AE2A0D" w:rsidTr="00FC668B">
        <w:trPr>
          <w:trHeight w:val="300"/>
        </w:trPr>
        <w:tc>
          <w:tcPr>
            <w:tcW w:w="1979" w:type="pct"/>
            <w:shd w:val="clear" w:color="auto" w:fill="auto"/>
            <w:noWrap/>
            <w:vAlign w:val="center"/>
            <w:hideMark/>
          </w:tcPr>
          <w:p w:rsidR="00F5487F" w:rsidRPr="00AE2A0D" w:rsidRDefault="00F5487F" w:rsidP="00FC668B">
            <w:pPr>
              <w:spacing w:after="0"/>
              <w:rPr>
                <w:rFonts w:eastAsia="Times New Roman" w:cs="Arial"/>
                <w:sz w:val="18"/>
                <w:szCs w:val="18"/>
                <w:lang w:eastAsia="pt-BR"/>
              </w:rPr>
            </w:pPr>
            <w:r w:rsidRPr="00AE2A0D">
              <w:rPr>
                <w:rFonts w:eastAsia="Times New Roman" w:cs="Arial"/>
                <w:sz w:val="18"/>
                <w:szCs w:val="18"/>
                <w:lang w:eastAsia="pt-BR"/>
              </w:rPr>
              <w:t>Ameaçadas Brasil (MACHADO et al., 2008)</w:t>
            </w:r>
          </w:p>
        </w:tc>
        <w:tc>
          <w:tcPr>
            <w:tcW w:w="653"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1</w:t>
            </w:r>
          </w:p>
        </w:tc>
        <w:tc>
          <w:tcPr>
            <w:tcW w:w="526"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0</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r>
      <w:tr w:rsidR="00F5487F" w:rsidRPr="00AE2A0D" w:rsidTr="00FC668B">
        <w:trPr>
          <w:trHeight w:val="300"/>
        </w:trPr>
        <w:tc>
          <w:tcPr>
            <w:tcW w:w="1979" w:type="pct"/>
            <w:shd w:val="clear" w:color="auto" w:fill="auto"/>
            <w:noWrap/>
            <w:vAlign w:val="center"/>
            <w:hideMark/>
          </w:tcPr>
          <w:p w:rsidR="00F5487F" w:rsidRPr="00AE2A0D" w:rsidRDefault="00F5487F" w:rsidP="00FC668B">
            <w:pPr>
              <w:spacing w:after="0"/>
              <w:rPr>
                <w:rFonts w:eastAsia="Times New Roman" w:cs="Arial"/>
                <w:sz w:val="18"/>
                <w:szCs w:val="18"/>
                <w:lang w:eastAsia="pt-BR"/>
              </w:rPr>
            </w:pPr>
            <w:r w:rsidRPr="00AE2A0D">
              <w:rPr>
                <w:rFonts w:eastAsia="Times New Roman" w:cs="Arial"/>
                <w:sz w:val="18"/>
                <w:szCs w:val="18"/>
                <w:lang w:eastAsia="pt-BR"/>
              </w:rPr>
              <w:t>Ameaçadas São Paulo (SMA, 2014)</w:t>
            </w:r>
          </w:p>
        </w:tc>
        <w:tc>
          <w:tcPr>
            <w:tcW w:w="653"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8</w:t>
            </w:r>
          </w:p>
        </w:tc>
        <w:tc>
          <w:tcPr>
            <w:tcW w:w="526"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2</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2</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r>
      <w:tr w:rsidR="00F5487F" w:rsidRPr="00AE2A0D" w:rsidTr="00FC668B">
        <w:trPr>
          <w:trHeight w:val="300"/>
        </w:trPr>
        <w:tc>
          <w:tcPr>
            <w:tcW w:w="1979" w:type="pct"/>
            <w:shd w:val="clear" w:color="auto" w:fill="auto"/>
            <w:noWrap/>
            <w:vAlign w:val="center"/>
            <w:hideMark/>
          </w:tcPr>
          <w:p w:rsidR="00F5487F" w:rsidRPr="00AE2A0D" w:rsidRDefault="00F5487F" w:rsidP="00FC668B">
            <w:pPr>
              <w:spacing w:after="0"/>
              <w:rPr>
                <w:rFonts w:eastAsia="Times New Roman" w:cs="Arial"/>
                <w:sz w:val="18"/>
                <w:szCs w:val="18"/>
                <w:lang w:eastAsia="pt-BR"/>
              </w:rPr>
            </w:pPr>
            <w:r w:rsidRPr="00AE2A0D">
              <w:rPr>
                <w:rFonts w:eastAsia="Times New Roman" w:cs="Arial"/>
                <w:sz w:val="18"/>
                <w:szCs w:val="18"/>
                <w:lang w:eastAsia="pt-BR"/>
              </w:rPr>
              <w:t>Endêmicas (BROOKS et al., 1999)</w:t>
            </w:r>
          </w:p>
        </w:tc>
        <w:tc>
          <w:tcPr>
            <w:tcW w:w="653"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64</w:t>
            </w:r>
          </w:p>
        </w:tc>
        <w:tc>
          <w:tcPr>
            <w:tcW w:w="526"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34</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1</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10</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5</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32</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2</w:t>
            </w:r>
          </w:p>
        </w:tc>
      </w:tr>
      <w:tr w:rsidR="00F5487F" w:rsidRPr="00AE2A0D" w:rsidTr="00FC668B">
        <w:trPr>
          <w:trHeight w:val="300"/>
        </w:trPr>
        <w:tc>
          <w:tcPr>
            <w:tcW w:w="1979" w:type="pct"/>
            <w:shd w:val="clear" w:color="auto" w:fill="auto"/>
            <w:noWrap/>
            <w:vAlign w:val="center"/>
            <w:hideMark/>
          </w:tcPr>
          <w:p w:rsidR="00F5487F" w:rsidRPr="00AE2A0D" w:rsidRDefault="00F5487F" w:rsidP="00FC668B">
            <w:pPr>
              <w:spacing w:after="0"/>
              <w:rPr>
                <w:rFonts w:eastAsia="Times New Roman" w:cs="Arial"/>
                <w:sz w:val="18"/>
                <w:szCs w:val="18"/>
                <w:lang w:eastAsia="pt-BR"/>
              </w:rPr>
            </w:pPr>
            <w:r w:rsidRPr="00AE2A0D">
              <w:rPr>
                <w:rFonts w:eastAsia="Times New Roman" w:cs="Arial"/>
                <w:sz w:val="18"/>
                <w:szCs w:val="18"/>
                <w:lang w:eastAsia="pt-BR"/>
              </w:rPr>
              <w:t>Cites (CITES, 2011; BRASIL, 2010)</w:t>
            </w:r>
          </w:p>
        </w:tc>
        <w:tc>
          <w:tcPr>
            <w:tcW w:w="653"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33</w:t>
            </w:r>
          </w:p>
        </w:tc>
        <w:tc>
          <w:tcPr>
            <w:tcW w:w="526"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21</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10</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12</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5</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11</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8</w:t>
            </w:r>
          </w:p>
        </w:tc>
      </w:tr>
      <w:tr w:rsidR="00F5487F" w:rsidRPr="00AE2A0D" w:rsidTr="00FC668B">
        <w:trPr>
          <w:trHeight w:val="300"/>
        </w:trPr>
        <w:tc>
          <w:tcPr>
            <w:tcW w:w="1979" w:type="pct"/>
            <w:shd w:val="clear" w:color="auto" w:fill="auto"/>
            <w:noWrap/>
            <w:vAlign w:val="center"/>
            <w:hideMark/>
          </w:tcPr>
          <w:p w:rsidR="00F5487F" w:rsidRPr="00AE2A0D" w:rsidRDefault="00F5487F" w:rsidP="00FC668B">
            <w:pPr>
              <w:spacing w:after="0"/>
              <w:rPr>
                <w:rFonts w:eastAsia="Times New Roman" w:cs="Arial"/>
                <w:sz w:val="18"/>
                <w:szCs w:val="18"/>
                <w:lang w:eastAsia="pt-BR"/>
              </w:rPr>
            </w:pPr>
            <w:r w:rsidRPr="00AE2A0D">
              <w:rPr>
                <w:rFonts w:eastAsia="Times New Roman" w:cs="Arial"/>
                <w:sz w:val="18"/>
                <w:szCs w:val="18"/>
                <w:lang w:eastAsia="pt-BR"/>
              </w:rPr>
              <w:t>Xerimbabos (SICK, 1997; SIMON, 2009)</w:t>
            </w:r>
          </w:p>
        </w:tc>
        <w:tc>
          <w:tcPr>
            <w:tcW w:w="653"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40</w:t>
            </w:r>
          </w:p>
        </w:tc>
        <w:tc>
          <w:tcPr>
            <w:tcW w:w="526"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33</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15</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21</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16</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22</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14</w:t>
            </w:r>
          </w:p>
        </w:tc>
      </w:tr>
      <w:tr w:rsidR="00F5487F" w:rsidRPr="00AE2A0D" w:rsidTr="00FC668B">
        <w:trPr>
          <w:trHeight w:val="300"/>
        </w:trPr>
        <w:tc>
          <w:tcPr>
            <w:tcW w:w="1979" w:type="pct"/>
            <w:shd w:val="clear" w:color="auto" w:fill="auto"/>
            <w:noWrap/>
            <w:vAlign w:val="center"/>
            <w:hideMark/>
          </w:tcPr>
          <w:p w:rsidR="00F5487F" w:rsidRPr="00AE2A0D" w:rsidRDefault="00F5487F" w:rsidP="00FC668B">
            <w:pPr>
              <w:spacing w:after="0"/>
              <w:rPr>
                <w:rFonts w:eastAsia="Times New Roman" w:cs="Arial"/>
                <w:sz w:val="18"/>
                <w:szCs w:val="18"/>
                <w:lang w:eastAsia="pt-BR"/>
              </w:rPr>
            </w:pPr>
            <w:r w:rsidRPr="00AE2A0D">
              <w:rPr>
                <w:rFonts w:eastAsia="Times New Roman" w:cs="Arial"/>
                <w:sz w:val="18"/>
                <w:szCs w:val="18"/>
                <w:lang w:eastAsia="pt-BR"/>
              </w:rPr>
              <w:t>Cinegéticas (SICK, 1997; SIMON, 2009)</w:t>
            </w:r>
          </w:p>
        </w:tc>
        <w:tc>
          <w:tcPr>
            <w:tcW w:w="653"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24</w:t>
            </w:r>
          </w:p>
        </w:tc>
        <w:tc>
          <w:tcPr>
            <w:tcW w:w="526"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17</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6</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8</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6</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9</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4</w:t>
            </w:r>
          </w:p>
        </w:tc>
      </w:tr>
      <w:tr w:rsidR="00F5487F" w:rsidRPr="00AE2A0D" w:rsidTr="00FC668B">
        <w:trPr>
          <w:trHeight w:val="300"/>
        </w:trPr>
        <w:tc>
          <w:tcPr>
            <w:tcW w:w="1979" w:type="pct"/>
            <w:shd w:val="clear" w:color="auto" w:fill="auto"/>
            <w:noWrap/>
            <w:vAlign w:val="center"/>
            <w:hideMark/>
          </w:tcPr>
          <w:p w:rsidR="00F5487F" w:rsidRPr="00AE2A0D" w:rsidRDefault="00F5487F" w:rsidP="00FC668B">
            <w:pPr>
              <w:spacing w:after="0"/>
              <w:rPr>
                <w:rFonts w:eastAsia="Times New Roman" w:cs="Arial"/>
                <w:sz w:val="18"/>
                <w:szCs w:val="18"/>
                <w:lang w:eastAsia="pt-BR"/>
              </w:rPr>
            </w:pPr>
            <w:r w:rsidRPr="00AE2A0D">
              <w:rPr>
                <w:rFonts w:eastAsia="Times New Roman" w:cs="Arial"/>
                <w:sz w:val="18"/>
                <w:szCs w:val="18"/>
                <w:lang w:eastAsia="pt-BR"/>
              </w:rPr>
              <w:lastRenderedPageBreak/>
              <w:t>Invasoras (SICK, 1997)</w:t>
            </w:r>
          </w:p>
        </w:tc>
        <w:tc>
          <w:tcPr>
            <w:tcW w:w="653"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24</w:t>
            </w:r>
          </w:p>
        </w:tc>
        <w:tc>
          <w:tcPr>
            <w:tcW w:w="526"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23</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14</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14</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13</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7</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5</w:t>
            </w:r>
          </w:p>
        </w:tc>
      </w:tr>
      <w:tr w:rsidR="00F5487F" w:rsidRPr="00AE2A0D" w:rsidTr="00FC668B">
        <w:trPr>
          <w:trHeight w:val="300"/>
        </w:trPr>
        <w:tc>
          <w:tcPr>
            <w:tcW w:w="1979" w:type="pct"/>
            <w:shd w:val="clear" w:color="auto" w:fill="auto"/>
            <w:noWrap/>
            <w:vAlign w:val="center"/>
            <w:hideMark/>
          </w:tcPr>
          <w:p w:rsidR="00F5487F" w:rsidRPr="00AE2A0D" w:rsidRDefault="00F5487F" w:rsidP="00FC668B">
            <w:pPr>
              <w:spacing w:after="0"/>
              <w:rPr>
                <w:rFonts w:eastAsia="Times New Roman" w:cs="Arial"/>
                <w:sz w:val="18"/>
                <w:szCs w:val="18"/>
                <w:lang w:eastAsia="pt-BR"/>
              </w:rPr>
            </w:pPr>
            <w:r w:rsidRPr="00AE2A0D">
              <w:rPr>
                <w:rFonts w:eastAsia="Times New Roman" w:cs="Arial"/>
                <w:sz w:val="18"/>
                <w:szCs w:val="18"/>
                <w:lang w:eastAsia="pt-BR"/>
              </w:rPr>
              <w:t>Migratórias (CBRO, 2011)</w:t>
            </w:r>
          </w:p>
        </w:tc>
        <w:tc>
          <w:tcPr>
            <w:tcW w:w="653"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1</w:t>
            </w:r>
          </w:p>
        </w:tc>
        <w:tc>
          <w:tcPr>
            <w:tcW w:w="526"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c>
          <w:tcPr>
            <w:tcW w:w="368" w:type="pct"/>
            <w:shd w:val="clear" w:color="auto" w:fill="auto"/>
            <w:noWrap/>
            <w:vAlign w:val="center"/>
            <w:hideMark/>
          </w:tcPr>
          <w:p w:rsidR="00F5487F" w:rsidRPr="00AE2A0D" w:rsidRDefault="00F5487F" w:rsidP="00FC668B">
            <w:pPr>
              <w:spacing w:after="0"/>
              <w:jc w:val="center"/>
              <w:rPr>
                <w:rFonts w:eastAsia="Times New Roman" w:cs="Arial"/>
                <w:sz w:val="18"/>
                <w:szCs w:val="18"/>
                <w:lang w:eastAsia="pt-BR"/>
              </w:rPr>
            </w:pPr>
            <w:r w:rsidRPr="00AE2A0D">
              <w:rPr>
                <w:rFonts w:eastAsia="Times New Roman" w:cs="Arial"/>
                <w:sz w:val="18"/>
                <w:szCs w:val="18"/>
                <w:lang w:eastAsia="pt-BR"/>
              </w:rPr>
              <w:t>-</w:t>
            </w:r>
          </w:p>
        </w:tc>
      </w:tr>
    </w:tbl>
    <w:p w:rsidR="00F5487F" w:rsidRPr="00AE2A0D" w:rsidRDefault="00F5487F" w:rsidP="00F5487F">
      <w:pPr>
        <w:spacing w:before="120"/>
      </w:pPr>
      <w:r w:rsidRPr="00AE2A0D">
        <w:t xml:space="preserve">Ao todo, das 64 espécies endêmicas (Mata Atlântica) de potencial ocorrência na região, 34 foram registradas através do levantamento primário de dados. Este montante representa 18% do total de espécies observadas (n=194). A área 4 obteve o maior número de endemismos (n=32), seguida pela área 2 (n=10), área 3 (n=5), área 5 (n=2) e área 1, com somente uma espécie endêmica. Mais uma vez o grande número de espécies endêmicas registradas na Área 4, em detrimento </w:t>
      </w:r>
      <w:r>
        <w:t>d</w:t>
      </w:r>
      <w:r w:rsidRPr="00AE2A0D">
        <w:t>as demais localidades sugere uma diferença na qualidade ambiental dos diferentes fragmentos amostrados.</w:t>
      </w:r>
    </w:p>
    <w:p w:rsidR="00F5487F" w:rsidRPr="00AE2A0D" w:rsidRDefault="00F5487F" w:rsidP="00F5487F">
      <w:r w:rsidRPr="00AE2A0D">
        <w:t>Dentre os endemismos de Mata Atlântica observados, cita-se a saracura-do-mato (</w:t>
      </w:r>
      <w:r w:rsidRPr="00AE2A0D">
        <w:rPr>
          <w:i/>
        </w:rPr>
        <w:t>Aramides saracura</w:t>
      </w:r>
      <w:r w:rsidRPr="00AE2A0D">
        <w:t>), o beija-flor-de-fronte-violeta (</w:t>
      </w:r>
      <w:r w:rsidRPr="00AE2A0D">
        <w:rPr>
          <w:i/>
        </w:rPr>
        <w:t>Thalurania glaucopis</w:t>
      </w:r>
      <w:r w:rsidRPr="00AE2A0D">
        <w:t>), o pichoré (</w:t>
      </w:r>
      <w:r w:rsidRPr="00AE2A0D">
        <w:rPr>
          <w:i/>
        </w:rPr>
        <w:t>Synallaxis ruficapilla</w:t>
      </w:r>
      <w:r w:rsidRPr="00AE2A0D">
        <w:t>), o joão-botina-da-brejo (</w:t>
      </w:r>
      <w:r w:rsidRPr="00AE2A0D">
        <w:rPr>
          <w:i/>
        </w:rPr>
        <w:t>Phacellodomus erythrophthalmus</w:t>
      </w:r>
      <w:r w:rsidRPr="00AE2A0D">
        <w:t>) e o barraqueiro-de-olho-branco (</w:t>
      </w:r>
      <w:r w:rsidRPr="00AE2A0D">
        <w:rPr>
          <w:i/>
        </w:rPr>
        <w:t>Automolus leucophthalmus</w:t>
      </w:r>
      <w:r w:rsidRPr="00AE2A0D">
        <w:t>).</w:t>
      </w:r>
    </w:p>
    <w:p w:rsidR="00F5487F" w:rsidRPr="00AE2A0D" w:rsidRDefault="00F5487F" w:rsidP="00F5487F">
      <w:r w:rsidRPr="00AE2A0D">
        <w:t>Das 24 espécies cinegéticas levantadas através da compilação de dados secundários, 17 foram registradas em campo. Este grupo, no que tange os dados primários, é formado principalmente pelos columbídeos (pombas e rolinhas) com oito espécies, pelos tinamídeos (codornas e inhambus) com duas espécies, pelos anatídeos (patos e marrecos) com uma espécie, pelos ralídeos (saracuras e sanãs) com quatro espécies</w:t>
      </w:r>
      <w:r>
        <w:t>,</w:t>
      </w:r>
      <w:r w:rsidRPr="00AE2A0D">
        <w:t xml:space="preserve"> e pelos Cracídeos (jacus) com uma única espécie registrada.  Destacam-se algumas aves por serem, normalmente, mais visadas pelos caçadores do que outras. São elas: a inhambu-chororó (</w:t>
      </w:r>
      <w:r w:rsidRPr="00AE2A0D">
        <w:rPr>
          <w:i/>
        </w:rPr>
        <w:t>Crypturellus parvirostris</w:t>
      </w:r>
      <w:r w:rsidRPr="00AE2A0D">
        <w:t>), o inhabuguaçu (</w:t>
      </w:r>
      <w:r w:rsidRPr="00AE2A0D">
        <w:rPr>
          <w:i/>
        </w:rPr>
        <w:t>C. obsoletus</w:t>
      </w:r>
      <w:r w:rsidRPr="00AE2A0D">
        <w:t>) e o jacuguaçu (</w:t>
      </w:r>
      <w:r w:rsidRPr="00AE2A0D">
        <w:rPr>
          <w:i/>
        </w:rPr>
        <w:t>Penelope obscura</w:t>
      </w:r>
      <w:r w:rsidRPr="00AE2A0D">
        <w:t>).</w:t>
      </w:r>
    </w:p>
    <w:p w:rsidR="00F5487F" w:rsidRPr="00AE2A0D" w:rsidRDefault="00F5487F" w:rsidP="00F5487F">
      <w:r w:rsidRPr="00AE2A0D">
        <w:t>A CITES (2011) e a IN n</w:t>
      </w:r>
      <w:r w:rsidRPr="000B0F5E">
        <w:rPr>
          <w:vertAlign w:val="superscript"/>
        </w:rPr>
        <w:t>o</w:t>
      </w:r>
      <w:r w:rsidRPr="00AE2A0D">
        <w:t xml:space="preserve"> 1 (MMA, 2010) incluem em seus apêndices espécies ameaçadas de extinção cujo comércio é permitido somente em condições excepcionais (apêndice I) ou espécies não necessariamente ameaçadas, mas cujo comércio deve ser controlado (apêndice II). No total, foram encontradas em campo 21 espécies incluídas em algum dos apêndices citados. Dentre essas, destacam-se os membros da família Accipitridae, como o gavião-peneira (</w:t>
      </w:r>
      <w:r w:rsidRPr="00AE2A0D">
        <w:rPr>
          <w:i/>
        </w:rPr>
        <w:t>Elanus leucurus</w:t>
      </w:r>
      <w:r w:rsidRPr="00AE2A0D">
        <w:t>), Falconidae, como o carrapateiro (</w:t>
      </w:r>
      <w:r w:rsidRPr="00AE2A0D">
        <w:rPr>
          <w:i/>
        </w:rPr>
        <w:t>Milvago chimachima</w:t>
      </w:r>
      <w:r w:rsidRPr="00AE2A0D">
        <w:t>), Psittacidae, como o tuim (</w:t>
      </w:r>
      <w:r w:rsidRPr="00AE2A0D">
        <w:rPr>
          <w:i/>
        </w:rPr>
        <w:t>Forpus xanthopterygius</w:t>
      </w:r>
      <w:r w:rsidRPr="00AE2A0D">
        <w:t>), Strigidae, como a coruja-do-mato (</w:t>
      </w:r>
      <w:r w:rsidRPr="00AE2A0D">
        <w:rPr>
          <w:i/>
        </w:rPr>
        <w:t>Megascops choliba</w:t>
      </w:r>
      <w:r w:rsidRPr="00AE2A0D">
        <w:t>), e Trochilidae, como a estrelinha-ametista (</w:t>
      </w:r>
      <w:r w:rsidRPr="00AE2A0D">
        <w:rPr>
          <w:i/>
        </w:rPr>
        <w:t>Calliphlox amethystina</w:t>
      </w:r>
      <w:r w:rsidRPr="00AE2A0D">
        <w:t>).</w:t>
      </w:r>
    </w:p>
    <w:p w:rsidR="00F5487F" w:rsidRPr="00AE2A0D" w:rsidRDefault="00F5487F" w:rsidP="00F5487F">
      <w:r w:rsidRPr="00AE2A0D">
        <w:t xml:space="preserve">Além das aves já citadas, é importante notar que outras não constantes nos Apêndices do CITES e na </w:t>
      </w:r>
      <w:r>
        <w:t xml:space="preserve">IN </w:t>
      </w:r>
      <w:r w:rsidRPr="00AE2A0D">
        <w:t>n</w:t>
      </w:r>
      <w:r w:rsidRPr="000B0F5E">
        <w:rPr>
          <w:vertAlign w:val="superscript"/>
        </w:rPr>
        <w:t>o</w:t>
      </w:r>
      <w:r w:rsidRPr="00AE2A0D">
        <w:t xml:space="preserve"> 1 (BRASIL, 2010) possuem interesse popular para fins domésticos (xerimbabos e uso econômico), como aves canoras e "decorativas", frequentemente apreendidas em feiras de comércio de animais. Dentre as 194 espécies registradas em campo (dados primários), 33 estão associadas a esses interesses.</w:t>
      </w:r>
    </w:p>
    <w:p w:rsidR="00F5487F" w:rsidRPr="00AE2A0D" w:rsidRDefault="00F5487F" w:rsidP="00F5487F">
      <w:r w:rsidRPr="00AE2A0D">
        <w:t>Cabe citar que na área 3, localizada em meio a uma comunidade residencial foi comum observar animais engaiolados, principalmente o coleirinho (</w:t>
      </w:r>
      <w:r w:rsidRPr="00AE2A0D">
        <w:rPr>
          <w:i/>
        </w:rPr>
        <w:t>Sporophila caerulescens</w:t>
      </w:r>
      <w:r w:rsidRPr="00AE2A0D">
        <w:t>), bigodinho (</w:t>
      </w:r>
      <w:r w:rsidRPr="00AE2A0D">
        <w:rPr>
          <w:i/>
        </w:rPr>
        <w:t>Sporophila lineola</w:t>
      </w:r>
      <w:r w:rsidRPr="00AE2A0D">
        <w:t>), e o trinca-ferro (</w:t>
      </w:r>
      <w:r w:rsidRPr="00AE2A0D">
        <w:rPr>
          <w:i/>
        </w:rPr>
        <w:t>Saltator similis</w:t>
      </w:r>
      <w:r w:rsidRPr="00AE2A0D">
        <w:t>). Dessas, apenas o coleirinho e o trinca-ferro foram registrados em campo, embora seus valores de abundância observados estejam entre os menores de todas as espécies, fato que sugere que a constante captura para fins de comércio e recreação já afetam seus estoques populacionais na região.</w:t>
      </w:r>
    </w:p>
    <w:p w:rsidR="00F5487F" w:rsidRPr="00AE2A0D" w:rsidRDefault="00F5487F" w:rsidP="00F5487F">
      <w:r w:rsidRPr="00AE2A0D">
        <w:t>Outras espécies encontradas no levantamento de dados primários são alvos recorrentes de traficantes de animais e criadores ilegais de aves, seja por suas características canoras, destacando-se aqui o sabiá-laranjeira (</w:t>
      </w:r>
      <w:r w:rsidRPr="00AE2A0D">
        <w:rPr>
          <w:i/>
        </w:rPr>
        <w:t>Turdus rufiventris</w:t>
      </w:r>
      <w:r w:rsidRPr="00AE2A0D">
        <w:t>), o tiziu (</w:t>
      </w:r>
      <w:r w:rsidRPr="00AE2A0D">
        <w:rPr>
          <w:i/>
        </w:rPr>
        <w:t>Volatinia jacarina</w:t>
      </w:r>
      <w:r w:rsidRPr="00AE2A0D">
        <w:t>), a graúna (</w:t>
      </w:r>
      <w:r w:rsidRPr="00AE2A0D">
        <w:rPr>
          <w:i/>
        </w:rPr>
        <w:t>Gnorimopsar chopi</w:t>
      </w:r>
      <w:r w:rsidRPr="00AE2A0D">
        <w:t>) ou por suas características decorativas, como tiê-sangue (</w:t>
      </w:r>
      <w:r w:rsidRPr="00AE2A0D">
        <w:rPr>
          <w:i/>
        </w:rPr>
        <w:t>Ramphocelus bresilius</w:t>
      </w:r>
      <w:r w:rsidRPr="00AE2A0D">
        <w:t>) e o fim-fim (</w:t>
      </w:r>
      <w:r w:rsidRPr="00AE2A0D">
        <w:rPr>
          <w:i/>
        </w:rPr>
        <w:t>Euphonia chlorotica</w:t>
      </w:r>
      <w:r w:rsidRPr="00AE2A0D">
        <w:t>).</w:t>
      </w:r>
    </w:p>
    <w:p w:rsidR="00F5487F" w:rsidRPr="00AE2A0D" w:rsidRDefault="00F5487F" w:rsidP="00F5487F">
      <w:r w:rsidRPr="00AE2A0D">
        <w:t>No que diz respeito às aves em delicada situação conservacionista, incluindo, portanto, espécies ameaçadas de extinção e também listadas em categorias secundárias (“quase ameaçadas” e “insuficientemente conhecidas”) foram registradas em campo qua</w:t>
      </w:r>
      <w:r>
        <w:t>tr</w:t>
      </w:r>
      <w:r w:rsidRPr="00AE2A0D">
        <w:t xml:space="preserve">o espécies pertencentes a </w:t>
      </w:r>
      <w:r w:rsidRPr="00AE2A0D">
        <w:lastRenderedPageBreak/>
        <w:t>estes grupos. Duas podem ser consideradas verdadeiramente ameaçadas, sendo a araponga (</w:t>
      </w:r>
      <w:r w:rsidRPr="00AE2A0D">
        <w:rPr>
          <w:i/>
        </w:rPr>
        <w:t>Procnias nudicollis</w:t>
      </w:r>
      <w:r w:rsidRPr="00AE2A0D">
        <w:t>) listada global e regionalmente como “vulnerável” à extinção e o pavó (</w:t>
      </w:r>
      <w:r w:rsidRPr="00AE2A0D">
        <w:rPr>
          <w:i/>
        </w:rPr>
        <w:t>Pyroderus scutatus</w:t>
      </w:r>
      <w:r w:rsidRPr="00AE2A0D">
        <w:t>) considerado “vulnerável” no estado de São Paulo. Dentre as espécies presentes apenas nos dados secundários, destacam-se as aves globalmente ameaçadas (IUCN, 2013), como o gavião-pombo-pequeno (</w:t>
      </w:r>
      <w:r w:rsidRPr="00AE2A0D">
        <w:rPr>
          <w:i/>
        </w:rPr>
        <w:t>Amadonastur lacernulatus</w:t>
      </w:r>
      <w:r w:rsidRPr="00AE2A0D">
        <w:t>), ou mesmo somente regionalmente ameaçadas, como é o caso do chibante (</w:t>
      </w:r>
      <w:r w:rsidRPr="00AE2A0D">
        <w:rPr>
          <w:i/>
        </w:rPr>
        <w:t>Laniisoma elegans</w:t>
      </w:r>
      <w:r w:rsidRPr="00AE2A0D">
        <w:t>) e do gavião-pega-macaco (</w:t>
      </w:r>
      <w:r w:rsidRPr="00AE2A0D">
        <w:rPr>
          <w:i/>
        </w:rPr>
        <w:t>Spizaetus tyrannus</w:t>
      </w:r>
      <w:r w:rsidRPr="00AE2A0D">
        <w:t xml:space="preserve">). </w:t>
      </w:r>
    </w:p>
    <w:p w:rsidR="00F5487F" w:rsidRPr="000B0F5E" w:rsidRDefault="00F5487F" w:rsidP="00F5487F">
      <w:pPr>
        <w:rPr>
          <w:shd w:val="clear" w:color="auto" w:fill="FFFFFF"/>
        </w:rPr>
      </w:pPr>
      <w:r w:rsidRPr="000B0F5E">
        <w:rPr>
          <w:shd w:val="clear" w:color="auto" w:fill="FFFFFF"/>
        </w:rPr>
        <w:t>No que tange as espécies incluídas em categorias secundárias de ameaça de extinção, destaca-se os regionalmente “quase ameaçados” registrados em campo, como é o caso do</w:t>
      </w:r>
      <w:r w:rsidRPr="000B0F5E">
        <w:rPr>
          <w:rStyle w:val="apple-converted-space"/>
          <w:rFonts w:cs="Arial"/>
          <w:shd w:val="clear" w:color="auto" w:fill="FFFFFF"/>
        </w:rPr>
        <w:t> </w:t>
      </w:r>
      <w:r w:rsidRPr="000B0F5E">
        <w:rPr>
          <w:bCs/>
          <w:shd w:val="clear" w:color="auto" w:fill="FFFFFF"/>
        </w:rPr>
        <w:t>uru (</w:t>
      </w:r>
      <w:r w:rsidRPr="000B0F5E">
        <w:rPr>
          <w:bCs/>
          <w:i/>
          <w:shd w:val="clear" w:color="auto" w:fill="FFFFFF"/>
        </w:rPr>
        <w:t>Odontophorus capueira</w:t>
      </w:r>
      <w:r w:rsidRPr="000B0F5E">
        <w:rPr>
          <w:bCs/>
          <w:shd w:val="clear" w:color="auto" w:fill="FFFFFF"/>
        </w:rPr>
        <w:t>)</w:t>
      </w:r>
      <w:r w:rsidRPr="000B0F5E">
        <w:rPr>
          <w:rStyle w:val="apple-converted-space"/>
          <w:rFonts w:cs="Arial"/>
          <w:shd w:val="clear" w:color="auto" w:fill="FFFFFF"/>
        </w:rPr>
        <w:t> </w:t>
      </w:r>
      <w:r w:rsidRPr="000B0F5E">
        <w:rPr>
          <w:shd w:val="clear" w:color="auto" w:fill="FFFFFF"/>
        </w:rPr>
        <w:t>e da graúna (</w:t>
      </w:r>
      <w:r w:rsidRPr="000B0F5E">
        <w:rPr>
          <w:i/>
          <w:iCs/>
          <w:shd w:val="clear" w:color="auto" w:fill="FFFFFF"/>
        </w:rPr>
        <w:t>Gnorimopsar chopi</w:t>
      </w:r>
      <w:r w:rsidRPr="000B0F5E">
        <w:rPr>
          <w:shd w:val="clear" w:color="auto" w:fill="FFFFFF"/>
        </w:rPr>
        <w:t xml:space="preserve">). </w:t>
      </w:r>
    </w:p>
    <w:p w:rsidR="00F5487F" w:rsidRPr="00AE2A0D" w:rsidRDefault="00F5487F" w:rsidP="00F5487F">
      <w:r w:rsidRPr="00AE2A0D">
        <w:t>Embora nenhuma espécie migratória tenha sido encontrada em campo, ao menos uma ave foi citada na lista de potencial ocorrência na região: a águia-pescadora (</w:t>
      </w:r>
      <w:r w:rsidRPr="00AE2A0D">
        <w:rPr>
          <w:i/>
        </w:rPr>
        <w:t>Pandion haliaetus</w:t>
      </w:r>
      <w:r w:rsidRPr="00AE2A0D">
        <w:t xml:space="preserve">). Tal fato pode estar associado a um artefato amostral, uma vez que as áreas pesquisadas possuem ambientes favoráveis à presença da maior parte dos migrantes que ocorrem em São Paulo, representados por espécies tipicamente aquáticas como é o caso dos membros da família Scolapacidae (maçaricos) e Charadriidae (Batuíras). Tais aves teriam nas represas de Jaguari e Atibainha ambiente ótimo para sua presença durante seu período de invernada no Brasil, entretanto, como tais locais encontravam-se abaixo dos limites hídricos normais, o registro das mesmas pode ter sido dificultado pela concentração populacional de indivíduos em trechos mais favoráveis a sua alimentação. </w:t>
      </w:r>
    </w:p>
    <w:p w:rsidR="00F5487F" w:rsidRPr="00AE2A0D" w:rsidRDefault="00F5487F" w:rsidP="00F5487F">
      <w:r w:rsidRPr="00AE2A0D">
        <w:t>Deve-se destacar ainda que o CBRO (2011) considera espécie migratória apenas as aves que realizam deslocamentos sazonais de grandes distâncias, como os intercontinentais. Diversas outras aves realizam movimentos de curtas distâncias, e poderiam ser consideradas visitantes sazonais na área de estudo. Este grupo é formado principalmente por aves pertencentes à família Tyrannidae, como é o caso do suiriri-pequeno (</w:t>
      </w:r>
      <w:r w:rsidRPr="00AE2A0D">
        <w:rPr>
          <w:i/>
        </w:rPr>
        <w:t>Satrapa icterophrys</w:t>
      </w:r>
      <w:r w:rsidRPr="00AE2A0D">
        <w:t>), bem-te-vi-rajado (</w:t>
      </w:r>
      <w:r w:rsidRPr="00AE2A0D">
        <w:rPr>
          <w:i/>
        </w:rPr>
        <w:t>Myiodinastes maculatus</w:t>
      </w:r>
      <w:r w:rsidRPr="00AE2A0D">
        <w:t>), bem-te-vi-pirata (</w:t>
      </w:r>
      <w:r w:rsidRPr="00AE2A0D">
        <w:rPr>
          <w:i/>
        </w:rPr>
        <w:t>Legatus leucophaius</w:t>
      </w:r>
      <w:r w:rsidRPr="00AE2A0D">
        <w:t>), peitica (</w:t>
      </w:r>
      <w:r w:rsidRPr="00AE2A0D">
        <w:rPr>
          <w:i/>
        </w:rPr>
        <w:t>Empidonomus varius</w:t>
      </w:r>
      <w:r w:rsidRPr="00AE2A0D">
        <w:t>) e tesourinha (</w:t>
      </w:r>
      <w:r w:rsidRPr="00AE2A0D">
        <w:rPr>
          <w:i/>
        </w:rPr>
        <w:t>Tyrannus savanna</w:t>
      </w:r>
      <w:r w:rsidRPr="00AE2A0D">
        <w:t>), além de alguns membros de outras famílias, como a juruviara (</w:t>
      </w:r>
      <w:r w:rsidRPr="00AE2A0D">
        <w:rPr>
          <w:i/>
        </w:rPr>
        <w:t>Vireo olivaceus</w:t>
      </w:r>
      <w:r w:rsidRPr="00AE2A0D">
        <w:t>) e saíra-viúva (</w:t>
      </w:r>
      <w:r w:rsidRPr="00AE2A0D">
        <w:rPr>
          <w:i/>
        </w:rPr>
        <w:t>Pipraeidea melanonota</w:t>
      </w:r>
      <w:r w:rsidRPr="00AE2A0D">
        <w:t>).</w:t>
      </w:r>
    </w:p>
    <w:p w:rsidR="00F5487F" w:rsidRPr="00AE2A0D" w:rsidRDefault="00F5487F" w:rsidP="00F5487F">
      <w:r w:rsidRPr="00AE2A0D">
        <w:t>Com relação às espécies exóticas, introduzidas e invasoras, constatou-se em campo a presença de 23 das 24 aves de potencial ocorrência na área do empreendimento. Nesse caso, dois grupos distintos podem ser observados. O primeiro é formado por aves típicas do Brasil Central que se favoreceram da destruição da Mata Atlântica para expandir sua distribuição. Fazem parte desse grupo, aves como a lavadeira-mascarada (</w:t>
      </w:r>
      <w:r w:rsidRPr="00AE2A0D">
        <w:rPr>
          <w:i/>
        </w:rPr>
        <w:t>Fluvicola nengeta</w:t>
      </w:r>
      <w:r w:rsidRPr="00AE2A0D">
        <w:t>), o arapaçu-do-cerrado (</w:t>
      </w:r>
      <w:r w:rsidRPr="00AE2A0D">
        <w:rPr>
          <w:i/>
        </w:rPr>
        <w:t>Lepidocolaptes angustirostris</w:t>
      </w:r>
      <w:r w:rsidRPr="00AE2A0D">
        <w:t>), o pombão (</w:t>
      </w:r>
      <w:r w:rsidRPr="00AE2A0D">
        <w:rPr>
          <w:i/>
        </w:rPr>
        <w:t>Patagioenas picazuro</w:t>
      </w:r>
      <w:r w:rsidRPr="00AE2A0D">
        <w:t>) e o casaca-de-couro-da-lama (</w:t>
      </w:r>
      <w:r w:rsidRPr="00AE2A0D">
        <w:rPr>
          <w:i/>
        </w:rPr>
        <w:t>Furnarius figulus</w:t>
      </w:r>
      <w:r w:rsidRPr="00AE2A0D">
        <w:t>). O outro grupo é formado por aves introduzidas no continente americano e quase sempre restritas ao entorno de residências humanas. Estão incluídas nesse grupo espécies como o pombo-doméstico (</w:t>
      </w:r>
      <w:r w:rsidRPr="00AE2A0D">
        <w:rPr>
          <w:i/>
        </w:rPr>
        <w:t>Columba livia</w:t>
      </w:r>
      <w:r w:rsidRPr="00AE2A0D">
        <w:t>) e o pardal (</w:t>
      </w:r>
      <w:r w:rsidRPr="00AE2A0D">
        <w:rPr>
          <w:i/>
        </w:rPr>
        <w:t>Passer domesticus</w:t>
      </w:r>
      <w:r w:rsidRPr="00AE2A0D">
        <w:t>). Tais aves são consideradas praga em algumas regiões do mundo, sendo alvos recorrentes de discussões de manejo e controle sanitário.</w:t>
      </w:r>
    </w:p>
    <w:p w:rsidR="00FC668B" w:rsidRPr="00AE2A0D" w:rsidRDefault="00FC668B" w:rsidP="00FC668B">
      <w:pPr>
        <w:pStyle w:val="Ttulo4"/>
      </w:pPr>
      <w:bookmarkStart w:id="101" w:name="_Toc402254391"/>
      <w:bookmarkStart w:id="102" w:name="_Toc411871205"/>
      <w:r w:rsidRPr="00AE2A0D">
        <w:t>Herpetofauna</w:t>
      </w:r>
      <w:bookmarkEnd w:id="101"/>
      <w:bookmarkEnd w:id="102"/>
    </w:p>
    <w:p w:rsidR="00FC668B" w:rsidRPr="00AE2A0D" w:rsidRDefault="00FC668B" w:rsidP="000C50CE">
      <w:pPr>
        <w:pStyle w:val="Ttulo5"/>
        <w:numPr>
          <w:ilvl w:val="0"/>
          <w:numId w:val="13"/>
        </w:numPr>
      </w:pPr>
      <w:bookmarkStart w:id="103" w:name="_Toc402254392"/>
      <w:r w:rsidRPr="00AE2A0D">
        <w:t>Introdução</w:t>
      </w:r>
      <w:bookmarkEnd w:id="103"/>
    </w:p>
    <w:p w:rsidR="00FC668B" w:rsidRPr="00AE2A0D" w:rsidRDefault="00FC668B" w:rsidP="00FC668B">
      <w:r w:rsidRPr="00AE2A0D">
        <w:t xml:space="preserve">A Mata Atlântica consiste em um dos biomas mundiais que apresentam alta diversidade biológica e elevado índice de espécies endêmicas, foi classificada como “hotspot” e declarada como uma das cinco áreas mais ricas e ameaçadas do planeta (Myers </w:t>
      </w:r>
      <w:r w:rsidRPr="00AE2A0D">
        <w:rPr>
          <w:i/>
        </w:rPr>
        <w:t>et al</w:t>
      </w:r>
      <w:r w:rsidRPr="00AE2A0D">
        <w:t xml:space="preserve">. 2000), sendo que resta menos de 8% da cobertura original deste bioma (Fundação SOS Mata Atlântica &amp; INPE, 2000). Atualmente a maior parte da Mata Atlântica se encontra reduzida a fragmentos esparsos e isolados, muitos dos quais com menos de 100 ha e bastante perturbados (Turner &amp; Corlett, 1996; Fonseca, 1985) e menos de 2% do total das florestas remanescentes deste bioma estão sob proteção Integral, sendo que cerca de 87% dessas áreas protegidas possuem menos de 20.000 hectares e metade delas tem menos de 1.000 hectares (Paglia </w:t>
      </w:r>
      <w:r w:rsidRPr="00AE2A0D">
        <w:rPr>
          <w:i/>
        </w:rPr>
        <w:t>et al.</w:t>
      </w:r>
      <w:r w:rsidRPr="00AE2A0D">
        <w:t xml:space="preserve"> 2004). </w:t>
      </w:r>
    </w:p>
    <w:p w:rsidR="00FC668B" w:rsidRPr="00AE2A0D" w:rsidRDefault="00FC668B" w:rsidP="00FC668B">
      <w:r w:rsidRPr="00AE2A0D">
        <w:lastRenderedPageBreak/>
        <w:t xml:space="preserve">Nas últimas décadas, vários estudos têm revelado novas ocorrências e espécies novas originárias de fragmentos florestais próximos a áreas urbanas e muitas destas espécies já são descobertas sob ameaça de extinção. A pressão do desmatamento é contínua, dada a expansão populacional, e a proximidade a centros urbanos expõe os fragmentos à retirada predatória de espécies animais e vegetais. Esses fragmentos também estão expostos aos efeitos da poluição do solo e da água por contaminantes locais, ou trazidos pelo vento e chuva a partir dos grandes centros (Davidson </w:t>
      </w:r>
      <w:r w:rsidRPr="00AE2A0D">
        <w:rPr>
          <w:i/>
        </w:rPr>
        <w:t>et al</w:t>
      </w:r>
      <w:r w:rsidRPr="00AE2A0D">
        <w:t xml:space="preserve">. 2001, Lopes 2001). Acredita-se que grande parte de nossas espécies nem ao menos está protegida de forma satisfatória em Unidades de Conservação e é de fundamental importância identificar quantas e quais dessas espécies não estão contempladas adequadamente pelo nosso atual sistema de áreas protegidas (Paglia </w:t>
      </w:r>
      <w:r w:rsidRPr="00AE2A0D">
        <w:rPr>
          <w:i/>
        </w:rPr>
        <w:t>et al</w:t>
      </w:r>
      <w:r w:rsidRPr="00AE2A0D">
        <w:t xml:space="preserve">, 2004). Diante deste panorama, os parques e reservas são de extrema importância na manutenção da herpetofauna em centros urbanos, principalmente no que se refere à anurofauna, cujos representantes possuem pouca mobilidade e alta dependência a corpos d’água ou solos úmidos (Duellman &amp; Trueb, 1994). </w:t>
      </w:r>
    </w:p>
    <w:p w:rsidR="00FC668B" w:rsidRPr="00AE2A0D" w:rsidRDefault="00FC668B" w:rsidP="00FC668B">
      <w:r w:rsidRPr="00AE2A0D">
        <w:t xml:space="preserve">No Estado de São Paulo, diversos trabalhos analisando a composição de espécies de anfíbios e répteis em áreas de preservação permanente como a Estação Biológica de Boracéia (Heyer </w:t>
      </w:r>
      <w:r w:rsidRPr="00AE2A0D">
        <w:rPr>
          <w:i/>
        </w:rPr>
        <w:t>et al</w:t>
      </w:r>
      <w:r w:rsidRPr="00AE2A0D">
        <w:t xml:space="preserve">. 1990), Estação Ecológica da Juréia-Itatins (Pombal Jr. &amp; Gordo 2004, Marques &amp; Sazima 2004), Serra do Japi (Haddad &amp; Sazima 1992, Ribeiro </w:t>
      </w:r>
      <w:r w:rsidRPr="00AE2A0D">
        <w:rPr>
          <w:i/>
        </w:rPr>
        <w:t>et al</w:t>
      </w:r>
      <w:r w:rsidRPr="00AE2A0D">
        <w:t xml:space="preserve">. 2005, Sazima &amp; Haddad 1992), Parque Estadual Morro do Diabo (Santos </w:t>
      </w:r>
      <w:r w:rsidRPr="00AE2A0D">
        <w:rPr>
          <w:i/>
        </w:rPr>
        <w:t>et al.</w:t>
      </w:r>
      <w:r w:rsidRPr="00AE2A0D">
        <w:t xml:space="preserve"> 2009), Estação Ecológica de Assis e Estação Ecológica Caetetus (Bertoluci </w:t>
      </w:r>
      <w:r w:rsidRPr="00AE2A0D">
        <w:rPr>
          <w:i/>
        </w:rPr>
        <w:t>et al</w:t>
      </w:r>
      <w:r w:rsidRPr="00AE2A0D">
        <w:t xml:space="preserve">. 2007), Estação Ecológica do Bananal (Zaher </w:t>
      </w:r>
      <w:r w:rsidRPr="00AE2A0D">
        <w:rPr>
          <w:i/>
        </w:rPr>
        <w:t>et al.</w:t>
      </w:r>
      <w:r w:rsidRPr="00AE2A0D">
        <w:t xml:space="preserve"> 2005) entre outros, indicam uma maior similaridade entre as fisionomias mais secas do estado, como áreas de Cerrado e Floresta Estacional, e outro subgrupo relacionado às áreas de florestas mais úmidas próximas ao mar (Santos </w:t>
      </w:r>
      <w:r w:rsidRPr="00AE2A0D">
        <w:rPr>
          <w:i/>
        </w:rPr>
        <w:t>et al</w:t>
      </w:r>
      <w:r w:rsidRPr="00AE2A0D">
        <w:t xml:space="preserve">. 2009, Araújo </w:t>
      </w:r>
      <w:r w:rsidRPr="00AE2A0D">
        <w:rPr>
          <w:i/>
        </w:rPr>
        <w:t>et al</w:t>
      </w:r>
      <w:r w:rsidRPr="00AE2A0D">
        <w:t xml:space="preserve">. 2009a, Bertoluci </w:t>
      </w:r>
      <w:r w:rsidRPr="00AE2A0D">
        <w:rPr>
          <w:i/>
        </w:rPr>
        <w:t>et al</w:t>
      </w:r>
      <w:r w:rsidRPr="00AE2A0D">
        <w:t>. 2007). Neste segundo subgrupo, encontra-se o Vale do Paraíba, onde se localiza a cidade de Igaratá, como um</w:t>
      </w:r>
      <w:r>
        <w:t>a</w:t>
      </w:r>
      <w:r w:rsidRPr="00AE2A0D">
        <w:t xml:space="preserve"> das regiões estratégicas para a preservação de espécies por ser uma interface entre a Serra da Mantiqueira e </w:t>
      </w:r>
      <w:r>
        <w:t xml:space="preserve">a </w:t>
      </w:r>
      <w:r w:rsidRPr="00AE2A0D">
        <w:t xml:space="preserve">Serra do Mar (Rossa-Feres </w:t>
      </w:r>
      <w:r w:rsidRPr="00AE2A0D">
        <w:rPr>
          <w:i/>
        </w:rPr>
        <w:t>et al.</w:t>
      </w:r>
      <w:r w:rsidRPr="00AE2A0D">
        <w:t>, 2008).</w:t>
      </w:r>
    </w:p>
    <w:p w:rsidR="00FC668B" w:rsidRPr="00AE2A0D" w:rsidRDefault="00FC668B" w:rsidP="00FC668B">
      <w:r w:rsidRPr="00AE2A0D">
        <w:t xml:space="preserve">De acordo com Martins (2007), para a região do Vale do Paraíba e Serra da Mantiqueira, há 71 espécies de anfíbios sendo uma espécie da Ordem Gymnophiona e 70 espécies da Ordem Anura. As espécies de anuros da Floresta Atlântica apresentam a maior diversidade de modos reprodutivos do planeta, sendo que 27 dos 39 modos reprodutivos conhecidos são encontrados entre as espécies desse bioma (Haddad &amp; Prado, 2005). Muitos modos reprodutivos são altamente especializados, com deposição de ovos em bromélias, em folhas pendentes sobre riachos, na serapilheira, em ninhos escavados no chão da </w:t>
      </w:r>
      <w:r>
        <w:t>floresta</w:t>
      </w:r>
      <w:r w:rsidRPr="00AE2A0D">
        <w:t>, em frestas de pedras submersas em riachos (Haddad &amp; Prado, 2005).</w:t>
      </w:r>
    </w:p>
    <w:p w:rsidR="00FC668B" w:rsidRPr="00AE2A0D" w:rsidRDefault="00FC668B" w:rsidP="00FC668B">
      <w:r w:rsidRPr="00AE2A0D">
        <w:t xml:space="preserve">Essa grande diversidade de modos reprodutivos é possibilitada pela grande diversidade de habitats e micro-habitat dessa </w:t>
      </w:r>
      <w:r>
        <w:t>floresta</w:t>
      </w:r>
      <w:r w:rsidRPr="00AE2A0D">
        <w:t xml:space="preserve">, o que gerou espécies especialistas, fortemente associadas a habitats e micro-habitat </w:t>
      </w:r>
      <w:r>
        <w:t>específicos</w:t>
      </w:r>
      <w:r w:rsidRPr="00AE2A0D">
        <w:t xml:space="preserve">. Assim, a fauna de anuros da Floresta Atlântica é caracterizada por alto nível de endemismo de espécies e de grupos inteiros (e.g., gêneros Dendrophryniscus, Frostius, Holoaden, Hylomantis, Phrynomedusa, Crossodactylodes, Cycloramphus, Euparkerella, Megaelosia e Paratelmatobius) cuja ocorrência é restrita a essa formação (Duellman 1999, Frost 2007). A conservação das espécies de anuros desse bioma depende, portanto, da preservação da heterogeneidade de habitats e micro-habitat no que resta da Floresta Atlântica no estado, pois as áreas desmatadas tornam-se mais secas e sazonais, reduzindo o número de espécies ou eliminando aquelas que dependem dos micro-habitat úmidos da </w:t>
      </w:r>
      <w:r>
        <w:t>floresta</w:t>
      </w:r>
      <w:r w:rsidRPr="00AE2A0D">
        <w:t xml:space="preserve"> (Haddad &amp; Prado, 2005). Quanto aos répteis, o Estado de São Paulo concentra cerca de 30% das espécies do país, muitas delas com as mesmas características citadas anteriormente para os anfíbios no que se refere a endemismo, necessidade de micro-habitat específicos, diversidade de modos reprodutivos, etc. (Rossa-Feres </w:t>
      </w:r>
      <w:r w:rsidRPr="00AE2A0D">
        <w:rPr>
          <w:i/>
        </w:rPr>
        <w:t>et al.,</w:t>
      </w:r>
      <w:r w:rsidRPr="00AE2A0D">
        <w:t xml:space="preserve"> 2008).</w:t>
      </w:r>
    </w:p>
    <w:p w:rsidR="00FC668B" w:rsidRPr="00AE2A0D" w:rsidRDefault="00FC668B" w:rsidP="00FC668B">
      <w:r w:rsidRPr="00AE2A0D">
        <w:t xml:space="preserve">O presente estudo tem como finalidade apresentar um diagnóstico da herpetofauna considerando as espécies com possível ocorrência regional para a Área de Influência Indireta (AII) das obras de interligação das represas Jaguari </w:t>
      </w:r>
      <w:r>
        <w:t xml:space="preserve">e Atibainha </w:t>
      </w:r>
      <w:r w:rsidRPr="00AE2A0D">
        <w:t>com base em dados secundários, assim com</w:t>
      </w:r>
      <w:r>
        <w:t>o</w:t>
      </w:r>
      <w:r w:rsidRPr="00AE2A0D">
        <w:t xml:space="preserve"> levantamento de dados primário</w:t>
      </w:r>
      <w:r>
        <w:t>s</w:t>
      </w:r>
      <w:r w:rsidRPr="00AE2A0D">
        <w:t xml:space="preserve"> para caracterização da herpetofauna presente na Área de Influência Direta (AID) do empreendimento.</w:t>
      </w:r>
    </w:p>
    <w:p w:rsidR="00FC668B" w:rsidRPr="00FC668B" w:rsidRDefault="00FC668B" w:rsidP="000C50CE">
      <w:pPr>
        <w:pStyle w:val="Ttulo5"/>
        <w:numPr>
          <w:ilvl w:val="0"/>
          <w:numId w:val="13"/>
        </w:numPr>
      </w:pPr>
      <w:bookmarkStart w:id="104" w:name="_Toc402254393"/>
      <w:r w:rsidRPr="00FC668B">
        <w:lastRenderedPageBreak/>
        <w:t>Material e Métodos</w:t>
      </w:r>
      <w:bookmarkEnd w:id="104"/>
    </w:p>
    <w:p w:rsidR="00FC668B" w:rsidRPr="00AE2A0D" w:rsidRDefault="00FC668B" w:rsidP="00FC668B">
      <w:pPr>
        <w:pStyle w:val="Ttulo6"/>
      </w:pPr>
      <w:bookmarkStart w:id="105" w:name="_Toc402254394"/>
      <w:r>
        <w:t>B.1.</w:t>
      </w:r>
      <w:r>
        <w:tab/>
      </w:r>
      <w:r w:rsidRPr="00AE2A0D">
        <w:t>Levantamento de dados secundários</w:t>
      </w:r>
      <w:bookmarkEnd w:id="105"/>
    </w:p>
    <w:p w:rsidR="00FC668B" w:rsidRPr="00AE2A0D" w:rsidRDefault="00FC668B" w:rsidP="00FC668B">
      <w:r w:rsidRPr="00AE2A0D">
        <w:t xml:space="preserve">O levantamento dos dados secundários referentes à herpetofauna com possível ocorrência para a AII das obras de interligação das represas Jaguari e Atibainha foi feito com base na herpetofauna encontrada para as cidades dos seis municípios envolvidos no Projeto, ou seja, Piracaia, Santa Isabel, Jacareí, São José dos Campos, Igaratá e Nazaré Paulista. Esta seleção foi feita devido à ausência de dados para a área considerada como AII do meio biótico para o referido empreendimento, que seria a faixa de 5 km de cada lado da faixa de servidão da obra. Além disso, áreas próximas, mas fora da AII do meio biótico, apresentam características semelhantes aos fragmentos locais, possivelmente compartilhando uma herpetofauna similar. </w:t>
      </w:r>
    </w:p>
    <w:p w:rsidR="00FC668B" w:rsidRPr="00AE2A0D" w:rsidRDefault="00FC668B" w:rsidP="00FC668B">
      <w:r w:rsidRPr="00AE2A0D">
        <w:t xml:space="preserve">A pesquisa foi realizada por meio de levantamento bibliográfico, incluindo livros, artigos científicos e publicações não indexadas, impressas ou em meio digital, tais como monografias, resumos em congressos, relatórios técnicos, dissertações e teses. Ferramentas de busca “online” como Google (www.google.com) e Google Acadêmico (http://scholar.google.com.br/) e bases de dados como Capes (www.periodicos.capes.gov.br), BiotaNeotrópica (www.biotaneotropica.org.br), CheckList (www.checklist.org.br), Táxeus (www.taxeus.com.br), assim como os bancos de dados das principais universidades, tais como Sistema Minerva (www.ppgzoo.museunacional.ufrj.br), Dédalus (http://dedalus.usp.br/), Acervus (http://acervus.unicamp.br/) e Athena (http://www.athena.biblioteca.unesp.br/). Foram utilizadas buscas por palavras-chave como “herpetofauna”, “anurofauna”, “squamata”, “serpentes”, “lagartos”, “anura”, “anuros”, “anfíbios”, “amphibia”, “reptilia”, “répteis”, e seus correspondentes em inglês, associadas aos nomes das cidades supracitadas e locais de interesse tais como “Parque Estadual de Itaberaba”, “Reserva Ibirapitanga”, “represa Atibainha” e “represa Jaguari”. Foram consultadas também todas as coleções herpetológicas com acesso “online” aos seus dados, por meio da ferramenta de busca do </w:t>
      </w:r>
      <w:r w:rsidRPr="00AE2A0D">
        <w:rPr>
          <w:i/>
        </w:rPr>
        <w:t>SpeciesLink</w:t>
      </w:r>
      <w:r w:rsidRPr="00AE2A0D">
        <w:t xml:space="preserve"> (http://splink.cria.org.br), registrando-se os répteis e anfíbios encontrados para os locais supracitados.</w:t>
      </w:r>
    </w:p>
    <w:p w:rsidR="00FC668B" w:rsidRPr="00AE2A0D" w:rsidRDefault="00FC668B" w:rsidP="00FC668B">
      <w:r w:rsidRPr="00AE2A0D">
        <w:t>A fim de se caracterizar o grau de ameaça das espécies registradas, foram consultadas a Lista Vermelha Mundial de Espécies Ameaçadas de Extinção da União Internacional para Conservação da Natureza (IUCN, 2014), a Lista Nacional das Espécies da Fauna Brasileira Ameaçadas de Extinção (Machado et al., 2008) e a Lista Estadual de Espécies Ameaçadas de São Paulo (São Paulo, 2014). Para finalizar, foi consultada a Base de Dados Nacional de Espécies Exóticas Invasoras - Instituto Hórus (I3N Brasil, 2013).</w:t>
      </w:r>
    </w:p>
    <w:p w:rsidR="00FC668B" w:rsidRPr="00AE2A0D" w:rsidRDefault="00FC668B" w:rsidP="00FC668B">
      <w:r w:rsidRPr="00AE2A0D">
        <w:t xml:space="preserve">As sinonímias foram identificadas por meio do banco de dados </w:t>
      </w:r>
      <w:r w:rsidRPr="00AE2A0D">
        <w:rPr>
          <w:i/>
        </w:rPr>
        <w:t>Amphibian Species of the World</w:t>
      </w:r>
      <w:r w:rsidRPr="00AE2A0D">
        <w:t xml:space="preserve"> (Frost, 2014) para anfíbios e </w:t>
      </w:r>
      <w:r w:rsidRPr="00AE2A0D">
        <w:rPr>
          <w:i/>
        </w:rPr>
        <w:t>Reptile Database</w:t>
      </w:r>
      <w:r w:rsidRPr="00AE2A0D">
        <w:t xml:space="preserve"> (Uetz, 2014) para répteis e a nomenclatura utilizada segue à adotada pela Sociedade Brasileira de Herpetologia, tanto para anfíbios (Segalla </w:t>
      </w:r>
      <w:r w:rsidRPr="00AE2A0D">
        <w:rPr>
          <w:i/>
        </w:rPr>
        <w:t>et al.,</w:t>
      </w:r>
      <w:r w:rsidRPr="00AE2A0D">
        <w:t xml:space="preserve"> 2014), quanto para répteis (Bérnils &amp; Costa, 2012).</w:t>
      </w:r>
    </w:p>
    <w:p w:rsidR="00FC668B" w:rsidRPr="00AE2A0D" w:rsidRDefault="00FC668B" w:rsidP="00FC668B">
      <w:pPr>
        <w:pStyle w:val="Ttulo6"/>
      </w:pPr>
      <w:bookmarkStart w:id="106" w:name="_Toc402254395"/>
      <w:r>
        <w:t>B.2.</w:t>
      </w:r>
      <w:r>
        <w:tab/>
      </w:r>
      <w:r w:rsidRPr="00AE2A0D">
        <w:t>Levantamento de dados primários</w:t>
      </w:r>
      <w:bookmarkEnd w:id="106"/>
    </w:p>
    <w:p w:rsidR="00FC668B" w:rsidRPr="00AE2A0D" w:rsidRDefault="00FC668B" w:rsidP="00FC668B">
      <w:r w:rsidRPr="00AE2A0D">
        <w:t xml:space="preserve">Os dados primários foram obtidos por meio de uma campanha de amostragem de campo na </w:t>
      </w:r>
      <w:r>
        <w:t>AID do empreendimento,</w:t>
      </w:r>
      <w:r w:rsidRPr="00AE2A0D">
        <w:t xml:space="preserve"> realizada entre os dias 30</w:t>
      </w:r>
      <w:r>
        <w:t>/09</w:t>
      </w:r>
      <w:r w:rsidRPr="00AE2A0D">
        <w:t xml:space="preserve"> </w:t>
      </w:r>
      <w:r>
        <w:t xml:space="preserve">e </w:t>
      </w:r>
      <w:r w:rsidRPr="00AE2A0D">
        <w:t>05</w:t>
      </w:r>
      <w:r>
        <w:t>/10/</w:t>
      </w:r>
      <w:r w:rsidRPr="00AE2A0D">
        <w:t>2014, totalizando seis dias de amostragem.</w:t>
      </w:r>
    </w:p>
    <w:p w:rsidR="00FC668B" w:rsidRPr="00AE2A0D" w:rsidRDefault="00FC668B" w:rsidP="00FC668B">
      <w:pPr>
        <w:pStyle w:val="Ttulo7"/>
      </w:pPr>
      <w:r>
        <w:t>B.2.1.</w:t>
      </w:r>
      <w:r>
        <w:tab/>
      </w:r>
      <w:r w:rsidRPr="00AE2A0D">
        <w:t>Métodos de amostragem e esforço empregado</w:t>
      </w:r>
    </w:p>
    <w:p w:rsidR="00FC668B" w:rsidRPr="00AE2A0D" w:rsidRDefault="00FC668B" w:rsidP="00FC668B">
      <w:r w:rsidRPr="00AE2A0D">
        <w:t xml:space="preserve">Para caracterizar a fauna de répteis e anfíbios na AID da Interligação entre as Represas Jaguari </w:t>
      </w:r>
      <w:r>
        <w:t>e Atibainha</w:t>
      </w:r>
      <w:r w:rsidRPr="00AE2A0D">
        <w:t xml:space="preserve">, a herpetofauna foi amostrada utilizando-se o método de procura ativa (Curcio </w:t>
      </w:r>
      <w:r w:rsidRPr="00AE2A0D">
        <w:rPr>
          <w:i/>
        </w:rPr>
        <w:t>et al</w:t>
      </w:r>
      <w:r w:rsidRPr="00AE2A0D">
        <w:t>., 2010), buscando-se os espécimes de répteis e anfíbios em ambientes propícios, tais como folhiço, troncos ocos, sob pedras e troncos caídos, tocas de outros animais, bromélias, corpos d’água, etc. As buscas foram realizadas nos períodos diurno, crepuscular e noturno, de forma a abranger os horários de maior atividade tanto dos répteis quanto dos anfíbios, totalizando 140 horas-homem de esforço amostral. Cada um dos cinco fragmentos escolhidos (</w:t>
      </w:r>
      <w:r w:rsidR="00F37F8C" w:rsidRPr="00F37F8C">
        <w:rPr>
          <w:b/>
        </w:rPr>
        <w:t>Tabela 6.4.</w:t>
      </w:r>
      <w:r w:rsidR="009409FA">
        <w:rPr>
          <w:b/>
        </w:rPr>
        <w:t>4-5</w:t>
      </w:r>
      <w:r w:rsidR="00F37F8C">
        <w:rPr>
          <w:b/>
        </w:rPr>
        <w:t xml:space="preserve"> </w:t>
      </w:r>
      <w:r w:rsidR="00F37F8C" w:rsidRPr="00F37F8C">
        <w:t>e</w:t>
      </w:r>
      <w:r w:rsidR="00F37F8C">
        <w:rPr>
          <w:b/>
        </w:rPr>
        <w:t xml:space="preserve"> Fotos</w:t>
      </w:r>
      <w:r w:rsidR="00F37F8C" w:rsidRPr="00F37F8C">
        <w:t xml:space="preserve"> a seguir</w:t>
      </w:r>
      <w:r w:rsidR="00F37F8C">
        <w:rPr>
          <w:b/>
        </w:rPr>
        <w:t>)</w:t>
      </w:r>
      <w:r w:rsidRPr="00AE2A0D">
        <w:rPr>
          <w:b/>
        </w:rPr>
        <w:t xml:space="preserve"> </w:t>
      </w:r>
      <w:r w:rsidRPr="00AE2A0D">
        <w:t xml:space="preserve">foi amostrado durante três dias consecutivos, procurando amostrar a maior área possível e as diferentes fisionomias encontradas no local. Os animais encontrados e respectivos </w:t>
      </w:r>
      <w:r w:rsidRPr="00AE2A0D">
        <w:lastRenderedPageBreak/>
        <w:t>ambientes foram identificados, georreferenciados e fotografados sempre que possível. Os pontos de principal interesse encontram-se na</w:t>
      </w:r>
      <w:r w:rsidR="00F37F8C">
        <w:t xml:space="preserve"> </w:t>
      </w:r>
      <w:r w:rsidR="00F37F8C" w:rsidRPr="00F37F8C">
        <w:rPr>
          <w:b/>
        </w:rPr>
        <w:t>Tabela 6.4.</w:t>
      </w:r>
      <w:r w:rsidR="009409FA">
        <w:rPr>
          <w:b/>
        </w:rPr>
        <w:t>4-6</w:t>
      </w:r>
      <w:r w:rsidRPr="00F37F8C">
        <w:rPr>
          <w:b/>
        </w:rPr>
        <w:t>.</w:t>
      </w:r>
    </w:p>
    <w:p w:rsidR="00FC668B" w:rsidRPr="00F37F8C" w:rsidRDefault="00FC668B" w:rsidP="008603E1">
      <w:pPr>
        <w:pStyle w:val="Legenda"/>
        <w:rPr>
          <w:rFonts w:ascii="Arial Negrito" w:eastAsia="Arial Unicode MS" w:hAnsi="Arial Negrito" w:cs="Times New Roman"/>
          <w:smallCaps/>
          <w:snapToGrid w:val="0"/>
          <w:szCs w:val="24"/>
          <w:lang w:eastAsia="pt-BR"/>
        </w:rPr>
      </w:pPr>
      <w:r w:rsidRPr="00F37F8C">
        <w:rPr>
          <w:rFonts w:ascii="Arial Negrito" w:eastAsia="Arial Unicode MS" w:hAnsi="Arial Negrito" w:cs="Times New Roman"/>
          <w:smallCaps/>
          <w:snapToGrid w:val="0"/>
          <w:szCs w:val="24"/>
          <w:lang w:eastAsia="pt-BR"/>
        </w:rPr>
        <w:t xml:space="preserve">Tabela </w:t>
      </w:r>
      <w:r w:rsidR="00F37F8C" w:rsidRPr="00F37F8C">
        <w:rPr>
          <w:rFonts w:ascii="Arial Negrito" w:eastAsia="Arial Unicode MS" w:hAnsi="Arial Negrito" w:cs="Times New Roman"/>
          <w:smallCaps/>
          <w:snapToGrid w:val="0"/>
          <w:szCs w:val="24"/>
          <w:lang w:eastAsia="pt-BR"/>
        </w:rPr>
        <w:t>6.4.</w:t>
      </w:r>
      <w:r w:rsidR="009409FA">
        <w:rPr>
          <w:rFonts w:ascii="Arial Negrito" w:eastAsia="Arial Unicode MS" w:hAnsi="Arial Negrito" w:cs="Times New Roman"/>
          <w:smallCaps/>
          <w:snapToGrid w:val="0"/>
          <w:szCs w:val="24"/>
          <w:lang w:eastAsia="pt-BR"/>
        </w:rPr>
        <w:t>4-5.</w:t>
      </w:r>
      <w:r w:rsidR="00F37F8C" w:rsidRPr="00F37F8C">
        <w:rPr>
          <w:rFonts w:ascii="Arial Negrito" w:eastAsia="Arial Unicode MS" w:hAnsi="Arial Negrito" w:cs="Times New Roman"/>
          <w:smallCaps/>
          <w:snapToGrid w:val="0"/>
          <w:szCs w:val="24"/>
          <w:lang w:eastAsia="pt-BR"/>
        </w:rPr>
        <w:t xml:space="preserve"> </w:t>
      </w:r>
      <w:r w:rsidRPr="00F37F8C">
        <w:rPr>
          <w:rFonts w:ascii="Arial Negrito" w:eastAsia="Arial Unicode MS" w:hAnsi="Arial Negrito" w:cs="Times New Roman"/>
          <w:smallCaps/>
          <w:snapToGrid w:val="0"/>
          <w:szCs w:val="24"/>
          <w:lang w:eastAsia="pt-BR"/>
        </w:rPr>
        <w:t>Descrição dos cinco fragmentos selecionados para a amostragem da herpetofauna, entre os dias 30/09 e 05/10/2014.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2248"/>
        <w:gridCol w:w="1140"/>
        <w:gridCol w:w="1142"/>
        <w:gridCol w:w="4814"/>
      </w:tblGrid>
      <w:tr w:rsidR="00FC668B" w:rsidRPr="00AE2A0D" w:rsidTr="00FC668B">
        <w:trPr>
          <w:cantSplit/>
          <w:trHeight w:val="284"/>
          <w:tblHeader/>
          <w:jc w:val="center"/>
        </w:trPr>
        <w:tc>
          <w:tcPr>
            <w:tcW w:w="1203" w:type="pct"/>
            <w:vMerge w:val="restart"/>
            <w:shd w:val="clear" w:color="auto" w:fill="D9D9D9"/>
            <w:vAlign w:val="center"/>
          </w:tcPr>
          <w:p w:rsidR="00FC668B" w:rsidRPr="00AE2A0D" w:rsidRDefault="00FC668B" w:rsidP="00FC668B">
            <w:pPr>
              <w:spacing w:after="0"/>
              <w:rPr>
                <w:b/>
                <w:sz w:val="18"/>
                <w:szCs w:val="18"/>
              </w:rPr>
            </w:pPr>
            <w:r w:rsidRPr="00AE2A0D">
              <w:rPr>
                <w:b/>
                <w:sz w:val="18"/>
                <w:szCs w:val="18"/>
              </w:rPr>
              <w:t>Local</w:t>
            </w:r>
          </w:p>
        </w:tc>
        <w:tc>
          <w:tcPr>
            <w:tcW w:w="1221" w:type="pct"/>
            <w:gridSpan w:val="2"/>
            <w:shd w:val="clear" w:color="auto" w:fill="D9D9D9"/>
            <w:vAlign w:val="center"/>
          </w:tcPr>
          <w:p w:rsidR="00FC668B" w:rsidRPr="00AE2A0D" w:rsidRDefault="00FC668B" w:rsidP="00FC668B">
            <w:pPr>
              <w:spacing w:after="0"/>
              <w:jc w:val="center"/>
              <w:rPr>
                <w:b/>
                <w:bCs/>
                <w:sz w:val="18"/>
                <w:szCs w:val="18"/>
              </w:rPr>
            </w:pPr>
            <w:r w:rsidRPr="00AE2A0D">
              <w:rPr>
                <w:b/>
                <w:bCs/>
                <w:sz w:val="18"/>
                <w:szCs w:val="18"/>
              </w:rPr>
              <w:t>Coordenadas geográficas (UTM)</w:t>
            </w:r>
          </w:p>
        </w:tc>
        <w:tc>
          <w:tcPr>
            <w:tcW w:w="2576" w:type="pct"/>
            <w:vMerge w:val="restart"/>
            <w:shd w:val="clear" w:color="auto" w:fill="D9D9D9"/>
            <w:vAlign w:val="center"/>
          </w:tcPr>
          <w:p w:rsidR="00FC668B" w:rsidRPr="00AE2A0D" w:rsidRDefault="00FC668B" w:rsidP="008603E1">
            <w:pPr>
              <w:spacing w:after="0"/>
              <w:jc w:val="center"/>
              <w:rPr>
                <w:b/>
                <w:sz w:val="18"/>
                <w:szCs w:val="18"/>
              </w:rPr>
            </w:pPr>
            <w:r w:rsidRPr="00AE2A0D">
              <w:rPr>
                <w:b/>
                <w:sz w:val="18"/>
                <w:szCs w:val="18"/>
              </w:rPr>
              <w:t>Vegetação</w:t>
            </w:r>
          </w:p>
        </w:tc>
      </w:tr>
      <w:tr w:rsidR="00FC668B" w:rsidRPr="00AE2A0D" w:rsidTr="00FC668B">
        <w:trPr>
          <w:cantSplit/>
          <w:trHeight w:val="284"/>
          <w:tblHeader/>
          <w:jc w:val="center"/>
        </w:trPr>
        <w:tc>
          <w:tcPr>
            <w:tcW w:w="1203" w:type="pct"/>
            <w:vMerge/>
            <w:shd w:val="clear" w:color="auto" w:fill="D9D9D9"/>
            <w:vAlign w:val="center"/>
          </w:tcPr>
          <w:p w:rsidR="00FC668B" w:rsidRPr="00AE2A0D" w:rsidRDefault="00FC668B" w:rsidP="00FC668B">
            <w:pPr>
              <w:spacing w:after="0"/>
              <w:rPr>
                <w:b/>
                <w:sz w:val="18"/>
                <w:szCs w:val="18"/>
              </w:rPr>
            </w:pPr>
          </w:p>
        </w:tc>
        <w:tc>
          <w:tcPr>
            <w:tcW w:w="610" w:type="pct"/>
            <w:shd w:val="clear" w:color="auto" w:fill="D9D9D9"/>
            <w:vAlign w:val="center"/>
          </w:tcPr>
          <w:p w:rsidR="00FC668B" w:rsidRPr="00AE2A0D" w:rsidRDefault="00FC668B" w:rsidP="00FC668B">
            <w:pPr>
              <w:spacing w:after="0"/>
              <w:jc w:val="center"/>
              <w:rPr>
                <w:b/>
                <w:bCs/>
                <w:sz w:val="18"/>
                <w:szCs w:val="18"/>
              </w:rPr>
            </w:pPr>
            <w:r w:rsidRPr="00AE2A0D">
              <w:rPr>
                <w:b/>
                <w:bCs/>
                <w:sz w:val="18"/>
                <w:szCs w:val="18"/>
              </w:rPr>
              <w:t>Este</w:t>
            </w:r>
          </w:p>
        </w:tc>
        <w:tc>
          <w:tcPr>
            <w:tcW w:w="611" w:type="pct"/>
            <w:shd w:val="clear" w:color="auto" w:fill="D9D9D9"/>
            <w:vAlign w:val="center"/>
          </w:tcPr>
          <w:p w:rsidR="00FC668B" w:rsidRPr="00AE2A0D" w:rsidRDefault="00FC668B" w:rsidP="00FC668B">
            <w:pPr>
              <w:spacing w:after="0"/>
              <w:jc w:val="center"/>
              <w:rPr>
                <w:b/>
                <w:bCs/>
                <w:sz w:val="18"/>
                <w:szCs w:val="18"/>
              </w:rPr>
            </w:pPr>
            <w:r w:rsidRPr="00AE2A0D">
              <w:rPr>
                <w:b/>
                <w:bCs/>
                <w:sz w:val="18"/>
                <w:szCs w:val="18"/>
              </w:rPr>
              <w:t>Sul</w:t>
            </w:r>
          </w:p>
        </w:tc>
        <w:tc>
          <w:tcPr>
            <w:tcW w:w="2576" w:type="pct"/>
            <w:vMerge/>
            <w:shd w:val="clear" w:color="auto" w:fill="D9D9D9"/>
            <w:vAlign w:val="center"/>
          </w:tcPr>
          <w:p w:rsidR="00FC668B" w:rsidRPr="00AE2A0D" w:rsidRDefault="00FC668B" w:rsidP="00FC668B">
            <w:pPr>
              <w:spacing w:after="0"/>
              <w:rPr>
                <w:b/>
                <w:sz w:val="18"/>
                <w:szCs w:val="18"/>
              </w:rPr>
            </w:pPr>
          </w:p>
        </w:tc>
      </w:tr>
      <w:tr w:rsidR="00FC668B" w:rsidRPr="00AE2A0D" w:rsidTr="00FC668B">
        <w:trPr>
          <w:cantSplit/>
          <w:trHeight w:val="284"/>
          <w:jc w:val="center"/>
        </w:trPr>
        <w:tc>
          <w:tcPr>
            <w:tcW w:w="1203" w:type="pct"/>
            <w:vAlign w:val="center"/>
          </w:tcPr>
          <w:p w:rsidR="00FC668B" w:rsidRPr="00601693" w:rsidRDefault="00FC668B" w:rsidP="00FC668B">
            <w:pPr>
              <w:spacing w:after="0"/>
              <w:rPr>
                <w:sz w:val="18"/>
                <w:szCs w:val="18"/>
              </w:rPr>
            </w:pPr>
            <w:r w:rsidRPr="00601693">
              <w:rPr>
                <w:sz w:val="18"/>
                <w:szCs w:val="18"/>
              </w:rPr>
              <w:t xml:space="preserve">Área 1 </w:t>
            </w:r>
          </w:p>
          <w:p w:rsidR="00FC668B" w:rsidRPr="00601693" w:rsidRDefault="00FC668B" w:rsidP="00FC668B">
            <w:pPr>
              <w:spacing w:after="0"/>
              <w:rPr>
                <w:sz w:val="18"/>
                <w:szCs w:val="18"/>
              </w:rPr>
            </w:pPr>
            <w:r w:rsidRPr="00601693">
              <w:rPr>
                <w:sz w:val="18"/>
                <w:szCs w:val="18"/>
              </w:rPr>
              <w:t>(Santa Isabel, SP)</w:t>
            </w:r>
          </w:p>
        </w:tc>
        <w:tc>
          <w:tcPr>
            <w:tcW w:w="610" w:type="pct"/>
            <w:vAlign w:val="center"/>
          </w:tcPr>
          <w:p w:rsidR="00FC668B" w:rsidRPr="00AE2A0D" w:rsidRDefault="00FC668B" w:rsidP="00FC668B">
            <w:pPr>
              <w:spacing w:after="0"/>
              <w:jc w:val="center"/>
              <w:rPr>
                <w:sz w:val="18"/>
                <w:szCs w:val="18"/>
              </w:rPr>
            </w:pPr>
            <w:r w:rsidRPr="00AE2A0D">
              <w:rPr>
                <w:sz w:val="18"/>
                <w:szCs w:val="18"/>
              </w:rPr>
              <w:t>379</w:t>
            </w:r>
            <w:r w:rsidR="00C61DCD">
              <w:rPr>
                <w:sz w:val="18"/>
                <w:szCs w:val="18"/>
              </w:rPr>
              <w:t>.</w:t>
            </w:r>
            <w:r w:rsidRPr="00AE2A0D">
              <w:rPr>
                <w:sz w:val="18"/>
                <w:szCs w:val="18"/>
              </w:rPr>
              <w:t>628</w:t>
            </w:r>
          </w:p>
        </w:tc>
        <w:tc>
          <w:tcPr>
            <w:tcW w:w="611" w:type="pct"/>
            <w:vAlign w:val="center"/>
          </w:tcPr>
          <w:p w:rsidR="00FC668B" w:rsidRPr="00AE2A0D" w:rsidRDefault="00FC668B" w:rsidP="00FC668B">
            <w:pPr>
              <w:spacing w:after="0"/>
              <w:jc w:val="center"/>
              <w:rPr>
                <w:sz w:val="18"/>
                <w:szCs w:val="18"/>
              </w:rPr>
            </w:pPr>
            <w:r w:rsidRPr="00AE2A0D">
              <w:rPr>
                <w:sz w:val="18"/>
                <w:szCs w:val="18"/>
              </w:rPr>
              <w:t>7</w:t>
            </w:r>
            <w:r w:rsidR="00C61DCD">
              <w:rPr>
                <w:sz w:val="18"/>
                <w:szCs w:val="18"/>
              </w:rPr>
              <w:t>.</w:t>
            </w:r>
            <w:r w:rsidRPr="00AE2A0D">
              <w:rPr>
                <w:sz w:val="18"/>
                <w:szCs w:val="18"/>
              </w:rPr>
              <w:t>429</w:t>
            </w:r>
            <w:r w:rsidR="00C61DCD">
              <w:rPr>
                <w:sz w:val="18"/>
                <w:szCs w:val="18"/>
              </w:rPr>
              <w:t>.</w:t>
            </w:r>
            <w:r w:rsidRPr="00AE2A0D">
              <w:rPr>
                <w:sz w:val="18"/>
                <w:szCs w:val="18"/>
              </w:rPr>
              <w:t>711</w:t>
            </w:r>
          </w:p>
        </w:tc>
        <w:tc>
          <w:tcPr>
            <w:tcW w:w="2576" w:type="pct"/>
            <w:vAlign w:val="center"/>
          </w:tcPr>
          <w:p w:rsidR="00FC668B" w:rsidRPr="00AE2A0D" w:rsidRDefault="00FC668B" w:rsidP="00FC668B">
            <w:pPr>
              <w:spacing w:after="0"/>
              <w:rPr>
                <w:sz w:val="18"/>
                <w:szCs w:val="18"/>
              </w:rPr>
            </w:pPr>
            <w:r w:rsidRPr="00AE2A0D">
              <w:rPr>
                <w:sz w:val="18"/>
                <w:szCs w:val="18"/>
              </w:rPr>
              <w:t>Área de mata pequena, com sub-bosque escasso, limitada ao vale de duas nascentes, sendo a porção Leste em matriz de pasto e a porção Oeste entre pasto e eucaliptal.</w:t>
            </w:r>
          </w:p>
        </w:tc>
      </w:tr>
      <w:tr w:rsidR="00FC668B" w:rsidRPr="00AE2A0D" w:rsidTr="00FC668B">
        <w:trPr>
          <w:cantSplit/>
          <w:trHeight w:val="284"/>
          <w:jc w:val="center"/>
        </w:trPr>
        <w:tc>
          <w:tcPr>
            <w:tcW w:w="1203" w:type="pct"/>
            <w:vAlign w:val="center"/>
          </w:tcPr>
          <w:p w:rsidR="00FC668B" w:rsidRPr="00601693" w:rsidRDefault="00FC668B" w:rsidP="00FC668B">
            <w:pPr>
              <w:spacing w:after="0"/>
              <w:rPr>
                <w:sz w:val="18"/>
                <w:szCs w:val="18"/>
              </w:rPr>
            </w:pPr>
            <w:r w:rsidRPr="00601693">
              <w:rPr>
                <w:sz w:val="18"/>
                <w:szCs w:val="18"/>
              </w:rPr>
              <w:t>Área 2</w:t>
            </w:r>
          </w:p>
          <w:p w:rsidR="00FC668B" w:rsidRPr="00601693" w:rsidRDefault="00FC668B" w:rsidP="00FC668B">
            <w:pPr>
              <w:spacing w:after="0"/>
              <w:rPr>
                <w:sz w:val="18"/>
                <w:szCs w:val="18"/>
              </w:rPr>
            </w:pPr>
            <w:r w:rsidRPr="00601693">
              <w:rPr>
                <w:sz w:val="18"/>
                <w:szCs w:val="18"/>
              </w:rPr>
              <w:t xml:space="preserve"> (Igaratá, SP)</w:t>
            </w:r>
          </w:p>
        </w:tc>
        <w:tc>
          <w:tcPr>
            <w:tcW w:w="610" w:type="pct"/>
            <w:vAlign w:val="center"/>
          </w:tcPr>
          <w:p w:rsidR="00FC668B" w:rsidRPr="00AE2A0D" w:rsidRDefault="00FC668B" w:rsidP="00FC668B">
            <w:pPr>
              <w:spacing w:after="0"/>
              <w:jc w:val="center"/>
              <w:rPr>
                <w:sz w:val="18"/>
                <w:szCs w:val="18"/>
              </w:rPr>
            </w:pPr>
            <w:r w:rsidRPr="00AE2A0D">
              <w:rPr>
                <w:sz w:val="18"/>
                <w:szCs w:val="18"/>
              </w:rPr>
              <w:t>375</w:t>
            </w:r>
            <w:r w:rsidR="00C61DCD">
              <w:rPr>
                <w:sz w:val="18"/>
                <w:szCs w:val="18"/>
              </w:rPr>
              <w:t>.</w:t>
            </w:r>
            <w:r w:rsidRPr="00AE2A0D">
              <w:rPr>
                <w:sz w:val="18"/>
                <w:szCs w:val="18"/>
              </w:rPr>
              <w:t>692</w:t>
            </w:r>
          </w:p>
        </w:tc>
        <w:tc>
          <w:tcPr>
            <w:tcW w:w="611" w:type="pct"/>
            <w:vAlign w:val="center"/>
          </w:tcPr>
          <w:p w:rsidR="00FC668B" w:rsidRPr="00AE2A0D" w:rsidRDefault="00FC668B" w:rsidP="00FC668B">
            <w:pPr>
              <w:spacing w:after="0"/>
              <w:jc w:val="center"/>
              <w:rPr>
                <w:sz w:val="18"/>
                <w:szCs w:val="18"/>
              </w:rPr>
            </w:pPr>
            <w:r w:rsidRPr="00AE2A0D">
              <w:rPr>
                <w:sz w:val="18"/>
                <w:szCs w:val="18"/>
              </w:rPr>
              <w:t>7</w:t>
            </w:r>
            <w:r w:rsidR="00C61DCD">
              <w:rPr>
                <w:sz w:val="18"/>
                <w:szCs w:val="18"/>
              </w:rPr>
              <w:t>.</w:t>
            </w:r>
            <w:r w:rsidRPr="00AE2A0D">
              <w:rPr>
                <w:sz w:val="18"/>
                <w:szCs w:val="18"/>
              </w:rPr>
              <w:t>434</w:t>
            </w:r>
            <w:r w:rsidR="00C61DCD">
              <w:rPr>
                <w:sz w:val="18"/>
                <w:szCs w:val="18"/>
              </w:rPr>
              <w:t>.</w:t>
            </w:r>
            <w:r w:rsidRPr="00AE2A0D">
              <w:rPr>
                <w:sz w:val="18"/>
                <w:szCs w:val="18"/>
              </w:rPr>
              <w:t>188</w:t>
            </w:r>
          </w:p>
        </w:tc>
        <w:tc>
          <w:tcPr>
            <w:tcW w:w="2576" w:type="pct"/>
            <w:vAlign w:val="center"/>
          </w:tcPr>
          <w:p w:rsidR="00FC668B" w:rsidRPr="00AE2A0D" w:rsidRDefault="00FC668B" w:rsidP="00FC668B">
            <w:pPr>
              <w:spacing w:after="0"/>
              <w:rPr>
                <w:sz w:val="18"/>
                <w:szCs w:val="18"/>
              </w:rPr>
            </w:pPr>
            <w:r w:rsidRPr="00AE2A0D">
              <w:rPr>
                <w:sz w:val="18"/>
                <w:szCs w:val="18"/>
              </w:rPr>
              <w:t>Fragmento de mata em matriz de eucaliptal ladeado por tanques de piscicultura.</w:t>
            </w:r>
          </w:p>
        </w:tc>
      </w:tr>
      <w:tr w:rsidR="00FC668B" w:rsidRPr="00AE2A0D" w:rsidTr="00FC668B">
        <w:trPr>
          <w:cantSplit/>
          <w:trHeight w:val="284"/>
          <w:jc w:val="center"/>
        </w:trPr>
        <w:tc>
          <w:tcPr>
            <w:tcW w:w="1203" w:type="pct"/>
            <w:vAlign w:val="center"/>
          </w:tcPr>
          <w:p w:rsidR="00FC668B" w:rsidRPr="00601693" w:rsidRDefault="00FC668B" w:rsidP="00FC668B">
            <w:pPr>
              <w:spacing w:after="0"/>
              <w:rPr>
                <w:sz w:val="18"/>
                <w:szCs w:val="18"/>
              </w:rPr>
            </w:pPr>
            <w:r w:rsidRPr="00601693">
              <w:rPr>
                <w:sz w:val="18"/>
                <w:szCs w:val="18"/>
              </w:rPr>
              <w:t>Área 3</w:t>
            </w:r>
          </w:p>
          <w:p w:rsidR="00FC668B" w:rsidRPr="00601693" w:rsidRDefault="00FC668B" w:rsidP="00FC668B">
            <w:pPr>
              <w:spacing w:after="0"/>
              <w:rPr>
                <w:sz w:val="18"/>
                <w:szCs w:val="18"/>
              </w:rPr>
            </w:pPr>
            <w:r w:rsidRPr="00601693">
              <w:rPr>
                <w:sz w:val="18"/>
                <w:szCs w:val="18"/>
              </w:rPr>
              <w:t>(Igaratá, SP)</w:t>
            </w:r>
          </w:p>
        </w:tc>
        <w:tc>
          <w:tcPr>
            <w:tcW w:w="610" w:type="pct"/>
            <w:vAlign w:val="center"/>
          </w:tcPr>
          <w:p w:rsidR="00FC668B" w:rsidRPr="00AE2A0D" w:rsidRDefault="00FC668B" w:rsidP="00FC668B">
            <w:pPr>
              <w:spacing w:after="0"/>
              <w:jc w:val="center"/>
              <w:rPr>
                <w:sz w:val="18"/>
                <w:szCs w:val="18"/>
              </w:rPr>
            </w:pPr>
            <w:r w:rsidRPr="00AE2A0D">
              <w:rPr>
                <w:sz w:val="18"/>
                <w:szCs w:val="18"/>
              </w:rPr>
              <w:t>374</w:t>
            </w:r>
            <w:r w:rsidR="00C61DCD">
              <w:rPr>
                <w:sz w:val="18"/>
                <w:szCs w:val="18"/>
              </w:rPr>
              <w:t>.</w:t>
            </w:r>
            <w:r w:rsidRPr="00AE2A0D">
              <w:rPr>
                <w:sz w:val="18"/>
                <w:szCs w:val="18"/>
              </w:rPr>
              <w:t>221</w:t>
            </w:r>
          </w:p>
        </w:tc>
        <w:tc>
          <w:tcPr>
            <w:tcW w:w="611" w:type="pct"/>
            <w:vAlign w:val="center"/>
          </w:tcPr>
          <w:p w:rsidR="00FC668B" w:rsidRPr="00AE2A0D" w:rsidRDefault="00FC668B" w:rsidP="00FC668B">
            <w:pPr>
              <w:spacing w:after="0"/>
              <w:jc w:val="center"/>
              <w:rPr>
                <w:sz w:val="18"/>
                <w:szCs w:val="18"/>
              </w:rPr>
            </w:pPr>
            <w:r w:rsidRPr="00AE2A0D">
              <w:rPr>
                <w:sz w:val="18"/>
                <w:szCs w:val="18"/>
              </w:rPr>
              <w:t>7</w:t>
            </w:r>
            <w:r w:rsidR="00C61DCD">
              <w:rPr>
                <w:sz w:val="18"/>
                <w:szCs w:val="18"/>
              </w:rPr>
              <w:t>.</w:t>
            </w:r>
            <w:r w:rsidRPr="00AE2A0D">
              <w:rPr>
                <w:sz w:val="18"/>
                <w:szCs w:val="18"/>
              </w:rPr>
              <w:t>438</w:t>
            </w:r>
            <w:r w:rsidR="00C61DCD">
              <w:rPr>
                <w:sz w:val="18"/>
                <w:szCs w:val="18"/>
              </w:rPr>
              <w:t>.</w:t>
            </w:r>
            <w:r w:rsidRPr="00AE2A0D">
              <w:rPr>
                <w:sz w:val="18"/>
                <w:szCs w:val="18"/>
              </w:rPr>
              <w:t>836</w:t>
            </w:r>
          </w:p>
        </w:tc>
        <w:tc>
          <w:tcPr>
            <w:tcW w:w="2576" w:type="pct"/>
            <w:vAlign w:val="center"/>
          </w:tcPr>
          <w:p w:rsidR="00FC668B" w:rsidRPr="00AE2A0D" w:rsidRDefault="00FC668B" w:rsidP="00FC668B">
            <w:pPr>
              <w:spacing w:after="0"/>
              <w:rPr>
                <w:sz w:val="18"/>
                <w:szCs w:val="18"/>
              </w:rPr>
            </w:pPr>
            <w:r w:rsidRPr="00AE2A0D">
              <w:rPr>
                <w:sz w:val="18"/>
                <w:szCs w:val="18"/>
              </w:rPr>
              <w:t>Fragmento heterogêneo, formado basicamente por três fisionomias, sendo aproximadamente 1/3 de eucaliptal, 1/3 de brejo e 1/3 de área de mata praticamente sem sub-bosque.</w:t>
            </w:r>
          </w:p>
        </w:tc>
      </w:tr>
      <w:tr w:rsidR="00FC668B" w:rsidRPr="00AE2A0D" w:rsidTr="00FC668B">
        <w:trPr>
          <w:cantSplit/>
          <w:trHeight w:val="284"/>
          <w:jc w:val="center"/>
        </w:trPr>
        <w:tc>
          <w:tcPr>
            <w:tcW w:w="1203" w:type="pct"/>
            <w:vAlign w:val="center"/>
          </w:tcPr>
          <w:p w:rsidR="00FC668B" w:rsidRPr="00601693" w:rsidRDefault="00FC668B" w:rsidP="00FC668B">
            <w:pPr>
              <w:spacing w:after="0"/>
              <w:rPr>
                <w:sz w:val="18"/>
                <w:szCs w:val="18"/>
              </w:rPr>
            </w:pPr>
            <w:r w:rsidRPr="00601693">
              <w:rPr>
                <w:sz w:val="18"/>
                <w:szCs w:val="18"/>
              </w:rPr>
              <w:t>Área 4</w:t>
            </w:r>
          </w:p>
          <w:p w:rsidR="00FC668B" w:rsidRPr="00601693" w:rsidRDefault="00FC668B" w:rsidP="00FC668B">
            <w:pPr>
              <w:spacing w:after="0"/>
              <w:rPr>
                <w:sz w:val="18"/>
                <w:szCs w:val="18"/>
              </w:rPr>
            </w:pPr>
            <w:r w:rsidRPr="00601693">
              <w:rPr>
                <w:sz w:val="18"/>
                <w:szCs w:val="18"/>
              </w:rPr>
              <w:t>(Igaratá e Nazaré Paulista, SP)</w:t>
            </w:r>
          </w:p>
        </w:tc>
        <w:tc>
          <w:tcPr>
            <w:tcW w:w="610" w:type="pct"/>
            <w:vAlign w:val="center"/>
          </w:tcPr>
          <w:p w:rsidR="00FC668B" w:rsidRPr="00AE2A0D" w:rsidRDefault="00FC668B" w:rsidP="00FC668B">
            <w:pPr>
              <w:spacing w:after="0"/>
              <w:jc w:val="center"/>
              <w:rPr>
                <w:sz w:val="18"/>
                <w:szCs w:val="18"/>
              </w:rPr>
            </w:pPr>
            <w:r w:rsidRPr="00AE2A0D">
              <w:rPr>
                <w:sz w:val="18"/>
                <w:szCs w:val="18"/>
              </w:rPr>
              <w:t>372</w:t>
            </w:r>
            <w:r w:rsidR="00C61DCD">
              <w:rPr>
                <w:sz w:val="18"/>
                <w:szCs w:val="18"/>
              </w:rPr>
              <w:t>.</w:t>
            </w:r>
            <w:r w:rsidRPr="00AE2A0D">
              <w:rPr>
                <w:sz w:val="18"/>
                <w:szCs w:val="18"/>
              </w:rPr>
              <w:t>825</w:t>
            </w:r>
          </w:p>
        </w:tc>
        <w:tc>
          <w:tcPr>
            <w:tcW w:w="611" w:type="pct"/>
            <w:vAlign w:val="center"/>
          </w:tcPr>
          <w:p w:rsidR="00FC668B" w:rsidRPr="00AE2A0D" w:rsidRDefault="00FC668B" w:rsidP="00FC668B">
            <w:pPr>
              <w:spacing w:after="0"/>
              <w:jc w:val="center"/>
              <w:rPr>
                <w:sz w:val="18"/>
                <w:szCs w:val="18"/>
              </w:rPr>
            </w:pPr>
            <w:r w:rsidRPr="00AE2A0D">
              <w:rPr>
                <w:sz w:val="18"/>
                <w:szCs w:val="18"/>
              </w:rPr>
              <w:t>7</w:t>
            </w:r>
            <w:r w:rsidR="00C61DCD">
              <w:rPr>
                <w:sz w:val="18"/>
                <w:szCs w:val="18"/>
              </w:rPr>
              <w:t>.</w:t>
            </w:r>
            <w:r w:rsidRPr="00AE2A0D">
              <w:rPr>
                <w:sz w:val="18"/>
                <w:szCs w:val="18"/>
              </w:rPr>
              <w:t>439</w:t>
            </w:r>
            <w:r w:rsidR="00C61DCD">
              <w:rPr>
                <w:sz w:val="18"/>
                <w:szCs w:val="18"/>
              </w:rPr>
              <w:t>.</w:t>
            </w:r>
            <w:r w:rsidRPr="00AE2A0D">
              <w:rPr>
                <w:sz w:val="18"/>
                <w:szCs w:val="18"/>
              </w:rPr>
              <w:t>747</w:t>
            </w:r>
          </w:p>
        </w:tc>
        <w:tc>
          <w:tcPr>
            <w:tcW w:w="2576" w:type="pct"/>
            <w:vAlign w:val="center"/>
          </w:tcPr>
          <w:p w:rsidR="00FC668B" w:rsidRPr="00AE2A0D" w:rsidRDefault="00FC668B" w:rsidP="00FC668B">
            <w:pPr>
              <w:spacing w:after="0"/>
              <w:rPr>
                <w:sz w:val="18"/>
                <w:szCs w:val="18"/>
              </w:rPr>
            </w:pPr>
            <w:r w:rsidRPr="00AE2A0D">
              <w:rPr>
                <w:sz w:val="18"/>
                <w:szCs w:val="18"/>
              </w:rPr>
              <w:t>Fragmento de mata em melhor estado de conservação do que as demais, com muitas nascentes e sub-bosque denso. Presença maciça de palmitos.</w:t>
            </w:r>
          </w:p>
        </w:tc>
      </w:tr>
      <w:tr w:rsidR="00FC668B" w:rsidRPr="00AE2A0D" w:rsidTr="00FC668B">
        <w:trPr>
          <w:cantSplit/>
          <w:trHeight w:val="284"/>
          <w:jc w:val="center"/>
        </w:trPr>
        <w:tc>
          <w:tcPr>
            <w:tcW w:w="1203" w:type="pct"/>
            <w:vAlign w:val="center"/>
          </w:tcPr>
          <w:p w:rsidR="00FC668B" w:rsidRPr="00601693" w:rsidRDefault="00FC668B" w:rsidP="00FC668B">
            <w:pPr>
              <w:spacing w:after="0"/>
              <w:rPr>
                <w:sz w:val="18"/>
                <w:szCs w:val="18"/>
              </w:rPr>
            </w:pPr>
            <w:r w:rsidRPr="00601693">
              <w:rPr>
                <w:sz w:val="18"/>
                <w:szCs w:val="18"/>
              </w:rPr>
              <w:t>Área 5</w:t>
            </w:r>
          </w:p>
          <w:p w:rsidR="00FC668B" w:rsidRPr="00601693" w:rsidRDefault="00FC668B" w:rsidP="00FC668B">
            <w:pPr>
              <w:spacing w:after="0"/>
              <w:rPr>
                <w:sz w:val="18"/>
                <w:szCs w:val="18"/>
              </w:rPr>
            </w:pPr>
            <w:r w:rsidRPr="00601693">
              <w:rPr>
                <w:sz w:val="18"/>
                <w:szCs w:val="18"/>
              </w:rPr>
              <w:t>(Nazaré Paulista, SP)</w:t>
            </w:r>
          </w:p>
        </w:tc>
        <w:tc>
          <w:tcPr>
            <w:tcW w:w="610" w:type="pct"/>
            <w:vAlign w:val="center"/>
          </w:tcPr>
          <w:p w:rsidR="00FC668B" w:rsidRPr="00AE2A0D" w:rsidRDefault="00FC668B" w:rsidP="00FC668B">
            <w:pPr>
              <w:spacing w:after="0"/>
              <w:jc w:val="center"/>
              <w:rPr>
                <w:sz w:val="18"/>
                <w:szCs w:val="18"/>
              </w:rPr>
            </w:pPr>
            <w:r w:rsidRPr="00AE2A0D">
              <w:rPr>
                <w:sz w:val="18"/>
                <w:szCs w:val="18"/>
              </w:rPr>
              <w:t>369</w:t>
            </w:r>
            <w:r w:rsidR="00C61DCD">
              <w:rPr>
                <w:sz w:val="18"/>
                <w:szCs w:val="18"/>
              </w:rPr>
              <w:t>.</w:t>
            </w:r>
            <w:r w:rsidRPr="00AE2A0D">
              <w:rPr>
                <w:sz w:val="18"/>
                <w:szCs w:val="18"/>
              </w:rPr>
              <w:t>416</w:t>
            </w:r>
          </w:p>
        </w:tc>
        <w:tc>
          <w:tcPr>
            <w:tcW w:w="611" w:type="pct"/>
            <w:vAlign w:val="center"/>
          </w:tcPr>
          <w:p w:rsidR="00FC668B" w:rsidRPr="00AE2A0D" w:rsidRDefault="00FC668B" w:rsidP="00FC668B">
            <w:pPr>
              <w:spacing w:after="0"/>
              <w:jc w:val="center"/>
              <w:rPr>
                <w:sz w:val="18"/>
                <w:szCs w:val="18"/>
              </w:rPr>
            </w:pPr>
            <w:r w:rsidRPr="00AE2A0D">
              <w:rPr>
                <w:sz w:val="18"/>
                <w:szCs w:val="18"/>
              </w:rPr>
              <w:t>7</w:t>
            </w:r>
            <w:r w:rsidR="00C61DCD">
              <w:rPr>
                <w:sz w:val="18"/>
                <w:szCs w:val="18"/>
              </w:rPr>
              <w:t>.</w:t>
            </w:r>
            <w:r w:rsidRPr="00AE2A0D">
              <w:rPr>
                <w:sz w:val="18"/>
                <w:szCs w:val="18"/>
              </w:rPr>
              <w:t>442</w:t>
            </w:r>
            <w:r w:rsidR="00C61DCD">
              <w:rPr>
                <w:sz w:val="18"/>
                <w:szCs w:val="18"/>
              </w:rPr>
              <w:t>.</w:t>
            </w:r>
            <w:r w:rsidRPr="00AE2A0D">
              <w:rPr>
                <w:sz w:val="18"/>
                <w:szCs w:val="18"/>
              </w:rPr>
              <w:t>985</w:t>
            </w:r>
          </w:p>
        </w:tc>
        <w:tc>
          <w:tcPr>
            <w:tcW w:w="2576" w:type="pct"/>
            <w:vAlign w:val="center"/>
          </w:tcPr>
          <w:p w:rsidR="00FC668B" w:rsidRPr="00AE2A0D" w:rsidRDefault="00FC668B" w:rsidP="00FC668B">
            <w:pPr>
              <w:spacing w:after="0"/>
              <w:rPr>
                <w:sz w:val="18"/>
                <w:szCs w:val="18"/>
              </w:rPr>
            </w:pPr>
            <w:r w:rsidRPr="00AE2A0D">
              <w:rPr>
                <w:sz w:val="18"/>
                <w:szCs w:val="18"/>
              </w:rPr>
              <w:t>Área heterogênea composta por um fragmento de mata em bom estado de conservação, com muitas nascentes e sub-bosque denso em parte e presença de gramíneas e samambaias em uma porção mais a Oeste, e uma grande área de brejo ao sul.</w:t>
            </w:r>
          </w:p>
        </w:tc>
      </w:tr>
    </w:tbl>
    <w:p w:rsidR="00FC668B" w:rsidRPr="00AE2A0D" w:rsidRDefault="00FC668B" w:rsidP="00FC668B">
      <w:pPr>
        <w:spacing w:after="0" w:line="360" w:lineRule="auto"/>
        <w:rPr>
          <w:sz w:val="20"/>
          <w:szCs w:val="20"/>
        </w:rPr>
      </w:pPr>
    </w:p>
    <w:tbl>
      <w:tblPr>
        <w:tblW w:w="5000" w:type="pct"/>
        <w:jc w:val="center"/>
        <w:tblLook w:val="00A0" w:firstRow="1" w:lastRow="0" w:firstColumn="1" w:lastColumn="0" w:noHBand="0" w:noVBand="0"/>
      </w:tblPr>
      <w:tblGrid>
        <w:gridCol w:w="4632"/>
        <w:gridCol w:w="4722"/>
      </w:tblGrid>
      <w:tr w:rsidR="00FC668B" w:rsidRPr="007A3CD5" w:rsidTr="00FC668B">
        <w:trPr>
          <w:cantSplit/>
          <w:jc w:val="center"/>
        </w:trPr>
        <w:tc>
          <w:tcPr>
            <w:tcW w:w="2489" w:type="pct"/>
            <w:vAlign w:val="center"/>
          </w:tcPr>
          <w:p w:rsidR="00FC668B" w:rsidRPr="007A3CD5" w:rsidRDefault="00FC668B" w:rsidP="00FC668B">
            <w:pPr>
              <w:keepNext/>
              <w:spacing w:after="0"/>
              <w:jc w:val="center"/>
              <w:rPr>
                <w:rFonts w:cs="Arial"/>
                <w:sz w:val="12"/>
                <w:szCs w:val="12"/>
              </w:rPr>
            </w:pPr>
            <w:r w:rsidRPr="007A3CD5">
              <w:rPr>
                <w:rFonts w:cs="Arial"/>
                <w:sz w:val="12"/>
                <w:szCs w:val="12"/>
              </w:rPr>
              <w:object w:dxaOrig="12330" w:dyaOrig="9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25pt;height:165.6pt" o:ole="">
                  <v:imagedata r:id="rId77" o:title=""/>
                </v:shape>
                <o:OLEObject Type="Embed" ProgID="PBrush" ShapeID="_x0000_i1025" DrawAspect="Content" ObjectID="_1485879690" r:id="rId78"/>
              </w:object>
            </w:r>
          </w:p>
        </w:tc>
        <w:tc>
          <w:tcPr>
            <w:tcW w:w="2511" w:type="pct"/>
            <w:vAlign w:val="center"/>
          </w:tcPr>
          <w:p w:rsidR="00FC668B" w:rsidRPr="007A3CD5" w:rsidRDefault="00FC668B" w:rsidP="00FC668B">
            <w:pPr>
              <w:keepNext/>
              <w:spacing w:after="0"/>
              <w:jc w:val="center"/>
              <w:rPr>
                <w:rFonts w:cs="Arial"/>
                <w:sz w:val="12"/>
                <w:szCs w:val="12"/>
              </w:rPr>
            </w:pPr>
            <w:r w:rsidRPr="007A3CD5">
              <w:rPr>
                <w:rFonts w:cs="Arial"/>
                <w:sz w:val="12"/>
                <w:szCs w:val="12"/>
              </w:rPr>
              <w:object w:dxaOrig="12345" w:dyaOrig="9240">
                <v:shape id="_x0000_i1026" type="#_x0000_t75" style="width:229.35pt;height:167.65pt" o:ole="">
                  <v:imagedata r:id="rId79" o:title=""/>
                </v:shape>
                <o:OLEObject Type="Embed" ProgID="PBrush" ShapeID="_x0000_i1026" DrawAspect="Content" ObjectID="_1485879691" r:id="rId80"/>
              </w:object>
            </w:r>
          </w:p>
        </w:tc>
      </w:tr>
      <w:tr w:rsidR="00FC668B" w:rsidRPr="00AE2A0D" w:rsidTr="00FC668B">
        <w:trPr>
          <w:cantSplit/>
          <w:jc w:val="center"/>
        </w:trPr>
        <w:tc>
          <w:tcPr>
            <w:tcW w:w="2489" w:type="pct"/>
            <w:vAlign w:val="center"/>
          </w:tcPr>
          <w:p w:rsidR="00FC668B" w:rsidRPr="00AE2A0D" w:rsidRDefault="00FC668B" w:rsidP="00FC668B">
            <w:pPr>
              <w:pStyle w:val="Legenda"/>
              <w:keepNext w:val="0"/>
              <w:jc w:val="center"/>
              <w:rPr>
                <w:b/>
                <w:sz w:val="18"/>
              </w:rPr>
            </w:pPr>
            <w:r w:rsidRPr="00AE2A0D">
              <w:rPr>
                <w:sz w:val="18"/>
              </w:rPr>
              <w:t>Fragmento 1, Igaratá - SP.</w:t>
            </w:r>
          </w:p>
        </w:tc>
        <w:tc>
          <w:tcPr>
            <w:tcW w:w="2511" w:type="pct"/>
            <w:vAlign w:val="center"/>
          </w:tcPr>
          <w:p w:rsidR="00FC668B" w:rsidRPr="00AE2A0D" w:rsidRDefault="00FC668B" w:rsidP="00FC668B">
            <w:pPr>
              <w:jc w:val="center"/>
              <w:rPr>
                <w:rFonts w:cs="Arial"/>
                <w:b/>
                <w:sz w:val="18"/>
                <w:szCs w:val="18"/>
              </w:rPr>
            </w:pPr>
            <w:r w:rsidRPr="00AE2A0D">
              <w:rPr>
                <w:rFonts w:cs="Arial"/>
                <w:sz w:val="18"/>
                <w:szCs w:val="18"/>
              </w:rPr>
              <w:t>Fragmento 2, Igaratá - SP.</w:t>
            </w:r>
          </w:p>
        </w:tc>
      </w:tr>
      <w:tr w:rsidR="00FC668B" w:rsidRPr="00AE2A0D" w:rsidTr="00FC668B">
        <w:trPr>
          <w:cantSplit/>
          <w:jc w:val="center"/>
        </w:trPr>
        <w:tc>
          <w:tcPr>
            <w:tcW w:w="2489" w:type="pct"/>
            <w:vAlign w:val="center"/>
          </w:tcPr>
          <w:p w:rsidR="00FC668B" w:rsidRPr="00AE2A0D" w:rsidRDefault="00FC668B" w:rsidP="00FC668B">
            <w:pPr>
              <w:keepNext/>
              <w:spacing w:after="0"/>
              <w:jc w:val="center"/>
              <w:rPr>
                <w:rFonts w:cs="Arial"/>
                <w:color w:val="0000FF"/>
                <w:sz w:val="20"/>
                <w:szCs w:val="20"/>
              </w:rPr>
            </w:pPr>
            <w:r w:rsidRPr="00AE2A0D">
              <w:rPr>
                <w:rFonts w:cs="Arial"/>
                <w:sz w:val="20"/>
                <w:szCs w:val="20"/>
              </w:rPr>
              <w:object w:dxaOrig="12360" w:dyaOrig="9270">
                <v:shape id="_x0000_i1027" type="#_x0000_t75" style="width:217.05pt;height:166.65pt" o:ole="">
                  <v:imagedata r:id="rId81" o:title=""/>
                </v:shape>
                <o:OLEObject Type="Embed" ProgID="PBrush" ShapeID="_x0000_i1027" DrawAspect="Content" ObjectID="_1485879692" r:id="rId82"/>
              </w:object>
            </w:r>
          </w:p>
        </w:tc>
        <w:tc>
          <w:tcPr>
            <w:tcW w:w="2511" w:type="pct"/>
            <w:vAlign w:val="center"/>
          </w:tcPr>
          <w:p w:rsidR="00FC668B" w:rsidRPr="00AE2A0D" w:rsidRDefault="00FC668B" w:rsidP="00FC668B">
            <w:pPr>
              <w:keepNext/>
              <w:spacing w:after="0"/>
              <w:jc w:val="center"/>
              <w:rPr>
                <w:rFonts w:cs="Arial"/>
                <w:color w:val="0000FF"/>
                <w:sz w:val="20"/>
                <w:szCs w:val="20"/>
              </w:rPr>
            </w:pPr>
            <w:r w:rsidRPr="00AE2A0D">
              <w:rPr>
                <w:rFonts w:cs="Arial"/>
                <w:noProof/>
                <w:color w:val="0000FF"/>
                <w:sz w:val="20"/>
                <w:szCs w:val="20"/>
                <w:lang w:eastAsia="pt-BR"/>
              </w:rPr>
              <w:drawing>
                <wp:inline distT="0" distB="0" distL="0" distR="0" wp14:anchorId="2032A8A5" wp14:editId="527C9663">
                  <wp:extent cx="2832000" cy="2124000"/>
                  <wp:effectExtent l="0" t="0" r="6985" b="0"/>
                  <wp:docPr id="292" name="Imagem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extLst>
                              <a:ext uri="{28A0092B-C50C-407E-A947-70E740481C1C}">
                                <a14:useLocalDpi xmlns:a14="http://schemas.microsoft.com/office/drawing/2010/main" val="0"/>
                              </a:ext>
                            </a:extLst>
                          </a:blip>
                          <a:stretch>
                            <a:fillRect/>
                          </a:stretch>
                        </pic:blipFill>
                        <pic:spPr bwMode="auto">
                          <a:xfrm>
                            <a:off x="0" y="0"/>
                            <a:ext cx="2832000" cy="2124000"/>
                          </a:xfrm>
                          <a:prstGeom prst="rect">
                            <a:avLst/>
                          </a:prstGeom>
                          <a:noFill/>
                          <a:ln>
                            <a:noFill/>
                          </a:ln>
                        </pic:spPr>
                      </pic:pic>
                    </a:graphicData>
                  </a:graphic>
                </wp:inline>
              </w:drawing>
            </w:r>
          </w:p>
        </w:tc>
      </w:tr>
      <w:tr w:rsidR="00FC668B" w:rsidRPr="00AE2A0D" w:rsidTr="00FC668B">
        <w:trPr>
          <w:cantSplit/>
          <w:jc w:val="center"/>
        </w:trPr>
        <w:tc>
          <w:tcPr>
            <w:tcW w:w="2489" w:type="pct"/>
            <w:vAlign w:val="center"/>
          </w:tcPr>
          <w:p w:rsidR="00FC668B" w:rsidRPr="00AE2A0D" w:rsidRDefault="00FC668B" w:rsidP="00FC668B">
            <w:pPr>
              <w:tabs>
                <w:tab w:val="left" w:pos="3120"/>
              </w:tabs>
              <w:jc w:val="center"/>
              <w:rPr>
                <w:rFonts w:cs="Arial"/>
                <w:b/>
                <w:sz w:val="18"/>
                <w:szCs w:val="18"/>
              </w:rPr>
            </w:pPr>
            <w:r w:rsidRPr="00AE2A0D">
              <w:rPr>
                <w:rFonts w:cs="Arial"/>
                <w:sz w:val="18"/>
                <w:szCs w:val="18"/>
              </w:rPr>
              <w:t>Fragmento 3, Nazaré Paulista - SP.</w:t>
            </w:r>
          </w:p>
        </w:tc>
        <w:tc>
          <w:tcPr>
            <w:tcW w:w="2511" w:type="pct"/>
            <w:vAlign w:val="center"/>
          </w:tcPr>
          <w:p w:rsidR="00FC668B" w:rsidRPr="00AE2A0D" w:rsidRDefault="00FC668B" w:rsidP="00FC668B">
            <w:pPr>
              <w:jc w:val="center"/>
              <w:rPr>
                <w:rFonts w:cs="Arial"/>
                <w:b/>
                <w:sz w:val="18"/>
                <w:szCs w:val="18"/>
              </w:rPr>
            </w:pPr>
            <w:r w:rsidRPr="00AE2A0D">
              <w:rPr>
                <w:rFonts w:cs="Arial"/>
                <w:sz w:val="18"/>
                <w:szCs w:val="18"/>
              </w:rPr>
              <w:t>Fragmento 4, Nazaré Paulista - SP.</w:t>
            </w:r>
          </w:p>
        </w:tc>
      </w:tr>
    </w:tbl>
    <w:p w:rsidR="00FC668B" w:rsidRPr="00AE2A0D" w:rsidRDefault="00FC668B" w:rsidP="00FC668B"/>
    <w:tbl>
      <w:tblPr>
        <w:tblW w:w="5000" w:type="pct"/>
        <w:jc w:val="center"/>
        <w:tblLook w:val="00A0" w:firstRow="1" w:lastRow="0" w:firstColumn="1" w:lastColumn="0" w:noHBand="0" w:noVBand="0"/>
      </w:tblPr>
      <w:tblGrid>
        <w:gridCol w:w="9354"/>
      </w:tblGrid>
      <w:tr w:rsidR="00FC668B" w:rsidRPr="00AE2A0D" w:rsidTr="00FC668B">
        <w:trPr>
          <w:jc w:val="center"/>
        </w:trPr>
        <w:tc>
          <w:tcPr>
            <w:tcW w:w="5000" w:type="pct"/>
            <w:vAlign w:val="center"/>
          </w:tcPr>
          <w:p w:rsidR="00FC668B" w:rsidRPr="00AE2A0D" w:rsidRDefault="00FC668B" w:rsidP="00FC668B">
            <w:pPr>
              <w:keepNext/>
              <w:spacing w:after="0"/>
              <w:jc w:val="center"/>
              <w:rPr>
                <w:rFonts w:cs="Arial"/>
                <w:color w:val="0000FF"/>
                <w:sz w:val="20"/>
                <w:szCs w:val="20"/>
              </w:rPr>
            </w:pPr>
            <w:r w:rsidRPr="00AE2A0D">
              <w:rPr>
                <w:rFonts w:cs="Arial"/>
                <w:noProof/>
                <w:color w:val="0000FF"/>
                <w:sz w:val="20"/>
                <w:szCs w:val="20"/>
                <w:lang w:eastAsia="pt-BR"/>
              </w:rPr>
              <w:lastRenderedPageBreak/>
              <w:drawing>
                <wp:inline distT="0" distB="0" distL="0" distR="0" wp14:anchorId="10A222A5" wp14:editId="3717BCC7">
                  <wp:extent cx="2886075" cy="2164556"/>
                  <wp:effectExtent l="0" t="0" r="0" b="7620"/>
                  <wp:docPr id="293" name="Imagem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2886075" cy="2164556"/>
                          </a:xfrm>
                          <a:prstGeom prst="rect">
                            <a:avLst/>
                          </a:prstGeom>
                          <a:noFill/>
                          <a:ln>
                            <a:noFill/>
                          </a:ln>
                        </pic:spPr>
                      </pic:pic>
                    </a:graphicData>
                  </a:graphic>
                </wp:inline>
              </w:drawing>
            </w:r>
          </w:p>
        </w:tc>
      </w:tr>
      <w:tr w:rsidR="00FC668B" w:rsidRPr="00AE2A0D" w:rsidTr="00FC668B">
        <w:trPr>
          <w:trHeight w:val="340"/>
          <w:jc w:val="center"/>
        </w:trPr>
        <w:tc>
          <w:tcPr>
            <w:tcW w:w="5000" w:type="pct"/>
            <w:vAlign w:val="center"/>
          </w:tcPr>
          <w:p w:rsidR="00FC668B" w:rsidRPr="00AE2A0D" w:rsidRDefault="00FC668B" w:rsidP="00FC668B">
            <w:pPr>
              <w:jc w:val="center"/>
              <w:rPr>
                <w:rFonts w:cs="Arial"/>
                <w:b/>
                <w:sz w:val="18"/>
                <w:szCs w:val="18"/>
              </w:rPr>
            </w:pPr>
            <w:r w:rsidRPr="00AE2A0D">
              <w:rPr>
                <w:rFonts w:cs="Arial"/>
                <w:sz w:val="18"/>
                <w:szCs w:val="18"/>
              </w:rPr>
              <w:t>Fragmento 5, Nazaré Paulista - SP.</w:t>
            </w:r>
          </w:p>
        </w:tc>
      </w:tr>
    </w:tbl>
    <w:p w:rsidR="00FC668B" w:rsidRPr="00F37F8C" w:rsidRDefault="00F37F8C" w:rsidP="00F37F8C">
      <w:pPr>
        <w:pStyle w:val="Legenda"/>
        <w:rPr>
          <w:rFonts w:ascii="Arial Negrito" w:eastAsia="Arial Unicode MS" w:hAnsi="Arial Negrito" w:cs="Times New Roman"/>
          <w:smallCaps/>
          <w:snapToGrid w:val="0"/>
          <w:szCs w:val="24"/>
          <w:lang w:eastAsia="pt-BR"/>
        </w:rPr>
      </w:pPr>
      <w:bookmarkStart w:id="107" w:name="_Ref401676185"/>
      <w:r>
        <w:rPr>
          <w:rFonts w:ascii="Arial Negrito" w:eastAsia="Arial Unicode MS" w:hAnsi="Arial Negrito" w:cs="Times New Roman"/>
          <w:smallCaps/>
          <w:snapToGrid w:val="0"/>
          <w:szCs w:val="24"/>
          <w:lang w:eastAsia="pt-BR"/>
        </w:rPr>
        <w:t>T</w:t>
      </w:r>
      <w:r w:rsidR="00FC668B" w:rsidRPr="00F37F8C">
        <w:rPr>
          <w:rFonts w:ascii="Arial Negrito" w:eastAsia="Arial Unicode MS" w:hAnsi="Arial Negrito" w:cs="Times New Roman"/>
          <w:smallCaps/>
          <w:snapToGrid w:val="0"/>
          <w:szCs w:val="24"/>
          <w:lang w:eastAsia="pt-BR"/>
        </w:rPr>
        <w:t xml:space="preserve">abela </w:t>
      </w:r>
      <w:r w:rsidR="00B5232B" w:rsidRPr="00F37F8C">
        <w:rPr>
          <w:rFonts w:ascii="Arial Negrito" w:eastAsia="Arial Unicode MS" w:hAnsi="Arial Negrito" w:cs="Times New Roman"/>
          <w:smallCaps/>
          <w:snapToGrid w:val="0"/>
          <w:szCs w:val="24"/>
          <w:lang w:eastAsia="pt-BR"/>
        </w:rPr>
        <w:fldChar w:fldCharType="begin"/>
      </w:r>
      <w:r w:rsidR="00FC668B" w:rsidRPr="00F37F8C">
        <w:rPr>
          <w:rFonts w:ascii="Arial Negrito" w:eastAsia="Arial Unicode MS" w:hAnsi="Arial Negrito" w:cs="Times New Roman"/>
          <w:smallCaps/>
          <w:snapToGrid w:val="0"/>
          <w:szCs w:val="24"/>
          <w:lang w:eastAsia="pt-BR"/>
        </w:rPr>
        <w:instrText xml:space="preserve"> SEQ Tabela \* ARABIC </w:instrText>
      </w:r>
      <w:r w:rsidR="00B5232B" w:rsidRPr="00F37F8C">
        <w:rPr>
          <w:rFonts w:ascii="Arial Negrito" w:eastAsia="Arial Unicode MS" w:hAnsi="Arial Negrito" w:cs="Times New Roman"/>
          <w:smallCaps/>
          <w:snapToGrid w:val="0"/>
          <w:szCs w:val="24"/>
          <w:lang w:eastAsia="pt-BR"/>
        </w:rPr>
        <w:fldChar w:fldCharType="separate"/>
      </w:r>
      <w:r w:rsidR="00FC668B" w:rsidRPr="00F37F8C">
        <w:rPr>
          <w:rFonts w:ascii="Arial Negrito" w:eastAsia="Arial Unicode MS" w:hAnsi="Arial Negrito" w:cs="Times New Roman"/>
          <w:smallCaps/>
          <w:snapToGrid w:val="0"/>
          <w:szCs w:val="24"/>
          <w:lang w:eastAsia="pt-BR"/>
        </w:rPr>
        <w:t>6</w:t>
      </w:r>
      <w:r w:rsidR="00B5232B" w:rsidRPr="00F37F8C">
        <w:rPr>
          <w:rFonts w:ascii="Arial Negrito" w:eastAsia="Arial Unicode MS" w:hAnsi="Arial Negrito" w:cs="Times New Roman"/>
          <w:smallCaps/>
          <w:snapToGrid w:val="0"/>
          <w:szCs w:val="24"/>
          <w:lang w:eastAsia="pt-BR"/>
        </w:rPr>
        <w:fldChar w:fldCharType="end"/>
      </w:r>
      <w:bookmarkEnd w:id="107"/>
      <w:r w:rsidRPr="00F37F8C">
        <w:rPr>
          <w:rFonts w:ascii="Arial Negrito" w:eastAsia="Arial Unicode MS" w:hAnsi="Arial Negrito" w:cs="Times New Roman"/>
          <w:smallCaps/>
          <w:snapToGrid w:val="0"/>
          <w:szCs w:val="24"/>
          <w:lang w:eastAsia="pt-BR"/>
        </w:rPr>
        <w:t>.4.</w:t>
      </w:r>
      <w:r w:rsidR="009409FA">
        <w:rPr>
          <w:rFonts w:ascii="Arial Negrito" w:eastAsia="Arial Unicode MS" w:hAnsi="Arial Negrito" w:cs="Times New Roman"/>
          <w:smallCaps/>
          <w:snapToGrid w:val="0"/>
          <w:szCs w:val="24"/>
          <w:lang w:eastAsia="pt-BR"/>
        </w:rPr>
        <w:t>4-6.</w:t>
      </w:r>
      <w:r>
        <w:rPr>
          <w:rFonts w:ascii="Arial Negrito" w:eastAsia="Arial Unicode MS" w:hAnsi="Arial Negrito" w:cs="Times New Roman"/>
          <w:smallCaps/>
          <w:snapToGrid w:val="0"/>
          <w:szCs w:val="24"/>
          <w:lang w:eastAsia="pt-BR"/>
        </w:rPr>
        <w:t xml:space="preserve"> </w:t>
      </w:r>
      <w:r w:rsidR="00FC668B" w:rsidRPr="00F37F8C">
        <w:rPr>
          <w:rFonts w:ascii="Arial Negrito" w:eastAsia="Arial Unicode MS" w:hAnsi="Arial Negrito" w:cs="Times New Roman"/>
          <w:smallCaps/>
          <w:snapToGrid w:val="0"/>
          <w:szCs w:val="24"/>
          <w:lang w:eastAsia="pt-BR"/>
        </w:rPr>
        <w:t xml:space="preserve">Coordenadas (UTM, DATUM SAD 69) dos pontos onde foram encontrados exemplares de répteis ou anfíbios e demais pontos de interesse nos fragmentos escolhidos e regiões próximas às obras </w:t>
      </w:r>
    </w:p>
    <w:tbl>
      <w:tblPr>
        <w:tblW w:w="5000" w:type="pct"/>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999"/>
        <w:gridCol w:w="978"/>
        <w:gridCol w:w="4534"/>
        <w:gridCol w:w="1417"/>
        <w:gridCol w:w="1406"/>
      </w:tblGrid>
      <w:tr w:rsidR="00FC668B" w:rsidRPr="00AE2A0D" w:rsidTr="00FC668B">
        <w:trPr>
          <w:cantSplit/>
          <w:trHeight w:val="284"/>
          <w:tblHeader/>
          <w:jc w:val="center"/>
        </w:trPr>
        <w:tc>
          <w:tcPr>
            <w:tcW w:w="535" w:type="pct"/>
            <w:vMerge w:val="restart"/>
            <w:shd w:val="clear" w:color="auto" w:fill="D9D9D9"/>
            <w:vAlign w:val="center"/>
          </w:tcPr>
          <w:p w:rsidR="00FC668B" w:rsidRPr="00AE2A0D" w:rsidRDefault="00FC668B" w:rsidP="00FC668B">
            <w:pPr>
              <w:autoSpaceDE w:val="0"/>
              <w:autoSpaceDN w:val="0"/>
              <w:adjustRightInd w:val="0"/>
              <w:spacing w:after="0"/>
              <w:jc w:val="center"/>
              <w:rPr>
                <w:rFonts w:eastAsia="Cambria" w:cs="Arial"/>
                <w:b/>
                <w:color w:val="000000"/>
                <w:sz w:val="18"/>
                <w:szCs w:val="18"/>
              </w:rPr>
            </w:pPr>
            <w:r w:rsidRPr="00AE2A0D">
              <w:rPr>
                <w:rFonts w:eastAsia="Cambria" w:cs="Arial"/>
                <w:b/>
                <w:color w:val="000000"/>
                <w:sz w:val="18"/>
                <w:szCs w:val="18"/>
              </w:rPr>
              <w:t>Área Amostral</w:t>
            </w:r>
          </w:p>
        </w:tc>
        <w:tc>
          <w:tcPr>
            <w:tcW w:w="524" w:type="pct"/>
            <w:vMerge w:val="restart"/>
            <w:shd w:val="clear" w:color="auto" w:fill="D9D9D9"/>
            <w:vAlign w:val="center"/>
            <w:hideMark/>
          </w:tcPr>
          <w:p w:rsidR="00FC668B" w:rsidRPr="00AE2A0D" w:rsidRDefault="00FC668B" w:rsidP="00FC668B">
            <w:pPr>
              <w:autoSpaceDE w:val="0"/>
              <w:autoSpaceDN w:val="0"/>
              <w:adjustRightInd w:val="0"/>
              <w:spacing w:after="0"/>
              <w:jc w:val="center"/>
              <w:rPr>
                <w:rFonts w:eastAsia="Cambria" w:cs="Arial"/>
                <w:b/>
                <w:color w:val="000000"/>
                <w:sz w:val="18"/>
                <w:szCs w:val="18"/>
              </w:rPr>
            </w:pPr>
            <w:r w:rsidRPr="00AE2A0D">
              <w:rPr>
                <w:rFonts w:eastAsia="Cambria" w:cs="Arial"/>
                <w:b/>
                <w:color w:val="000000"/>
                <w:sz w:val="18"/>
                <w:szCs w:val="18"/>
              </w:rPr>
              <w:t>Pontos</w:t>
            </w:r>
          </w:p>
        </w:tc>
        <w:tc>
          <w:tcPr>
            <w:tcW w:w="2429" w:type="pct"/>
            <w:vMerge w:val="restart"/>
            <w:shd w:val="clear" w:color="auto" w:fill="D9D9D9"/>
            <w:vAlign w:val="center"/>
            <w:hideMark/>
          </w:tcPr>
          <w:p w:rsidR="00FC668B" w:rsidRPr="00AE2A0D" w:rsidRDefault="00FC668B" w:rsidP="00FC668B">
            <w:pPr>
              <w:framePr w:hSpace="141" w:wrap="around" w:vAnchor="page" w:hAnchor="margin" w:y="1741"/>
              <w:autoSpaceDE w:val="0"/>
              <w:autoSpaceDN w:val="0"/>
              <w:adjustRightInd w:val="0"/>
              <w:spacing w:after="0"/>
              <w:jc w:val="center"/>
              <w:rPr>
                <w:rFonts w:eastAsia="Cambria" w:cs="Arial"/>
                <w:b/>
                <w:color w:val="000000"/>
                <w:sz w:val="18"/>
                <w:szCs w:val="18"/>
              </w:rPr>
            </w:pPr>
            <w:r w:rsidRPr="00AE2A0D">
              <w:rPr>
                <w:rFonts w:eastAsia="Cambria" w:cs="Arial"/>
                <w:b/>
                <w:color w:val="000000"/>
                <w:sz w:val="18"/>
                <w:szCs w:val="18"/>
              </w:rPr>
              <w:t>Descrição</w:t>
            </w:r>
          </w:p>
        </w:tc>
        <w:tc>
          <w:tcPr>
            <w:tcW w:w="1512" w:type="pct"/>
            <w:gridSpan w:val="2"/>
            <w:shd w:val="clear" w:color="auto" w:fill="D9D9D9"/>
            <w:vAlign w:val="center"/>
            <w:hideMark/>
          </w:tcPr>
          <w:p w:rsidR="00FC668B" w:rsidRPr="00AE2A0D" w:rsidRDefault="00FC668B" w:rsidP="00FC668B">
            <w:pPr>
              <w:autoSpaceDE w:val="0"/>
              <w:autoSpaceDN w:val="0"/>
              <w:adjustRightInd w:val="0"/>
              <w:spacing w:after="0"/>
              <w:jc w:val="center"/>
              <w:rPr>
                <w:rFonts w:eastAsia="Cambria" w:cs="Arial"/>
                <w:b/>
                <w:color w:val="000000"/>
                <w:sz w:val="18"/>
                <w:szCs w:val="18"/>
              </w:rPr>
            </w:pPr>
            <w:r w:rsidRPr="00AE2A0D">
              <w:rPr>
                <w:rFonts w:eastAsia="Cambria" w:cs="Arial"/>
                <w:b/>
                <w:color w:val="000000"/>
                <w:sz w:val="18"/>
                <w:szCs w:val="18"/>
              </w:rPr>
              <w:t>Coordenadas UTM 23K</w:t>
            </w:r>
          </w:p>
        </w:tc>
      </w:tr>
      <w:tr w:rsidR="00FC668B" w:rsidRPr="00AE2A0D" w:rsidTr="00FC668B">
        <w:trPr>
          <w:cantSplit/>
          <w:trHeight w:val="284"/>
          <w:tblHeader/>
          <w:jc w:val="center"/>
        </w:trPr>
        <w:tc>
          <w:tcPr>
            <w:tcW w:w="535" w:type="pct"/>
            <w:vMerge/>
            <w:vAlign w:val="center"/>
          </w:tcPr>
          <w:p w:rsidR="00FC668B" w:rsidRPr="00AE2A0D" w:rsidRDefault="00FC668B" w:rsidP="00FC668B">
            <w:pPr>
              <w:spacing w:after="0"/>
              <w:jc w:val="center"/>
              <w:rPr>
                <w:rFonts w:eastAsia="Cambria" w:cs="Arial"/>
                <w:b/>
                <w:color w:val="000000"/>
                <w:sz w:val="18"/>
                <w:szCs w:val="18"/>
              </w:rPr>
            </w:pPr>
          </w:p>
        </w:tc>
        <w:tc>
          <w:tcPr>
            <w:tcW w:w="524" w:type="pct"/>
            <w:vMerge/>
            <w:vAlign w:val="center"/>
            <w:hideMark/>
          </w:tcPr>
          <w:p w:rsidR="00FC668B" w:rsidRPr="00AE2A0D" w:rsidRDefault="00FC668B" w:rsidP="00FC668B">
            <w:pPr>
              <w:spacing w:after="0"/>
              <w:jc w:val="center"/>
              <w:rPr>
                <w:rFonts w:eastAsia="Cambria" w:cs="Arial"/>
                <w:b/>
                <w:color w:val="000000"/>
                <w:sz w:val="18"/>
                <w:szCs w:val="18"/>
              </w:rPr>
            </w:pPr>
          </w:p>
        </w:tc>
        <w:tc>
          <w:tcPr>
            <w:tcW w:w="2429" w:type="pct"/>
            <w:vMerge/>
            <w:vAlign w:val="center"/>
            <w:hideMark/>
          </w:tcPr>
          <w:p w:rsidR="00FC668B" w:rsidRPr="00AE2A0D" w:rsidRDefault="00FC668B" w:rsidP="00FC668B">
            <w:pPr>
              <w:spacing w:after="0"/>
              <w:jc w:val="center"/>
              <w:rPr>
                <w:rFonts w:eastAsia="Cambria" w:cs="Arial"/>
                <w:b/>
                <w:color w:val="000000"/>
                <w:sz w:val="18"/>
                <w:szCs w:val="18"/>
              </w:rPr>
            </w:pPr>
          </w:p>
        </w:tc>
        <w:tc>
          <w:tcPr>
            <w:tcW w:w="759" w:type="pct"/>
            <w:shd w:val="clear" w:color="auto" w:fill="D9D9D9"/>
            <w:vAlign w:val="center"/>
            <w:hideMark/>
          </w:tcPr>
          <w:p w:rsidR="00FC668B" w:rsidRPr="00AE2A0D" w:rsidRDefault="00FC668B" w:rsidP="00FC668B">
            <w:pPr>
              <w:autoSpaceDE w:val="0"/>
              <w:autoSpaceDN w:val="0"/>
              <w:adjustRightInd w:val="0"/>
              <w:spacing w:after="0"/>
              <w:jc w:val="center"/>
              <w:rPr>
                <w:rFonts w:eastAsia="Cambria" w:cs="Arial"/>
                <w:b/>
                <w:color w:val="000000"/>
                <w:sz w:val="18"/>
                <w:szCs w:val="18"/>
              </w:rPr>
            </w:pPr>
            <w:r w:rsidRPr="00AE2A0D">
              <w:rPr>
                <w:rFonts w:eastAsia="Cambria" w:cs="Arial"/>
                <w:b/>
                <w:color w:val="000000"/>
                <w:sz w:val="18"/>
                <w:szCs w:val="18"/>
              </w:rPr>
              <w:t>E</w:t>
            </w:r>
          </w:p>
        </w:tc>
        <w:tc>
          <w:tcPr>
            <w:tcW w:w="753" w:type="pct"/>
            <w:shd w:val="clear" w:color="auto" w:fill="D9D9D9"/>
            <w:vAlign w:val="center"/>
            <w:hideMark/>
          </w:tcPr>
          <w:p w:rsidR="00FC668B" w:rsidRPr="00AE2A0D" w:rsidRDefault="00FC668B" w:rsidP="00FC668B">
            <w:pPr>
              <w:autoSpaceDE w:val="0"/>
              <w:autoSpaceDN w:val="0"/>
              <w:adjustRightInd w:val="0"/>
              <w:spacing w:after="0"/>
              <w:jc w:val="center"/>
              <w:rPr>
                <w:rFonts w:eastAsia="Cambria" w:cs="Arial"/>
                <w:b/>
                <w:color w:val="000000"/>
                <w:sz w:val="18"/>
                <w:szCs w:val="18"/>
              </w:rPr>
            </w:pPr>
            <w:r w:rsidRPr="00AE2A0D">
              <w:rPr>
                <w:rFonts w:eastAsia="Cambria" w:cs="Arial"/>
                <w:b/>
                <w:color w:val="000000"/>
                <w:sz w:val="18"/>
                <w:szCs w:val="18"/>
              </w:rPr>
              <w:t>S</w:t>
            </w:r>
          </w:p>
        </w:tc>
      </w:tr>
      <w:tr w:rsidR="00FC668B" w:rsidRPr="00AE2A0D" w:rsidTr="00FC668B">
        <w:trPr>
          <w:cantSplit/>
          <w:trHeight w:val="284"/>
          <w:jc w:val="center"/>
        </w:trPr>
        <w:tc>
          <w:tcPr>
            <w:tcW w:w="535" w:type="pct"/>
            <w:vMerge w:val="restar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Pr>
                <w:rFonts w:eastAsia="Cambria" w:cs="Arial"/>
                <w:color w:val="000000"/>
                <w:sz w:val="18"/>
                <w:szCs w:val="18"/>
              </w:rPr>
              <w:t>Área 1</w:t>
            </w:r>
          </w:p>
        </w:tc>
        <w:tc>
          <w:tcPr>
            <w:tcW w:w="524" w:type="pct"/>
            <w:vAlign w:val="center"/>
            <w:hideMark/>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1</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Borda de mata em matriz pasto</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379625</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7429768</w:t>
            </w:r>
          </w:p>
        </w:tc>
      </w:tr>
      <w:tr w:rsidR="00FC668B" w:rsidRPr="00AE2A0D" w:rsidTr="00FC668B">
        <w:trPr>
          <w:cantSplit/>
          <w:trHeight w:val="284"/>
          <w:jc w:val="center"/>
        </w:trPr>
        <w:tc>
          <w:tcPr>
            <w:tcW w:w="535" w:type="pct"/>
            <w:vMerge/>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p>
        </w:tc>
        <w:tc>
          <w:tcPr>
            <w:tcW w:w="524" w:type="pct"/>
            <w:vAlign w:val="center"/>
            <w:hideMark/>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2</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Porção Leste do fragmento 1</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379706</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7429875</w:t>
            </w:r>
          </w:p>
        </w:tc>
      </w:tr>
      <w:tr w:rsidR="00FC668B" w:rsidRPr="00AE2A0D" w:rsidTr="00FC668B">
        <w:trPr>
          <w:cantSplit/>
          <w:trHeight w:val="284"/>
          <w:jc w:val="center"/>
        </w:trPr>
        <w:tc>
          <w:tcPr>
            <w:tcW w:w="535" w:type="pct"/>
            <w:vMerge/>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p>
        </w:tc>
        <w:tc>
          <w:tcPr>
            <w:tcW w:w="524" w:type="pct"/>
            <w:vAlign w:val="center"/>
            <w:hideMark/>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3</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Porção Sul do fragmento 1</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379612</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7429614</w:t>
            </w:r>
          </w:p>
        </w:tc>
      </w:tr>
      <w:tr w:rsidR="00FC668B" w:rsidRPr="00AE2A0D" w:rsidTr="00FC668B">
        <w:trPr>
          <w:cantSplit/>
          <w:trHeight w:val="284"/>
          <w:jc w:val="center"/>
        </w:trPr>
        <w:tc>
          <w:tcPr>
            <w:tcW w:w="535" w:type="pct"/>
            <w:vMerge/>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p>
        </w:tc>
        <w:tc>
          <w:tcPr>
            <w:tcW w:w="524" w:type="pct"/>
            <w:vAlign w:val="center"/>
            <w:hideMark/>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4</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Porção Oeste do fragmento 1</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379314</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7429690</w:t>
            </w:r>
          </w:p>
        </w:tc>
      </w:tr>
      <w:tr w:rsidR="00FC668B" w:rsidRPr="00AE2A0D" w:rsidTr="00FC668B">
        <w:trPr>
          <w:cantSplit/>
          <w:trHeight w:val="284"/>
          <w:jc w:val="center"/>
        </w:trPr>
        <w:tc>
          <w:tcPr>
            <w:tcW w:w="535" w:type="pct"/>
            <w:vMerge/>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p>
        </w:tc>
        <w:tc>
          <w:tcPr>
            <w:tcW w:w="524" w:type="pct"/>
            <w:vAlign w:val="center"/>
            <w:hideMark/>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5</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Braço seco da represa de Jaguari</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379330</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7429572</w:t>
            </w:r>
          </w:p>
        </w:tc>
      </w:tr>
      <w:tr w:rsidR="00FC668B" w:rsidRPr="00AE2A0D" w:rsidTr="00FC668B">
        <w:trPr>
          <w:cantSplit/>
          <w:trHeight w:val="284"/>
          <w:jc w:val="center"/>
        </w:trPr>
        <w:tc>
          <w:tcPr>
            <w:tcW w:w="535" w:type="pct"/>
            <w:vMerge w:val="restar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Pr>
                <w:rFonts w:eastAsia="Cambria" w:cs="Arial"/>
                <w:color w:val="000000"/>
                <w:sz w:val="18"/>
                <w:szCs w:val="18"/>
              </w:rPr>
              <w:t>Área 2</w:t>
            </w:r>
          </w:p>
        </w:tc>
        <w:tc>
          <w:tcPr>
            <w:tcW w:w="524"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6</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Área brejosa em interior de mata no fragmento 2</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375863</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7434333</w:t>
            </w:r>
          </w:p>
        </w:tc>
      </w:tr>
      <w:tr w:rsidR="00FC668B" w:rsidRPr="00AE2A0D" w:rsidTr="00FC668B">
        <w:trPr>
          <w:cantSplit/>
          <w:trHeight w:val="284"/>
          <w:jc w:val="center"/>
        </w:trPr>
        <w:tc>
          <w:tcPr>
            <w:tcW w:w="535" w:type="pct"/>
            <w:vMerge/>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p>
        </w:tc>
        <w:tc>
          <w:tcPr>
            <w:tcW w:w="524"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7</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Queda d’água em tanque artificial no fragmento 2</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375627</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7434508</w:t>
            </w:r>
          </w:p>
        </w:tc>
      </w:tr>
      <w:tr w:rsidR="00FC668B" w:rsidRPr="00AE2A0D" w:rsidTr="00FC668B">
        <w:trPr>
          <w:cantSplit/>
          <w:trHeight w:val="284"/>
          <w:jc w:val="center"/>
        </w:trPr>
        <w:tc>
          <w:tcPr>
            <w:tcW w:w="535" w:type="pct"/>
            <w:vMerge/>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p>
        </w:tc>
        <w:tc>
          <w:tcPr>
            <w:tcW w:w="524"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8</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Açude em borda de mata no fragmento 2</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375644</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7434725</w:t>
            </w:r>
          </w:p>
        </w:tc>
      </w:tr>
      <w:tr w:rsidR="00FC668B" w:rsidRPr="00AE2A0D" w:rsidTr="00FC668B">
        <w:trPr>
          <w:cantSplit/>
          <w:trHeight w:val="284"/>
          <w:jc w:val="center"/>
        </w:trPr>
        <w:tc>
          <w:tcPr>
            <w:tcW w:w="535" w:type="pct"/>
            <w:vMerge/>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p>
        </w:tc>
        <w:tc>
          <w:tcPr>
            <w:tcW w:w="524"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20</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Tanques de piscicultura próximos ao fragmento 2</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375805</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7434046</w:t>
            </w:r>
          </w:p>
        </w:tc>
      </w:tr>
      <w:tr w:rsidR="00FC668B" w:rsidRPr="00AE2A0D" w:rsidTr="00FC668B">
        <w:trPr>
          <w:cantSplit/>
          <w:trHeight w:val="284"/>
          <w:jc w:val="center"/>
        </w:trPr>
        <w:tc>
          <w:tcPr>
            <w:tcW w:w="535" w:type="pct"/>
            <w:vMerge w:val="restar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Área 3</w:t>
            </w:r>
          </w:p>
        </w:tc>
        <w:tc>
          <w:tcPr>
            <w:tcW w:w="524"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9</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Brejo em matriz de pasto e eucalipto no fragmento 3</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374402</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7438839</w:t>
            </w:r>
          </w:p>
        </w:tc>
      </w:tr>
      <w:tr w:rsidR="00FC668B" w:rsidRPr="00AE2A0D" w:rsidTr="00FC668B">
        <w:trPr>
          <w:cantSplit/>
          <w:trHeight w:val="284"/>
          <w:jc w:val="center"/>
        </w:trPr>
        <w:tc>
          <w:tcPr>
            <w:tcW w:w="535" w:type="pct"/>
            <w:vMerge/>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p>
        </w:tc>
        <w:tc>
          <w:tcPr>
            <w:tcW w:w="524"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10</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Área brejosa no fragmento 3, porém atualmente seca devido à estiagem</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374107</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7438778</w:t>
            </w:r>
          </w:p>
        </w:tc>
      </w:tr>
      <w:tr w:rsidR="00FC668B" w:rsidRPr="00AE2A0D" w:rsidTr="00FC668B">
        <w:trPr>
          <w:cantSplit/>
          <w:trHeight w:val="284"/>
          <w:jc w:val="center"/>
        </w:trPr>
        <w:tc>
          <w:tcPr>
            <w:tcW w:w="535" w:type="pct"/>
            <w:vMerge w:val="restar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Área 4</w:t>
            </w:r>
          </w:p>
        </w:tc>
        <w:tc>
          <w:tcPr>
            <w:tcW w:w="524"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11</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Porção Leste do fragmento 4</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372715</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7439958</w:t>
            </w:r>
          </w:p>
        </w:tc>
      </w:tr>
      <w:tr w:rsidR="00FC668B" w:rsidRPr="00AE2A0D" w:rsidTr="00FC668B">
        <w:trPr>
          <w:cantSplit/>
          <w:trHeight w:val="284"/>
          <w:jc w:val="center"/>
        </w:trPr>
        <w:tc>
          <w:tcPr>
            <w:tcW w:w="535" w:type="pct"/>
            <w:vMerge/>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p>
        </w:tc>
        <w:tc>
          <w:tcPr>
            <w:tcW w:w="524"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12</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Porção Oeste do fragmento 4</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372085</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7439734</w:t>
            </w:r>
          </w:p>
        </w:tc>
      </w:tr>
      <w:tr w:rsidR="00FC668B" w:rsidRPr="00AE2A0D" w:rsidTr="00FC668B">
        <w:trPr>
          <w:cantSplit/>
          <w:trHeight w:val="284"/>
          <w:jc w:val="center"/>
        </w:trPr>
        <w:tc>
          <w:tcPr>
            <w:tcW w:w="535" w:type="pct"/>
            <w:vMerge/>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p>
        </w:tc>
        <w:tc>
          <w:tcPr>
            <w:tcW w:w="524"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13</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Estrada de terra no interior do fragmento 4</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372402</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7439988</w:t>
            </w:r>
          </w:p>
        </w:tc>
      </w:tr>
      <w:tr w:rsidR="00FC668B" w:rsidRPr="00AE2A0D" w:rsidTr="00FC668B">
        <w:trPr>
          <w:cantSplit/>
          <w:trHeight w:val="284"/>
          <w:jc w:val="center"/>
        </w:trPr>
        <w:tc>
          <w:tcPr>
            <w:tcW w:w="535" w:type="pct"/>
            <w:vMerge w:val="restar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Pr>
                <w:rFonts w:eastAsia="Cambria" w:cs="Arial"/>
                <w:color w:val="000000"/>
                <w:sz w:val="18"/>
                <w:szCs w:val="18"/>
              </w:rPr>
              <w:t>Área 5</w:t>
            </w:r>
          </w:p>
        </w:tc>
        <w:tc>
          <w:tcPr>
            <w:tcW w:w="524"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14</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Brejo no fragmento 5</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369309</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7443049</w:t>
            </w:r>
          </w:p>
        </w:tc>
      </w:tr>
      <w:tr w:rsidR="00FC668B" w:rsidRPr="00AE2A0D" w:rsidTr="00FC668B">
        <w:trPr>
          <w:cantSplit/>
          <w:trHeight w:val="284"/>
          <w:jc w:val="center"/>
        </w:trPr>
        <w:tc>
          <w:tcPr>
            <w:tcW w:w="535" w:type="pct"/>
            <w:vMerge/>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p>
        </w:tc>
        <w:tc>
          <w:tcPr>
            <w:tcW w:w="524"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15</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Córrego em interior de mata no fragmento 5</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369692</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7442963</w:t>
            </w:r>
          </w:p>
        </w:tc>
      </w:tr>
      <w:tr w:rsidR="00FC668B" w:rsidRPr="00AE2A0D" w:rsidTr="00FC668B">
        <w:trPr>
          <w:cantSplit/>
          <w:trHeight w:val="284"/>
          <w:jc w:val="center"/>
        </w:trPr>
        <w:tc>
          <w:tcPr>
            <w:tcW w:w="535" w:type="pct"/>
            <w:vMerge/>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p>
        </w:tc>
        <w:tc>
          <w:tcPr>
            <w:tcW w:w="524"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16</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Pequeno tanque em área de pasto</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369444</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7443013</w:t>
            </w:r>
          </w:p>
        </w:tc>
      </w:tr>
      <w:tr w:rsidR="00FC668B" w:rsidRPr="00AE2A0D" w:rsidTr="00FC668B">
        <w:trPr>
          <w:cantSplit/>
          <w:trHeight w:val="284"/>
          <w:jc w:val="center"/>
        </w:trPr>
        <w:tc>
          <w:tcPr>
            <w:tcW w:w="535" w:type="pct"/>
            <w:vMerge/>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p>
        </w:tc>
        <w:tc>
          <w:tcPr>
            <w:tcW w:w="524"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17</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Córrego em interior de mata do fragmento 5</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369589</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7443148</w:t>
            </w:r>
          </w:p>
        </w:tc>
      </w:tr>
      <w:tr w:rsidR="00FC668B" w:rsidRPr="00AE2A0D" w:rsidTr="00FC668B">
        <w:trPr>
          <w:cantSplit/>
          <w:trHeight w:val="284"/>
          <w:jc w:val="center"/>
        </w:trPr>
        <w:tc>
          <w:tcPr>
            <w:tcW w:w="535" w:type="pct"/>
            <w:vMerge/>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p>
        </w:tc>
        <w:tc>
          <w:tcPr>
            <w:tcW w:w="524"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18</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Braço seco da represa de Atibainha</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369115</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7443709</w:t>
            </w:r>
          </w:p>
        </w:tc>
      </w:tr>
      <w:tr w:rsidR="00FC668B" w:rsidRPr="00AE2A0D" w:rsidTr="00FC668B">
        <w:trPr>
          <w:cantSplit/>
          <w:trHeight w:val="284"/>
          <w:jc w:val="center"/>
        </w:trPr>
        <w:tc>
          <w:tcPr>
            <w:tcW w:w="535" w:type="pct"/>
            <w:vMerge/>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p>
        </w:tc>
        <w:tc>
          <w:tcPr>
            <w:tcW w:w="524"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19</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Área de mata no interior do fragmento 5</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369311</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7443263</w:t>
            </w:r>
          </w:p>
        </w:tc>
      </w:tr>
      <w:tr w:rsidR="00FC668B" w:rsidRPr="00AE2A0D" w:rsidTr="00FC668B">
        <w:trPr>
          <w:cantSplit/>
          <w:trHeight w:val="284"/>
          <w:jc w:val="center"/>
        </w:trPr>
        <w:tc>
          <w:tcPr>
            <w:tcW w:w="535" w:type="pct"/>
            <w:vMerge/>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p>
        </w:tc>
        <w:tc>
          <w:tcPr>
            <w:tcW w:w="524"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H 21</w:t>
            </w:r>
          </w:p>
        </w:tc>
        <w:tc>
          <w:tcPr>
            <w:tcW w:w="242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Estrada de terra próxima ao fragmento 5</w:t>
            </w:r>
          </w:p>
        </w:tc>
        <w:tc>
          <w:tcPr>
            <w:tcW w:w="759"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369760</w:t>
            </w:r>
          </w:p>
        </w:tc>
        <w:tc>
          <w:tcPr>
            <w:tcW w:w="753" w:type="pct"/>
            <w:vAlign w:val="center"/>
          </w:tcPr>
          <w:p w:rsidR="00FC668B" w:rsidRPr="00AE2A0D" w:rsidRDefault="00FC668B" w:rsidP="00FC668B">
            <w:pPr>
              <w:autoSpaceDE w:val="0"/>
              <w:autoSpaceDN w:val="0"/>
              <w:adjustRightInd w:val="0"/>
              <w:spacing w:after="0"/>
              <w:jc w:val="center"/>
              <w:rPr>
                <w:rFonts w:eastAsia="Cambria" w:cs="Arial"/>
                <w:color w:val="000000"/>
                <w:sz w:val="18"/>
                <w:szCs w:val="18"/>
              </w:rPr>
            </w:pPr>
            <w:r w:rsidRPr="00AE2A0D">
              <w:rPr>
                <w:rFonts w:eastAsia="Cambria" w:cs="Arial"/>
                <w:color w:val="000000"/>
                <w:sz w:val="18"/>
                <w:szCs w:val="18"/>
              </w:rPr>
              <w:t>7444495</w:t>
            </w:r>
          </w:p>
        </w:tc>
      </w:tr>
    </w:tbl>
    <w:p w:rsidR="00FC668B" w:rsidRPr="00AE2A0D" w:rsidRDefault="00FC668B" w:rsidP="00FC668B">
      <w:pPr>
        <w:spacing w:before="120"/>
      </w:pPr>
      <w:bookmarkStart w:id="108" w:name="_Ref401676289"/>
      <w:r w:rsidRPr="00AE2A0D">
        <w:t xml:space="preserve">Como parte dos animais registrados em levantamentos de fauna são encontrados durante os deslocamentos, adotou-se também a procura ativa de carro como forma de ampliar o esforço amostral. O método consiste em deslocar-se pelas estradas de terra </w:t>
      </w:r>
      <w:r>
        <w:t>existentes nas</w:t>
      </w:r>
      <w:r w:rsidRPr="00AE2A0D">
        <w:t xml:space="preserve"> áreas de amostragem a uma velocidade média de 20 km/h, com um observador de cada lado do veículo, atento a animais, vocalizações ou vestígios durante o trajeto. Durante o presente estudo foram feitas 4 horas e 30 minutos de busca ativa com automóvel. O esforço amostral total encontra-se na</w:t>
      </w:r>
      <w:r w:rsidR="00F37F8C">
        <w:t xml:space="preserve"> </w:t>
      </w:r>
      <w:r w:rsidR="00F37F8C" w:rsidRPr="00F37F8C">
        <w:rPr>
          <w:b/>
        </w:rPr>
        <w:t>Tabela 6.4.</w:t>
      </w:r>
      <w:r w:rsidR="002F5F14">
        <w:rPr>
          <w:b/>
        </w:rPr>
        <w:t>4-7</w:t>
      </w:r>
      <w:r w:rsidRPr="00AE2A0D">
        <w:t>.</w:t>
      </w:r>
    </w:p>
    <w:p w:rsidR="00FC668B" w:rsidRPr="00F37F8C" w:rsidRDefault="00FC668B" w:rsidP="000A0BA1">
      <w:pPr>
        <w:pStyle w:val="Legenda"/>
        <w:jc w:val="center"/>
        <w:rPr>
          <w:rFonts w:ascii="Arial Negrito" w:eastAsia="Arial Unicode MS" w:hAnsi="Arial Negrito" w:cs="Times New Roman"/>
          <w:smallCaps/>
          <w:snapToGrid w:val="0"/>
          <w:szCs w:val="24"/>
          <w:lang w:eastAsia="pt-BR"/>
        </w:rPr>
      </w:pPr>
      <w:r w:rsidRPr="00F37F8C">
        <w:rPr>
          <w:rFonts w:ascii="Arial Negrito" w:eastAsia="Arial Unicode MS" w:hAnsi="Arial Negrito" w:cs="Times New Roman"/>
          <w:smallCaps/>
          <w:snapToGrid w:val="0"/>
          <w:szCs w:val="24"/>
          <w:lang w:eastAsia="pt-BR"/>
        </w:rPr>
        <w:lastRenderedPageBreak/>
        <w:t xml:space="preserve">Tabela </w:t>
      </w:r>
      <w:bookmarkEnd w:id="108"/>
      <w:r w:rsidR="00F37F8C" w:rsidRPr="00F37F8C">
        <w:rPr>
          <w:rFonts w:ascii="Arial Negrito" w:eastAsia="Arial Unicode MS" w:hAnsi="Arial Negrito" w:cs="Times New Roman"/>
          <w:smallCaps/>
          <w:snapToGrid w:val="0"/>
          <w:szCs w:val="24"/>
          <w:lang w:eastAsia="pt-BR"/>
        </w:rPr>
        <w:t>6.4.</w:t>
      </w:r>
      <w:r w:rsidR="002F5F14">
        <w:rPr>
          <w:rFonts w:ascii="Arial Negrito" w:eastAsia="Arial Unicode MS" w:hAnsi="Arial Negrito" w:cs="Times New Roman"/>
          <w:smallCaps/>
          <w:snapToGrid w:val="0"/>
          <w:szCs w:val="24"/>
          <w:lang w:eastAsia="pt-BR"/>
        </w:rPr>
        <w:t>4-7.</w:t>
      </w:r>
      <w:r w:rsidRPr="00F37F8C">
        <w:rPr>
          <w:rFonts w:ascii="Arial Negrito" w:eastAsia="Arial Unicode MS" w:hAnsi="Arial Negrito" w:cs="Times New Roman"/>
          <w:smallCaps/>
          <w:snapToGrid w:val="0"/>
          <w:szCs w:val="24"/>
          <w:lang w:eastAsia="pt-BR"/>
        </w:rPr>
        <w:t xml:space="preserve"> Esforço amostral empregado em cada método por área durante as amostragens da herpetofauna</w:t>
      </w:r>
    </w:p>
    <w:tbl>
      <w:tblPr>
        <w:tblW w:w="500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1E0" w:firstRow="1" w:lastRow="1" w:firstColumn="1" w:lastColumn="1" w:noHBand="0" w:noVBand="0"/>
      </w:tblPr>
      <w:tblGrid>
        <w:gridCol w:w="1392"/>
        <w:gridCol w:w="2648"/>
        <w:gridCol w:w="2647"/>
        <w:gridCol w:w="2647"/>
      </w:tblGrid>
      <w:tr w:rsidR="00FC668B" w:rsidRPr="00AE2A0D" w:rsidTr="00FC668B">
        <w:trPr>
          <w:trHeight w:val="561"/>
          <w:tblHeader/>
        </w:trPr>
        <w:tc>
          <w:tcPr>
            <w:tcW w:w="745" w:type="pct"/>
            <w:shd w:val="clear" w:color="auto" w:fill="D9D9D9"/>
            <w:vAlign w:val="center"/>
          </w:tcPr>
          <w:p w:rsidR="00FC668B" w:rsidRPr="00AE2A0D" w:rsidRDefault="00FC668B" w:rsidP="00FC668B">
            <w:pPr>
              <w:spacing w:after="0"/>
              <w:rPr>
                <w:rFonts w:cs="Arial"/>
                <w:b/>
                <w:sz w:val="18"/>
                <w:szCs w:val="18"/>
              </w:rPr>
            </w:pPr>
            <w:r w:rsidRPr="00AE2A0D">
              <w:rPr>
                <w:rFonts w:cs="Arial"/>
                <w:b/>
                <w:sz w:val="18"/>
                <w:szCs w:val="18"/>
              </w:rPr>
              <w:t>Áreas</w:t>
            </w:r>
          </w:p>
        </w:tc>
        <w:tc>
          <w:tcPr>
            <w:tcW w:w="1418" w:type="pct"/>
            <w:shd w:val="clear" w:color="auto" w:fill="D9D9D9"/>
            <w:vAlign w:val="center"/>
          </w:tcPr>
          <w:p w:rsidR="00FC668B" w:rsidRPr="00AE2A0D" w:rsidRDefault="00FC668B" w:rsidP="00FC668B">
            <w:pPr>
              <w:spacing w:after="0"/>
              <w:jc w:val="center"/>
              <w:rPr>
                <w:rFonts w:cs="Arial"/>
                <w:b/>
                <w:sz w:val="18"/>
                <w:szCs w:val="18"/>
              </w:rPr>
            </w:pPr>
            <w:r w:rsidRPr="00AE2A0D">
              <w:rPr>
                <w:rFonts w:cs="Arial"/>
                <w:b/>
                <w:sz w:val="18"/>
                <w:szCs w:val="18"/>
              </w:rPr>
              <w:t>Procura ativa diurna (homem/horas)</w:t>
            </w:r>
          </w:p>
        </w:tc>
        <w:tc>
          <w:tcPr>
            <w:tcW w:w="1418" w:type="pct"/>
            <w:shd w:val="clear" w:color="auto" w:fill="D9D9D9"/>
            <w:vAlign w:val="center"/>
          </w:tcPr>
          <w:p w:rsidR="00FC668B" w:rsidRPr="00AE2A0D" w:rsidRDefault="00FC668B" w:rsidP="00FC668B">
            <w:pPr>
              <w:spacing w:after="0"/>
              <w:jc w:val="center"/>
              <w:rPr>
                <w:rFonts w:cs="Arial"/>
                <w:b/>
                <w:sz w:val="18"/>
                <w:szCs w:val="18"/>
              </w:rPr>
            </w:pPr>
            <w:r w:rsidRPr="00AE2A0D">
              <w:rPr>
                <w:rFonts w:cs="Arial"/>
                <w:b/>
                <w:sz w:val="18"/>
                <w:szCs w:val="18"/>
              </w:rPr>
              <w:t>Procura ativa noturna (homem/horas)</w:t>
            </w:r>
          </w:p>
        </w:tc>
        <w:tc>
          <w:tcPr>
            <w:tcW w:w="1418" w:type="pct"/>
            <w:shd w:val="clear" w:color="auto" w:fill="D9D9D9"/>
            <w:vAlign w:val="center"/>
          </w:tcPr>
          <w:p w:rsidR="00FC668B" w:rsidRPr="00AE2A0D" w:rsidRDefault="00FC668B" w:rsidP="00FC668B">
            <w:pPr>
              <w:spacing w:after="0"/>
              <w:jc w:val="center"/>
              <w:rPr>
                <w:rFonts w:cs="Arial"/>
                <w:b/>
                <w:sz w:val="18"/>
                <w:szCs w:val="18"/>
              </w:rPr>
            </w:pPr>
            <w:r w:rsidRPr="00AE2A0D">
              <w:rPr>
                <w:rFonts w:cs="Arial"/>
                <w:b/>
                <w:sz w:val="18"/>
                <w:szCs w:val="18"/>
              </w:rPr>
              <w:t>Estradas (minutos)</w:t>
            </w:r>
          </w:p>
        </w:tc>
      </w:tr>
      <w:tr w:rsidR="00FC668B" w:rsidRPr="00AE2A0D" w:rsidTr="00FC668B">
        <w:tc>
          <w:tcPr>
            <w:tcW w:w="745" w:type="pct"/>
            <w:vAlign w:val="center"/>
          </w:tcPr>
          <w:p w:rsidR="00FC668B" w:rsidRPr="00AE2A0D" w:rsidRDefault="00FC668B" w:rsidP="00FC668B">
            <w:pPr>
              <w:spacing w:after="0"/>
              <w:rPr>
                <w:rFonts w:cs="Arial"/>
                <w:sz w:val="18"/>
                <w:szCs w:val="18"/>
              </w:rPr>
            </w:pPr>
            <w:r w:rsidRPr="00AE2A0D">
              <w:rPr>
                <w:rFonts w:cs="Arial"/>
                <w:sz w:val="18"/>
                <w:szCs w:val="18"/>
              </w:rPr>
              <w:t>Área 1</w:t>
            </w:r>
          </w:p>
        </w:tc>
        <w:tc>
          <w:tcPr>
            <w:tcW w:w="1418" w:type="pct"/>
            <w:vAlign w:val="center"/>
          </w:tcPr>
          <w:p w:rsidR="00FC668B" w:rsidRPr="00AE2A0D" w:rsidRDefault="00FC668B" w:rsidP="00FC668B">
            <w:pPr>
              <w:spacing w:after="0"/>
              <w:ind w:firstLine="21"/>
              <w:jc w:val="center"/>
              <w:rPr>
                <w:rFonts w:cs="Arial"/>
                <w:sz w:val="18"/>
                <w:szCs w:val="18"/>
              </w:rPr>
            </w:pPr>
            <w:r w:rsidRPr="00AE2A0D">
              <w:rPr>
                <w:rFonts w:cs="Arial"/>
                <w:sz w:val="18"/>
                <w:szCs w:val="18"/>
              </w:rPr>
              <w:t>16</w:t>
            </w:r>
          </w:p>
        </w:tc>
        <w:tc>
          <w:tcPr>
            <w:tcW w:w="1418" w:type="pct"/>
            <w:vAlign w:val="center"/>
          </w:tcPr>
          <w:p w:rsidR="00FC668B" w:rsidRPr="00AE2A0D" w:rsidRDefault="00FC668B" w:rsidP="00FC668B">
            <w:pPr>
              <w:spacing w:after="0"/>
              <w:jc w:val="center"/>
              <w:rPr>
                <w:rFonts w:cs="Arial"/>
                <w:sz w:val="18"/>
                <w:szCs w:val="18"/>
              </w:rPr>
            </w:pPr>
            <w:r w:rsidRPr="00AE2A0D">
              <w:rPr>
                <w:rFonts w:cs="Arial"/>
                <w:sz w:val="18"/>
                <w:szCs w:val="18"/>
              </w:rPr>
              <w:t>12</w:t>
            </w:r>
          </w:p>
        </w:tc>
        <w:tc>
          <w:tcPr>
            <w:tcW w:w="1418" w:type="pct"/>
            <w:vAlign w:val="center"/>
          </w:tcPr>
          <w:p w:rsidR="00FC668B" w:rsidRPr="00AE2A0D" w:rsidRDefault="00FC668B" w:rsidP="00FC668B">
            <w:pPr>
              <w:spacing w:after="0"/>
              <w:jc w:val="center"/>
              <w:rPr>
                <w:rFonts w:cs="Arial"/>
                <w:sz w:val="18"/>
                <w:szCs w:val="18"/>
              </w:rPr>
            </w:pPr>
            <w:r w:rsidRPr="00AE2A0D">
              <w:rPr>
                <w:rFonts w:cs="Arial"/>
                <w:sz w:val="18"/>
                <w:szCs w:val="18"/>
              </w:rPr>
              <w:t>60</w:t>
            </w:r>
          </w:p>
        </w:tc>
      </w:tr>
      <w:tr w:rsidR="00FC668B" w:rsidRPr="00AE2A0D" w:rsidTr="00FC668B">
        <w:tc>
          <w:tcPr>
            <w:tcW w:w="745" w:type="pct"/>
            <w:vAlign w:val="center"/>
          </w:tcPr>
          <w:p w:rsidR="00FC668B" w:rsidRPr="00AE2A0D" w:rsidRDefault="00FC668B" w:rsidP="00FC668B">
            <w:pPr>
              <w:spacing w:after="0"/>
              <w:rPr>
                <w:rFonts w:cs="Arial"/>
                <w:sz w:val="18"/>
                <w:szCs w:val="18"/>
              </w:rPr>
            </w:pPr>
            <w:r w:rsidRPr="00AE2A0D">
              <w:rPr>
                <w:rFonts w:cs="Arial"/>
                <w:sz w:val="18"/>
                <w:szCs w:val="18"/>
              </w:rPr>
              <w:t>Área 2</w:t>
            </w:r>
          </w:p>
        </w:tc>
        <w:tc>
          <w:tcPr>
            <w:tcW w:w="1418" w:type="pct"/>
            <w:vAlign w:val="center"/>
          </w:tcPr>
          <w:p w:rsidR="00FC668B" w:rsidRPr="00AE2A0D" w:rsidRDefault="00FC668B" w:rsidP="00FC668B">
            <w:pPr>
              <w:spacing w:after="0"/>
              <w:ind w:firstLine="21"/>
              <w:jc w:val="center"/>
              <w:rPr>
                <w:rFonts w:cs="Arial"/>
                <w:sz w:val="18"/>
                <w:szCs w:val="18"/>
              </w:rPr>
            </w:pPr>
            <w:r w:rsidRPr="00AE2A0D">
              <w:rPr>
                <w:rFonts w:cs="Arial"/>
                <w:sz w:val="18"/>
                <w:szCs w:val="18"/>
              </w:rPr>
              <w:t>16</w:t>
            </w:r>
          </w:p>
        </w:tc>
        <w:tc>
          <w:tcPr>
            <w:tcW w:w="1418" w:type="pct"/>
            <w:vAlign w:val="center"/>
          </w:tcPr>
          <w:p w:rsidR="00FC668B" w:rsidRPr="00AE2A0D" w:rsidRDefault="00FC668B" w:rsidP="00FC668B">
            <w:pPr>
              <w:spacing w:after="0"/>
              <w:jc w:val="center"/>
              <w:rPr>
                <w:rFonts w:cs="Arial"/>
                <w:sz w:val="18"/>
                <w:szCs w:val="18"/>
              </w:rPr>
            </w:pPr>
            <w:r w:rsidRPr="00AE2A0D">
              <w:rPr>
                <w:rFonts w:cs="Arial"/>
                <w:sz w:val="18"/>
                <w:szCs w:val="18"/>
              </w:rPr>
              <w:t>12</w:t>
            </w:r>
          </w:p>
        </w:tc>
        <w:tc>
          <w:tcPr>
            <w:tcW w:w="1418" w:type="pct"/>
            <w:vAlign w:val="center"/>
          </w:tcPr>
          <w:p w:rsidR="00FC668B" w:rsidRPr="00AE2A0D" w:rsidRDefault="00FC668B" w:rsidP="00FC668B">
            <w:pPr>
              <w:spacing w:after="0"/>
              <w:jc w:val="center"/>
              <w:rPr>
                <w:rFonts w:cs="Arial"/>
                <w:sz w:val="18"/>
                <w:szCs w:val="18"/>
              </w:rPr>
            </w:pPr>
            <w:r w:rsidRPr="00AE2A0D">
              <w:rPr>
                <w:rFonts w:cs="Arial"/>
                <w:sz w:val="18"/>
                <w:szCs w:val="18"/>
              </w:rPr>
              <w:t>50</w:t>
            </w:r>
          </w:p>
        </w:tc>
      </w:tr>
      <w:tr w:rsidR="00FC668B" w:rsidRPr="00AE2A0D" w:rsidTr="00FC668B">
        <w:tc>
          <w:tcPr>
            <w:tcW w:w="745" w:type="pct"/>
            <w:vAlign w:val="center"/>
          </w:tcPr>
          <w:p w:rsidR="00FC668B" w:rsidRPr="00AE2A0D" w:rsidRDefault="00FC668B" w:rsidP="00FC668B">
            <w:pPr>
              <w:spacing w:after="0"/>
              <w:rPr>
                <w:rFonts w:cs="Arial"/>
                <w:sz w:val="18"/>
                <w:szCs w:val="18"/>
              </w:rPr>
            </w:pPr>
            <w:r w:rsidRPr="00AE2A0D">
              <w:rPr>
                <w:rFonts w:cs="Arial"/>
                <w:sz w:val="18"/>
                <w:szCs w:val="18"/>
              </w:rPr>
              <w:t>Área 3</w:t>
            </w:r>
          </w:p>
        </w:tc>
        <w:tc>
          <w:tcPr>
            <w:tcW w:w="1418" w:type="pct"/>
            <w:vAlign w:val="center"/>
          </w:tcPr>
          <w:p w:rsidR="00FC668B" w:rsidRPr="00AE2A0D" w:rsidRDefault="00FC668B" w:rsidP="00FC668B">
            <w:pPr>
              <w:spacing w:after="0"/>
              <w:ind w:firstLine="21"/>
              <w:jc w:val="center"/>
              <w:rPr>
                <w:rFonts w:cs="Arial"/>
                <w:sz w:val="18"/>
                <w:szCs w:val="18"/>
              </w:rPr>
            </w:pPr>
            <w:r w:rsidRPr="00AE2A0D">
              <w:rPr>
                <w:rFonts w:cs="Arial"/>
                <w:sz w:val="18"/>
                <w:szCs w:val="18"/>
              </w:rPr>
              <w:t>16</w:t>
            </w:r>
          </w:p>
        </w:tc>
        <w:tc>
          <w:tcPr>
            <w:tcW w:w="1418" w:type="pct"/>
            <w:vAlign w:val="center"/>
          </w:tcPr>
          <w:p w:rsidR="00FC668B" w:rsidRPr="00AE2A0D" w:rsidRDefault="00FC668B" w:rsidP="00FC668B">
            <w:pPr>
              <w:spacing w:after="0"/>
              <w:jc w:val="center"/>
              <w:rPr>
                <w:rFonts w:cs="Arial"/>
                <w:sz w:val="18"/>
                <w:szCs w:val="18"/>
              </w:rPr>
            </w:pPr>
            <w:r w:rsidRPr="00AE2A0D">
              <w:rPr>
                <w:rFonts w:cs="Arial"/>
                <w:sz w:val="18"/>
                <w:szCs w:val="18"/>
              </w:rPr>
              <w:t>12</w:t>
            </w:r>
          </w:p>
        </w:tc>
        <w:tc>
          <w:tcPr>
            <w:tcW w:w="1418" w:type="pct"/>
            <w:vAlign w:val="center"/>
          </w:tcPr>
          <w:p w:rsidR="00FC668B" w:rsidRPr="00AE2A0D" w:rsidRDefault="00FC668B" w:rsidP="00FC668B">
            <w:pPr>
              <w:spacing w:after="0"/>
              <w:jc w:val="center"/>
              <w:rPr>
                <w:rFonts w:cs="Arial"/>
                <w:sz w:val="18"/>
                <w:szCs w:val="18"/>
              </w:rPr>
            </w:pPr>
            <w:r w:rsidRPr="00AE2A0D">
              <w:rPr>
                <w:rFonts w:cs="Arial"/>
                <w:sz w:val="18"/>
                <w:szCs w:val="18"/>
              </w:rPr>
              <w:t>50</w:t>
            </w:r>
          </w:p>
        </w:tc>
      </w:tr>
      <w:tr w:rsidR="00FC668B" w:rsidRPr="00AE2A0D" w:rsidTr="00FC668B">
        <w:tc>
          <w:tcPr>
            <w:tcW w:w="745" w:type="pct"/>
            <w:vAlign w:val="center"/>
          </w:tcPr>
          <w:p w:rsidR="00FC668B" w:rsidRPr="00AE2A0D" w:rsidRDefault="00FC668B" w:rsidP="00FC668B">
            <w:pPr>
              <w:spacing w:after="0"/>
              <w:rPr>
                <w:rFonts w:cs="Arial"/>
                <w:sz w:val="18"/>
                <w:szCs w:val="18"/>
              </w:rPr>
            </w:pPr>
            <w:r w:rsidRPr="00AE2A0D">
              <w:rPr>
                <w:rFonts w:cs="Arial"/>
                <w:sz w:val="18"/>
                <w:szCs w:val="18"/>
              </w:rPr>
              <w:t>Área 4</w:t>
            </w:r>
          </w:p>
        </w:tc>
        <w:tc>
          <w:tcPr>
            <w:tcW w:w="1418" w:type="pct"/>
            <w:vAlign w:val="center"/>
          </w:tcPr>
          <w:p w:rsidR="00FC668B" w:rsidRPr="00AE2A0D" w:rsidRDefault="00FC668B" w:rsidP="00FC668B">
            <w:pPr>
              <w:spacing w:after="0"/>
              <w:ind w:firstLine="21"/>
              <w:jc w:val="center"/>
              <w:rPr>
                <w:rFonts w:cs="Arial"/>
                <w:sz w:val="18"/>
                <w:szCs w:val="18"/>
              </w:rPr>
            </w:pPr>
            <w:r w:rsidRPr="00AE2A0D">
              <w:rPr>
                <w:rFonts w:cs="Arial"/>
                <w:sz w:val="18"/>
                <w:szCs w:val="18"/>
              </w:rPr>
              <w:t>16</w:t>
            </w:r>
          </w:p>
        </w:tc>
        <w:tc>
          <w:tcPr>
            <w:tcW w:w="1418" w:type="pct"/>
            <w:vAlign w:val="center"/>
          </w:tcPr>
          <w:p w:rsidR="00FC668B" w:rsidRPr="00AE2A0D" w:rsidRDefault="00FC668B" w:rsidP="00FC668B">
            <w:pPr>
              <w:spacing w:after="0"/>
              <w:jc w:val="center"/>
              <w:rPr>
                <w:rFonts w:cs="Arial"/>
                <w:sz w:val="18"/>
                <w:szCs w:val="18"/>
              </w:rPr>
            </w:pPr>
            <w:r w:rsidRPr="00AE2A0D">
              <w:rPr>
                <w:rFonts w:cs="Arial"/>
                <w:sz w:val="18"/>
                <w:szCs w:val="18"/>
              </w:rPr>
              <w:t>12</w:t>
            </w:r>
          </w:p>
        </w:tc>
        <w:tc>
          <w:tcPr>
            <w:tcW w:w="1418" w:type="pct"/>
            <w:vAlign w:val="center"/>
          </w:tcPr>
          <w:p w:rsidR="00FC668B" w:rsidRPr="00AE2A0D" w:rsidRDefault="00FC668B" w:rsidP="00FC668B">
            <w:pPr>
              <w:spacing w:after="0"/>
              <w:jc w:val="center"/>
              <w:rPr>
                <w:rFonts w:cs="Arial"/>
                <w:sz w:val="18"/>
                <w:szCs w:val="18"/>
              </w:rPr>
            </w:pPr>
            <w:r w:rsidRPr="00AE2A0D">
              <w:rPr>
                <w:rFonts w:cs="Arial"/>
                <w:sz w:val="18"/>
                <w:szCs w:val="18"/>
              </w:rPr>
              <w:t>50</w:t>
            </w:r>
          </w:p>
        </w:tc>
      </w:tr>
      <w:tr w:rsidR="00FC668B" w:rsidRPr="00AE2A0D" w:rsidTr="00FC668B">
        <w:tc>
          <w:tcPr>
            <w:tcW w:w="745" w:type="pct"/>
            <w:vAlign w:val="center"/>
          </w:tcPr>
          <w:p w:rsidR="00FC668B" w:rsidRPr="00AE2A0D" w:rsidRDefault="00FC668B" w:rsidP="00FC668B">
            <w:pPr>
              <w:spacing w:after="0"/>
              <w:rPr>
                <w:rFonts w:cs="Arial"/>
                <w:sz w:val="18"/>
                <w:szCs w:val="18"/>
              </w:rPr>
            </w:pPr>
            <w:r w:rsidRPr="00AE2A0D">
              <w:rPr>
                <w:rFonts w:cs="Arial"/>
                <w:sz w:val="18"/>
                <w:szCs w:val="18"/>
              </w:rPr>
              <w:t>Área 5</w:t>
            </w:r>
          </w:p>
        </w:tc>
        <w:tc>
          <w:tcPr>
            <w:tcW w:w="1418" w:type="pct"/>
            <w:vAlign w:val="center"/>
          </w:tcPr>
          <w:p w:rsidR="00FC668B" w:rsidRPr="00AE2A0D" w:rsidRDefault="00FC668B" w:rsidP="00FC668B">
            <w:pPr>
              <w:spacing w:after="0"/>
              <w:ind w:firstLine="21"/>
              <w:jc w:val="center"/>
              <w:rPr>
                <w:rFonts w:cs="Arial"/>
                <w:sz w:val="18"/>
                <w:szCs w:val="18"/>
              </w:rPr>
            </w:pPr>
            <w:r w:rsidRPr="00AE2A0D">
              <w:rPr>
                <w:rFonts w:cs="Arial"/>
                <w:sz w:val="18"/>
                <w:szCs w:val="18"/>
              </w:rPr>
              <w:t>16</w:t>
            </w:r>
          </w:p>
        </w:tc>
        <w:tc>
          <w:tcPr>
            <w:tcW w:w="1418" w:type="pct"/>
            <w:vAlign w:val="center"/>
          </w:tcPr>
          <w:p w:rsidR="00FC668B" w:rsidRPr="00AE2A0D" w:rsidRDefault="00FC668B" w:rsidP="00FC668B">
            <w:pPr>
              <w:spacing w:after="0"/>
              <w:jc w:val="center"/>
              <w:rPr>
                <w:rFonts w:cs="Arial"/>
                <w:sz w:val="18"/>
                <w:szCs w:val="18"/>
              </w:rPr>
            </w:pPr>
            <w:r w:rsidRPr="00AE2A0D">
              <w:rPr>
                <w:rFonts w:cs="Arial"/>
                <w:sz w:val="18"/>
                <w:szCs w:val="18"/>
              </w:rPr>
              <w:t>12</w:t>
            </w:r>
          </w:p>
        </w:tc>
        <w:tc>
          <w:tcPr>
            <w:tcW w:w="1418" w:type="pct"/>
            <w:vAlign w:val="center"/>
          </w:tcPr>
          <w:p w:rsidR="00FC668B" w:rsidRPr="00AE2A0D" w:rsidRDefault="00FC668B" w:rsidP="00FC668B">
            <w:pPr>
              <w:spacing w:after="0"/>
              <w:jc w:val="center"/>
              <w:rPr>
                <w:rFonts w:cs="Arial"/>
                <w:sz w:val="18"/>
                <w:szCs w:val="18"/>
              </w:rPr>
            </w:pPr>
            <w:r w:rsidRPr="00AE2A0D">
              <w:rPr>
                <w:rFonts w:cs="Arial"/>
                <w:sz w:val="18"/>
                <w:szCs w:val="18"/>
              </w:rPr>
              <w:t>60</w:t>
            </w:r>
          </w:p>
        </w:tc>
      </w:tr>
      <w:tr w:rsidR="00FC668B" w:rsidRPr="00AE2A0D" w:rsidTr="00FC668B">
        <w:tc>
          <w:tcPr>
            <w:tcW w:w="745" w:type="pct"/>
            <w:vAlign w:val="center"/>
          </w:tcPr>
          <w:p w:rsidR="00FC668B" w:rsidRPr="00AE2A0D" w:rsidRDefault="00FC668B" w:rsidP="00FC668B">
            <w:pPr>
              <w:spacing w:after="0"/>
              <w:rPr>
                <w:rFonts w:cs="Arial"/>
                <w:b/>
                <w:sz w:val="18"/>
                <w:szCs w:val="18"/>
              </w:rPr>
            </w:pPr>
            <w:r w:rsidRPr="00AE2A0D">
              <w:rPr>
                <w:rFonts w:cs="Arial"/>
                <w:b/>
                <w:sz w:val="18"/>
                <w:szCs w:val="18"/>
              </w:rPr>
              <w:t>TOTAL</w:t>
            </w:r>
          </w:p>
        </w:tc>
        <w:tc>
          <w:tcPr>
            <w:tcW w:w="1418" w:type="pct"/>
            <w:vAlign w:val="center"/>
          </w:tcPr>
          <w:p w:rsidR="00FC668B" w:rsidRPr="00AE2A0D" w:rsidRDefault="00FC668B" w:rsidP="00FC668B">
            <w:pPr>
              <w:spacing w:after="0"/>
              <w:ind w:firstLine="21"/>
              <w:jc w:val="center"/>
              <w:rPr>
                <w:rFonts w:cs="Arial"/>
                <w:sz w:val="18"/>
                <w:szCs w:val="18"/>
              </w:rPr>
            </w:pPr>
            <w:r w:rsidRPr="00AE2A0D">
              <w:rPr>
                <w:rFonts w:cs="Arial"/>
                <w:sz w:val="18"/>
                <w:szCs w:val="18"/>
              </w:rPr>
              <w:t>80</w:t>
            </w:r>
          </w:p>
        </w:tc>
        <w:tc>
          <w:tcPr>
            <w:tcW w:w="1418" w:type="pct"/>
            <w:vAlign w:val="center"/>
          </w:tcPr>
          <w:p w:rsidR="00FC668B" w:rsidRPr="00AE2A0D" w:rsidRDefault="00FC668B" w:rsidP="00FC668B">
            <w:pPr>
              <w:spacing w:after="0"/>
              <w:jc w:val="center"/>
              <w:rPr>
                <w:rFonts w:cs="Arial"/>
                <w:sz w:val="18"/>
                <w:szCs w:val="18"/>
              </w:rPr>
            </w:pPr>
            <w:r w:rsidRPr="00AE2A0D">
              <w:rPr>
                <w:rFonts w:cs="Arial"/>
                <w:sz w:val="18"/>
                <w:szCs w:val="18"/>
              </w:rPr>
              <w:t>60</w:t>
            </w:r>
          </w:p>
        </w:tc>
        <w:tc>
          <w:tcPr>
            <w:tcW w:w="1418" w:type="pct"/>
            <w:vAlign w:val="center"/>
          </w:tcPr>
          <w:p w:rsidR="00FC668B" w:rsidRPr="00AE2A0D" w:rsidRDefault="00FC668B" w:rsidP="00FC668B">
            <w:pPr>
              <w:spacing w:after="0"/>
              <w:jc w:val="center"/>
              <w:rPr>
                <w:rFonts w:cs="Arial"/>
                <w:sz w:val="18"/>
                <w:szCs w:val="18"/>
              </w:rPr>
            </w:pPr>
            <w:r w:rsidRPr="00AE2A0D">
              <w:rPr>
                <w:rFonts w:cs="Arial"/>
                <w:sz w:val="18"/>
                <w:szCs w:val="18"/>
              </w:rPr>
              <w:t>270</w:t>
            </w:r>
          </w:p>
        </w:tc>
      </w:tr>
    </w:tbl>
    <w:p w:rsidR="00FC668B" w:rsidRPr="00AE2A0D" w:rsidRDefault="00FC668B" w:rsidP="008603E1">
      <w:pPr>
        <w:pStyle w:val="Ttulo6"/>
      </w:pPr>
      <w:bookmarkStart w:id="109" w:name="_Toc402254396"/>
      <w:r>
        <w:t>B.</w:t>
      </w:r>
      <w:r w:rsidR="008603E1">
        <w:t>3</w:t>
      </w:r>
      <w:r>
        <w:t>.</w:t>
      </w:r>
      <w:r>
        <w:tab/>
      </w:r>
      <w:r w:rsidRPr="00AE2A0D">
        <w:t xml:space="preserve">Análise dos </w:t>
      </w:r>
      <w:r w:rsidR="008603E1" w:rsidRPr="00AE2A0D">
        <w:t>Dados Primários</w:t>
      </w:r>
      <w:bookmarkEnd w:id="109"/>
    </w:p>
    <w:p w:rsidR="00FC668B" w:rsidRPr="00AE2A0D" w:rsidRDefault="00FC668B" w:rsidP="00FC668B">
      <w:r w:rsidRPr="00AE2A0D">
        <w:t xml:space="preserve">Os anfíbios e répteis foram analisados quanto ao número de espécies e sua diversidade analisada por meio da curva do coletor. As espécies amostradas foram caracterizadas quanto às suas distribuições nos dois principais biomas e endemismos no Estado (Rossa-Feres </w:t>
      </w:r>
      <w:r w:rsidRPr="00AE2A0D">
        <w:rPr>
          <w:i/>
        </w:rPr>
        <w:t>et al</w:t>
      </w:r>
      <w:r w:rsidRPr="00AE2A0D">
        <w:t xml:space="preserve">., 2011; Zaher </w:t>
      </w:r>
      <w:r w:rsidRPr="00AE2A0D">
        <w:rPr>
          <w:i/>
        </w:rPr>
        <w:t>et al.,</w:t>
      </w:r>
      <w:r w:rsidRPr="00AE2A0D">
        <w:t xml:space="preserve"> 2011) e à presença em listas oficiais de espécies ameaçadas de extinção (SMA, 2014; IUCN, 2014; MMA, 2008). Para finalizar, foi consultada a Base de Dados Nacional de Espécies Exóticas Invasoras - Instituto Hórus (I3N Brasil, 2013).</w:t>
      </w:r>
    </w:p>
    <w:p w:rsidR="00FC668B" w:rsidRPr="00AE2A0D" w:rsidRDefault="00FC668B" w:rsidP="00FC668B">
      <w:r w:rsidRPr="00AE2A0D">
        <w:t xml:space="preserve">As sinonímias foram identificadas por meio do banco de dados </w:t>
      </w:r>
      <w:r w:rsidRPr="00F6194D">
        <w:rPr>
          <w:i/>
        </w:rPr>
        <w:t>Amphibian Species of the World</w:t>
      </w:r>
      <w:r w:rsidRPr="00AE2A0D">
        <w:t xml:space="preserve"> (Frost, 2014) para anfíbios e </w:t>
      </w:r>
      <w:r w:rsidRPr="00F6194D">
        <w:rPr>
          <w:i/>
        </w:rPr>
        <w:t>Reptile Database</w:t>
      </w:r>
      <w:r w:rsidRPr="00AE2A0D">
        <w:t xml:space="preserve"> (Uetz, 2014) para répteis e a nomenclatura utilizada segue à adotada pela Sociedade Brasileira de Herpetologia, tanto para anfíbios (Segalla </w:t>
      </w:r>
      <w:r w:rsidRPr="00AE2A0D">
        <w:rPr>
          <w:i/>
        </w:rPr>
        <w:t>et al.,</w:t>
      </w:r>
      <w:r w:rsidRPr="00AE2A0D">
        <w:t xml:space="preserve"> 2014), quanto para répteis (Bérnils &amp; Costa, 2012).</w:t>
      </w:r>
    </w:p>
    <w:p w:rsidR="00FC668B" w:rsidRPr="00B53F21" w:rsidRDefault="00FC668B" w:rsidP="000C50CE">
      <w:pPr>
        <w:pStyle w:val="Ttulo5"/>
        <w:numPr>
          <w:ilvl w:val="0"/>
          <w:numId w:val="13"/>
        </w:numPr>
      </w:pPr>
      <w:bookmarkStart w:id="110" w:name="_Toc402254397"/>
      <w:r w:rsidRPr="00B53F21">
        <w:t>Herpetofauna de provável ocorrência na AII</w:t>
      </w:r>
      <w:bookmarkEnd w:id="110"/>
    </w:p>
    <w:p w:rsidR="00FC668B" w:rsidRPr="00AE2A0D" w:rsidRDefault="00FC668B" w:rsidP="00FC668B">
      <w:r w:rsidRPr="00AE2A0D">
        <w:rPr>
          <w:shd w:val="clear" w:color="auto" w:fill="FFFFFF"/>
        </w:rPr>
        <w:t xml:space="preserve">Ao todo, foram encontradas 98 espécies para a herpetofauna da região pesquisada, </w:t>
      </w:r>
      <w:r w:rsidRPr="00AE2A0D">
        <w:t xml:space="preserve">sendo 33 </w:t>
      </w:r>
      <w:r w:rsidRPr="005A3F39">
        <w:t>espécies de anfíbios e 65 de répteis (</w:t>
      </w:r>
      <w:r w:rsidRPr="005A3F39">
        <w:rPr>
          <w:b/>
        </w:rPr>
        <w:t xml:space="preserve">Anexo </w:t>
      </w:r>
      <w:r w:rsidR="008603E1" w:rsidRPr="005A3F39">
        <w:rPr>
          <w:b/>
        </w:rPr>
        <w:t>2.3</w:t>
      </w:r>
      <w:r w:rsidRPr="005A3F39">
        <w:t>).</w:t>
      </w:r>
      <w:r w:rsidRPr="00AE2A0D">
        <w:t xml:space="preserve"> </w:t>
      </w:r>
    </w:p>
    <w:p w:rsidR="00FC668B" w:rsidRPr="00AE2A0D" w:rsidRDefault="00FC668B" w:rsidP="00FC668B">
      <w:r w:rsidRPr="00AE2A0D">
        <w:t>Entre os anfíbios, apenas espécies da ordem Anura foram registradas, sendo as famílias Hylidae e Leptodactylidae as mais representativas, com 16 e seis espécies cada, respectivamente. As demais famílias encontradas foram Brachycephalidae (4), Bufonidae (3), Craugastoridae (1) e Cycloramphidae (3). Já entre os répteis, as serpentes foram as responsáveis pelo maior número de espécies, sendo que das 58 registradas, 42 pertencem à família Dipsadidae, sete pertencem à família Colubridae, quatro à família Elapidae, quatro à Viperidae e uma à família Boidae. Somam-se a estes répteis, mais sete espécies de “lagartos” pertencentes às famílias Teiidae (1), Diploglossidae (1), Leiosauridae (4) e Gekkonidae (1), sendo que a espécie encontrada desta última família foi a lagartixa-de-parede (</w:t>
      </w:r>
      <w:r w:rsidRPr="00AE2A0D">
        <w:rPr>
          <w:i/>
        </w:rPr>
        <w:t>Hemidactylus mabouia</w:t>
      </w:r>
      <w:r w:rsidRPr="00AE2A0D">
        <w:t xml:space="preserve">), considerada exótica de acordo com o Instituto Horus (IM3, 2014). </w:t>
      </w:r>
    </w:p>
    <w:p w:rsidR="00FC668B" w:rsidRPr="00AE2A0D" w:rsidRDefault="00FC668B" w:rsidP="00FC668B">
      <w:r w:rsidRPr="00AE2A0D">
        <w:t xml:space="preserve">Dentre as serpentes registradas, dez são consideradas de importância médica por Marques </w:t>
      </w:r>
      <w:r w:rsidRPr="00AE2A0D">
        <w:rPr>
          <w:i/>
        </w:rPr>
        <w:t>et al.</w:t>
      </w:r>
      <w:r w:rsidRPr="00AE2A0D">
        <w:t xml:space="preserve"> (2001). Além destas dez espécies, deve-se levar em consideração outros gêneros de serpentes opistóglifas, ou até mesmo áglifas, pertencentes à família Dipsadidae, tais como </w:t>
      </w:r>
      <w:r w:rsidRPr="00AE2A0D">
        <w:rPr>
          <w:i/>
        </w:rPr>
        <w:t>Apostolepis, Boiruna, Clelia, Erythrolamprus, Oxyrhopus, Thamnodynastes</w:t>
      </w:r>
      <w:r w:rsidRPr="00AE2A0D">
        <w:t xml:space="preserve"> e </w:t>
      </w:r>
      <w:r w:rsidRPr="00AE2A0D">
        <w:rPr>
          <w:i/>
        </w:rPr>
        <w:t>Tomodon</w:t>
      </w:r>
      <w:r w:rsidRPr="00AE2A0D">
        <w:t xml:space="preserve">, capazes de causar envenenamento (Bernarde, 2011). A correta identificação dos acidentes ocasionados por essas espécies pode evitar o uso desnecessário de soroterapia e suas complicações (Salomão </w:t>
      </w:r>
      <w:r w:rsidRPr="00AE2A0D">
        <w:rPr>
          <w:i/>
        </w:rPr>
        <w:t>et al.</w:t>
      </w:r>
      <w:r w:rsidRPr="00AE2A0D">
        <w:t xml:space="preserve"> 2003).</w:t>
      </w:r>
    </w:p>
    <w:p w:rsidR="00FC668B" w:rsidRPr="00AE2A0D" w:rsidRDefault="00FC668B" w:rsidP="00FC668B">
      <w:r w:rsidRPr="00AE2A0D">
        <w:t xml:space="preserve">Quanto ao </w:t>
      </w:r>
      <w:r w:rsidRPr="00AE2A0D">
        <w:rPr>
          <w:i/>
        </w:rPr>
        <w:t>status</w:t>
      </w:r>
      <w:r w:rsidRPr="00AE2A0D">
        <w:t xml:space="preserve"> de conservação, nenhum réptil ou anfíbio se encontra em alguma categoria de ameaça, seja a nível mundial, nacional ou estadual. Entretanto, a rãzinha </w:t>
      </w:r>
      <w:r w:rsidRPr="00AE2A0D">
        <w:rPr>
          <w:i/>
        </w:rPr>
        <w:t>Physalaemus bokermanni</w:t>
      </w:r>
      <w:r w:rsidRPr="00AE2A0D">
        <w:t xml:space="preserve"> é citada como “Deficiente em Dados” na lista da União Internacional para Conservação da Natureza (Nascimento &amp; Verdade, 2004) e a cobra-cipó </w:t>
      </w:r>
      <w:r w:rsidRPr="00AE2A0D">
        <w:rPr>
          <w:i/>
        </w:rPr>
        <w:t>Philodryas olfersii</w:t>
      </w:r>
      <w:r w:rsidRPr="00AE2A0D">
        <w:t xml:space="preserve"> e a jararaca-pintada </w:t>
      </w:r>
      <w:r w:rsidRPr="00AE2A0D">
        <w:rPr>
          <w:i/>
        </w:rPr>
        <w:t>Bothrops neuwiedi</w:t>
      </w:r>
      <w:r w:rsidRPr="00AE2A0D">
        <w:t xml:space="preserve"> são consideradas também com “Dados Insuficientes” para uma categorização para o Estado de São Paulo (São Paulo, 2014). No entanto, o registro de </w:t>
      </w:r>
      <w:r w:rsidRPr="00AE2A0D">
        <w:rPr>
          <w:i/>
        </w:rPr>
        <w:t>P. bokermanni</w:t>
      </w:r>
      <w:r w:rsidRPr="00AE2A0D">
        <w:t xml:space="preserve"> para a cidade de São José dos Campos parece ser equivocado, visto que esta espécie era conhecida apenas para a sua localidade tipo, a Serra de Paranapiacaba, no município de Santo André, SP (Nascimento &amp; Verdade, 2004). Embora Thomé </w:t>
      </w:r>
      <w:r w:rsidRPr="00AE2A0D">
        <w:rPr>
          <w:i/>
        </w:rPr>
        <w:t>et al.</w:t>
      </w:r>
      <w:r w:rsidRPr="00AE2A0D">
        <w:t xml:space="preserve"> (2007) tenham ampliado sua área de distribuição para Cubatão e São Sebastião, a espécie continua </w:t>
      </w:r>
      <w:r w:rsidRPr="00AE2A0D">
        <w:lastRenderedPageBreak/>
        <w:t>sem nenhum registro confiável para a cidade de São José dos Campos, sendo que os dois registros encontrados constam como sendo de desovas e a identificação feita com base nos imagos. Para finalizar, na localidade anotada para ambos os registros encontra-se “Serra de Paranapiacaba, São José dos Campos”, impossibilitando determinar o local correto da coleta, já que a referida cidade não se encontra nos domínios desta serra.</w:t>
      </w:r>
    </w:p>
    <w:p w:rsidR="00FC668B" w:rsidRPr="00AE2A0D" w:rsidRDefault="00FC668B" w:rsidP="00FC668B">
      <w:r w:rsidRPr="00AE2A0D">
        <w:t>Das espécies registradas para a AII do empreendimento, 64 delas possuem ampla distribuição nos biomas do Estado de São Paulo e 28 são típicas de Mata Atlântica, sendo que nenhuma é endêmica do Estado.</w:t>
      </w:r>
    </w:p>
    <w:p w:rsidR="00FC668B" w:rsidRPr="00B53F21" w:rsidRDefault="00FC668B" w:rsidP="000C50CE">
      <w:pPr>
        <w:pStyle w:val="Ttulo5"/>
        <w:numPr>
          <w:ilvl w:val="0"/>
          <w:numId w:val="13"/>
        </w:numPr>
      </w:pPr>
      <w:bookmarkStart w:id="111" w:name="_Toc402254398"/>
      <w:r w:rsidRPr="00B53F21">
        <w:t>Herpetofauna da AID</w:t>
      </w:r>
      <w:bookmarkEnd w:id="111"/>
      <w:r w:rsidRPr="00B53F21">
        <w:t xml:space="preserve"> </w:t>
      </w:r>
    </w:p>
    <w:p w:rsidR="00FC668B" w:rsidRPr="00AE2A0D" w:rsidRDefault="00FC668B" w:rsidP="00FC668B">
      <w:pPr>
        <w:rPr>
          <w:rFonts w:eastAsia="Arial"/>
        </w:rPr>
      </w:pPr>
      <w:r w:rsidRPr="00AE2A0D">
        <w:t>Durante o trabalho de campo foram registradas diretamente 18 espécies de anfíbios anuros distribuídas em seis famílias e quatro espécies de répteis, cada uma pertencente a uma família, sendo duas espécies de “lagartos” e duas de serpentes (</w:t>
      </w:r>
      <w:r w:rsidR="000A0BA1" w:rsidRPr="000A0BA1">
        <w:rPr>
          <w:b/>
        </w:rPr>
        <w:t>Tabela 6.4.</w:t>
      </w:r>
      <w:r w:rsidR="002F5F14">
        <w:rPr>
          <w:b/>
        </w:rPr>
        <w:t>4-8</w:t>
      </w:r>
      <w:r w:rsidRPr="00AE2A0D">
        <w:t xml:space="preserve">). </w:t>
      </w:r>
    </w:p>
    <w:p w:rsidR="00FC668B" w:rsidRPr="000A0BA1" w:rsidRDefault="00FC668B" w:rsidP="000A0BA1">
      <w:pPr>
        <w:pStyle w:val="Legenda"/>
        <w:jc w:val="center"/>
        <w:rPr>
          <w:rFonts w:ascii="Arial Negrito" w:eastAsia="Arial Unicode MS" w:hAnsi="Arial Negrito" w:cs="Times New Roman"/>
          <w:smallCaps/>
          <w:snapToGrid w:val="0"/>
          <w:szCs w:val="24"/>
          <w:lang w:eastAsia="pt-BR"/>
        </w:rPr>
      </w:pPr>
      <w:bookmarkStart w:id="112" w:name="_Ref401700700"/>
      <w:r w:rsidRPr="000A0BA1">
        <w:rPr>
          <w:rFonts w:ascii="Arial Negrito" w:eastAsia="Arial Unicode MS" w:hAnsi="Arial Negrito" w:cs="Times New Roman"/>
          <w:smallCaps/>
          <w:snapToGrid w:val="0"/>
          <w:szCs w:val="24"/>
          <w:lang w:eastAsia="pt-BR"/>
        </w:rPr>
        <w:t xml:space="preserve">Tabela </w:t>
      </w:r>
      <w:bookmarkEnd w:id="112"/>
      <w:r w:rsidR="000A0BA1" w:rsidRPr="000A0BA1">
        <w:rPr>
          <w:rFonts w:ascii="Arial Negrito" w:eastAsia="Arial Unicode MS" w:hAnsi="Arial Negrito" w:cs="Times New Roman"/>
          <w:smallCaps/>
          <w:snapToGrid w:val="0"/>
          <w:szCs w:val="24"/>
          <w:lang w:eastAsia="pt-BR"/>
        </w:rPr>
        <w:t>6.4.</w:t>
      </w:r>
      <w:r w:rsidR="002F5F14">
        <w:rPr>
          <w:rFonts w:ascii="Arial Negrito" w:eastAsia="Arial Unicode MS" w:hAnsi="Arial Negrito" w:cs="Times New Roman"/>
          <w:smallCaps/>
          <w:snapToGrid w:val="0"/>
          <w:szCs w:val="24"/>
          <w:lang w:eastAsia="pt-BR"/>
        </w:rPr>
        <w:t>4-8.</w:t>
      </w:r>
      <w:r w:rsidR="000A6ED0">
        <w:rPr>
          <w:rFonts w:ascii="Arial Negrito" w:eastAsia="Arial Unicode MS" w:hAnsi="Arial Negrito" w:cs="Times New Roman"/>
          <w:smallCaps/>
          <w:snapToGrid w:val="0"/>
          <w:szCs w:val="24"/>
          <w:lang w:eastAsia="pt-BR"/>
        </w:rPr>
        <w:t xml:space="preserve"> </w:t>
      </w:r>
      <w:r w:rsidRPr="000A0BA1">
        <w:rPr>
          <w:rFonts w:ascii="Arial Negrito" w:eastAsia="Arial Unicode MS" w:hAnsi="Arial Negrito" w:cs="Times New Roman"/>
          <w:smallCaps/>
          <w:snapToGrid w:val="0"/>
          <w:szCs w:val="24"/>
          <w:lang w:eastAsia="pt-BR"/>
        </w:rPr>
        <w:t xml:space="preserve">Lista das espécies de anfíbios e répteis registradas em campo durante amostragem da herpetofauna </w:t>
      </w:r>
    </w:p>
    <w:tbl>
      <w:tblPr>
        <w:tblW w:w="500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3392"/>
        <w:gridCol w:w="991"/>
        <w:gridCol w:w="1277"/>
        <w:gridCol w:w="1163"/>
        <w:gridCol w:w="717"/>
        <w:gridCol w:w="864"/>
        <w:gridCol w:w="930"/>
      </w:tblGrid>
      <w:tr w:rsidR="00FC668B" w:rsidRPr="00AE2A0D" w:rsidTr="00FC668B">
        <w:trPr>
          <w:cantSplit/>
          <w:trHeight w:val="284"/>
          <w:tblHeader/>
        </w:trPr>
        <w:tc>
          <w:tcPr>
            <w:tcW w:w="1817" w:type="pct"/>
            <w:vMerge w:val="restart"/>
            <w:shd w:val="clear" w:color="auto" w:fill="D9D9D9" w:themeFill="background1" w:themeFillShade="D9"/>
            <w:noWrap/>
            <w:vAlign w:val="center"/>
          </w:tcPr>
          <w:p w:rsidR="00FC668B" w:rsidRPr="00AE2A0D" w:rsidRDefault="00FC668B" w:rsidP="00FC668B">
            <w:pPr>
              <w:spacing w:after="0"/>
              <w:jc w:val="center"/>
              <w:rPr>
                <w:rFonts w:cs="Arial"/>
                <w:b/>
                <w:color w:val="000000"/>
                <w:sz w:val="18"/>
                <w:szCs w:val="18"/>
              </w:rPr>
            </w:pPr>
            <w:r w:rsidRPr="00AE2A0D">
              <w:rPr>
                <w:rFonts w:cs="Arial"/>
                <w:b/>
                <w:color w:val="000000"/>
                <w:sz w:val="18"/>
                <w:szCs w:val="18"/>
              </w:rPr>
              <w:t>Espécie</w:t>
            </w:r>
          </w:p>
        </w:tc>
        <w:tc>
          <w:tcPr>
            <w:tcW w:w="531" w:type="pct"/>
            <w:vMerge w:val="restart"/>
            <w:shd w:val="clear" w:color="auto" w:fill="D9D9D9" w:themeFill="background1" w:themeFillShade="D9"/>
            <w:vAlign w:val="center"/>
          </w:tcPr>
          <w:p w:rsidR="00FC668B" w:rsidRPr="00AE2A0D" w:rsidRDefault="00FC668B" w:rsidP="00FC668B">
            <w:pPr>
              <w:spacing w:after="0"/>
              <w:jc w:val="center"/>
              <w:rPr>
                <w:rFonts w:cs="Arial"/>
                <w:b/>
                <w:color w:val="000000"/>
                <w:sz w:val="18"/>
                <w:szCs w:val="18"/>
              </w:rPr>
            </w:pPr>
            <w:r w:rsidRPr="00AE2A0D">
              <w:rPr>
                <w:rFonts w:cs="Arial"/>
                <w:b/>
                <w:color w:val="000000"/>
                <w:sz w:val="18"/>
                <w:szCs w:val="18"/>
              </w:rPr>
              <w:t>Método</w:t>
            </w:r>
          </w:p>
        </w:tc>
        <w:tc>
          <w:tcPr>
            <w:tcW w:w="684" w:type="pct"/>
            <w:vMerge w:val="restart"/>
            <w:shd w:val="clear" w:color="auto" w:fill="D9D9D9" w:themeFill="background1" w:themeFillShade="D9"/>
            <w:vAlign w:val="center"/>
          </w:tcPr>
          <w:p w:rsidR="00FC668B" w:rsidRPr="00AE2A0D" w:rsidRDefault="00FC668B" w:rsidP="00FC668B">
            <w:pPr>
              <w:spacing w:after="0"/>
              <w:jc w:val="center"/>
              <w:rPr>
                <w:rFonts w:cs="Arial"/>
                <w:b/>
                <w:color w:val="000000"/>
                <w:sz w:val="18"/>
                <w:szCs w:val="18"/>
              </w:rPr>
            </w:pPr>
            <w:r w:rsidRPr="00AE2A0D">
              <w:rPr>
                <w:rFonts w:cs="Arial"/>
                <w:b/>
                <w:color w:val="000000"/>
                <w:sz w:val="18"/>
                <w:szCs w:val="18"/>
              </w:rPr>
              <w:t>Áreas</w:t>
            </w:r>
          </w:p>
        </w:tc>
        <w:tc>
          <w:tcPr>
            <w:tcW w:w="623" w:type="pct"/>
            <w:vMerge w:val="restart"/>
            <w:shd w:val="clear" w:color="auto" w:fill="D9D9D9" w:themeFill="background1" w:themeFillShade="D9"/>
            <w:vAlign w:val="center"/>
          </w:tcPr>
          <w:p w:rsidR="00FC668B" w:rsidRPr="00AE2A0D" w:rsidRDefault="00FC668B" w:rsidP="00FC668B">
            <w:pPr>
              <w:spacing w:after="0"/>
              <w:jc w:val="center"/>
              <w:rPr>
                <w:rFonts w:cs="Arial"/>
                <w:b/>
                <w:color w:val="000000"/>
                <w:sz w:val="18"/>
                <w:szCs w:val="18"/>
              </w:rPr>
            </w:pPr>
            <w:r w:rsidRPr="00AE2A0D">
              <w:rPr>
                <w:rFonts w:cs="Arial"/>
                <w:b/>
                <w:color w:val="000000"/>
                <w:sz w:val="18"/>
                <w:szCs w:val="18"/>
              </w:rPr>
              <w:t>Local (ponto)</w:t>
            </w:r>
          </w:p>
        </w:tc>
        <w:tc>
          <w:tcPr>
            <w:tcW w:w="1345" w:type="pct"/>
            <w:gridSpan w:val="3"/>
            <w:shd w:val="clear" w:color="auto" w:fill="D9D9D9" w:themeFill="background1" w:themeFillShade="D9"/>
            <w:noWrap/>
            <w:vAlign w:val="center"/>
          </w:tcPr>
          <w:p w:rsidR="00FC668B" w:rsidRPr="00AE2A0D" w:rsidRDefault="00FC668B" w:rsidP="00FC668B">
            <w:pPr>
              <w:spacing w:after="0"/>
              <w:jc w:val="center"/>
              <w:rPr>
                <w:rFonts w:cs="Arial"/>
                <w:b/>
                <w:color w:val="000000"/>
                <w:sz w:val="18"/>
                <w:szCs w:val="18"/>
              </w:rPr>
            </w:pPr>
            <w:r w:rsidRPr="00AE2A0D">
              <w:rPr>
                <w:rFonts w:cs="Arial"/>
                <w:b/>
                <w:color w:val="000000"/>
                <w:sz w:val="18"/>
                <w:szCs w:val="18"/>
              </w:rPr>
              <w:t>Grau de ameaça</w:t>
            </w:r>
          </w:p>
        </w:tc>
      </w:tr>
      <w:tr w:rsidR="00FC668B" w:rsidRPr="00AE2A0D" w:rsidTr="00FC668B">
        <w:trPr>
          <w:cantSplit/>
          <w:trHeight w:val="284"/>
          <w:tblHeader/>
        </w:trPr>
        <w:tc>
          <w:tcPr>
            <w:tcW w:w="1817" w:type="pct"/>
            <w:vMerge/>
            <w:shd w:val="clear" w:color="auto" w:fill="D9D9D9" w:themeFill="background1" w:themeFillShade="D9"/>
            <w:noWrap/>
            <w:vAlign w:val="center"/>
          </w:tcPr>
          <w:p w:rsidR="00FC668B" w:rsidRPr="00AE2A0D" w:rsidRDefault="00FC668B" w:rsidP="00FC668B">
            <w:pPr>
              <w:spacing w:after="0"/>
              <w:rPr>
                <w:rFonts w:cs="Arial"/>
                <w:b/>
                <w:color w:val="000000"/>
                <w:sz w:val="18"/>
                <w:szCs w:val="18"/>
              </w:rPr>
            </w:pPr>
          </w:p>
        </w:tc>
        <w:tc>
          <w:tcPr>
            <w:tcW w:w="531" w:type="pct"/>
            <w:vMerge/>
            <w:shd w:val="clear" w:color="auto" w:fill="D9D9D9" w:themeFill="background1" w:themeFillShade="D9"/>
            <w:vAlign w:val="center"/>
          </w:tcPr>
          <w:p w:rsidR="00FC668B" w:rsidRPr="00AE2A0D" w:rsidRDefault="00FC668B" w:rsidP="00FC668B">
            <w:pPr>
              <w:spacing w:after="0"/>
              <w:jc w:val="center"/>
              <w:rPr>
                <w:rFonts w:cs="Arial"/>
                <w:b/>
                <w:color w:val="000000"/>
                <w:sz w:val="18"/>
                <w:szCs w:val="18"/>
              </w:rPr>
            </w:pPr>
          </w:p>
        </w:tc>
        <w:tc>
          <w:tcPr>
            <w:tcW w:w="684" w:type="pct"/>
            <w:vMerge/>
            <w:shd w:val="clear" w:color="auto" w:fill="D9D9D9" w:themeFill="background1" w:themeFillShade="D9"/>
            <w:vAlign w:val="center"/>
          </w:tcPr>
          <w:p w:rsidR="00FC668B" w:rsidRPr="00AE2A0D" w:rsidRDefault="00FC668B" w:rsidP="00FC668B">
            <w:pPr>
              <w:spacing w:after="0"/>
              <w:jc w:val="center"/>
              <w:rPr>
                <w:rFonts w:cs="Arial"/>
                <w:b/>
                <w:color w:val="000000"/>
                <w:sz w:val="18"/>
                <w:szCs w:val="18"/>
              </w:rPr>
            </w:pPr>
          </w:p>
        </w:tc>
        <w:tc>
          <w:tcPr>
            <w:tcW w:w="623" w:type="pct"/>
            <w:vMerge/>
            <w:shd w:val="clear" w:color="auto" w:fill="D9D9D9" w:themeFill="background1" w:themeFillShade="D9"/>
            <w:vAlign w:val="center"/>
          </w:tcPr>
          <w:p w:rsidR="00FC668B" w:rsidRPr="00AE2A0D" w:rsidRDefault="00FC668B" w:rsidP="00FC668B">
            <w:pPr>
              <w:spacing w:after="0"/>
              <w:jc w:val="center"/>
              <w:rPr>
                <w:rFonts w:cs="Arial"/>
                <w:b/>
                <w:color w:val="000000"/>
                <w:sz w:val="18"/>
                <w:szCs w:val="18"/>
              </w:rPr>
            </w:pPr>
          </w:p>
        </w:tc>
        <w:tc>
          <w:tcPr>
            <w:tcW w:w="384" w:type="pct"/>
            <w:shd w:val="clear" w:color="auto" w:fill="D9D9D9" w:themeFill="background1" w:themeFillShade="D9"/>
            <w:noWrap/>
            <w:vAlign w:val="center"/>
          </w:tcPr>
          <w:p w:rsidR="00FC668B" w:rsidRPr="00AE2A0D" w:rsidRDefault="00FC668B" w:rsidP="00FC668B">
            <w:pPr>
              <w:spacing w:after="0"/>
              <w:jc w:val="center"/>
              <w:rPr>
                <w:rFonts w:cs="Arial"/>
                <w:b/>
                <w:color w:val="000000"/>
                <w:sz w:val="18"/>
                <w:szCs w:val="18"/>
              </w:rPr>
            </w:pPr>
            <w:r w:rsidRPr="00AE2A0D">
              <w:rPr>
                <w:rFonts w:cs="Arial"/>
                <w:b/>
                <w:color w:val="000000"/>
                <w:sz w:val="18"/>
                <w:szCs w:val="18"/>
              </w:rPr>
              <w:t>IUCN</w:t>
            </w:r>
          </w:p>
        </w:tc>
        <w:tc>
          <w:tcPr>
            <w:tcW w:w="463" w:type="pct"/>
            <w:shd w:val="clear" w:color="auto" w:fill="D9D9D9" w:themeFill="background1" w:themeFillShade="D9"/>
            <w:noWrap/>
            <w:vAlign w:val="center"/>
          </w:tcPr>
          <w:p w:rsidR="00FC668B" w:rsidRPr="00AE2A0D" w:rsidRDefault="00FC668B" w:rsidP="00FC668B">
            <w:pPr>
              <w:spacing w:after="0"/>
              <w:jc w:val="center"/>
              <w:rPr>
                <w:rFonts w:cs="Arial"/>
                <w:b/>
                <w:color w:val="000000"/>
                <w:sz w:val="18"/>
                <w:szCs w:val="18"/>
              </w:rPr>
            </w:pPr>
            <w:r w:rsidRPr="00AE2A0D">
              <w:rPr>
                <w:rFonts w:cs="Arial"/>
                <w:b/>
                <w:color w:val="000000"/>
                <w:sz w:val="18"/>
                <w:szCs w:val="18"/>
              </w:rPr>
              <w:t>BR2008</w:t>
            </w:r>
          </w:p>
        </w:tc>
        <w:tc>
          <w:tcPr>
            <w:tcW w:w="498" w:type="pct"/>
            <w:shd w:val="clear" w:color="auto" w:fill="D9D9D9" w:themeFill="background1" w:themeFillShade="D9"/>
            <w:noWrap/>
            <w:vAlign w:val="center"/>
          </w:tcPr>
          <w:p w:rsidR="00FC668B" w:rsidRPr="00AE2A0D" w:rsidRDefault="00FC668B" w:rsidP="00FC668B">
            <w:pPr>
              <w:spacing w:after="0"/>
              <w:jc w:val="center"/>
              <w:rPr>
                <w:rFonts w:cs="Arial"/>
                <w:b/>
                <w:color w:val="000000"/>
                <w:sz w:val="18"/>
                <w:szCs w:val="18"/>
              </w:rPr>
            </w:pPr>
            <w:r w:rsidRPr="00AE2A0D">
              <w:rPr>
                <w:rFonts w:cs="Arial"/>
                <w:b/>
                <w:color w:val="000000"/>
                <w:sz w:val="18"/>
                <w:szCs w:val="18"/>
              </w:rPr>
              <w:t>SP2014</w:t>
            </w: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b/>
                <w:bCs/>
                <w:color w:val="000000"/>
                <w:sz w:val="18"/>
                <w:szCs w:val="18"/>
              </w:rPr>
            </w:pPr>
            <w:r w:rsidRPr="00AE2A0D">
              <w:rPr>
                <w:rFonts w:cs="Arial"/>
                <w:b/>
                <w:bCs/>
                <w:color w:val="000000"/>
                <w:sz w:val="18"/>
                <w:szCs w:val="18"/>
              </w:rPr>
              <w:t>Anura</w:t>
            </w:r>
          </w:p>
        </w:tc>
        <w:tc>
          <w:tcPr>
            <w:tcW w:w="531" w:type="pct"/>
            <w:vAlign w:val="center"/>
          </w:tcPr>
          <w:p w:rsidR="00FC668B" w:rsidRPr="00AE2A0D" w:rsidRDefault="00FC668B" w:rsidP="00FC668B">
            <w:pPr>
              <w:spacing w:after="0"/>
              <w:jc w:val="center"/>
              <w:rPr>
                <w:rFonts w:cs="Arial"/>
                <w:color w:val="000000"/>
                <w:sz w:val="18"/>
                <w:szCs w:val="18"/>
              </w:rPr>
            </w:pPr>
          </w:p>
        </w:tc>
        <w:tc>
          <w:tcPr>
            <w:tcW w:w="684" w:type="pct"/>
            <w:vAlign w:val="center"/>
          </w:tcPr>
          <w:p w:rsidR="00FC668B" w:rsidRPr="00AE2A0D" w:rsidRDefault="00FC668B" w:rsidP="00FC668B">
            <w:pPr>
              <w:spacing w:after="0"/>
              <w:jc w:val="center"/>
              <w:rPr>
                <w:rFonts w:cs="Arial"/>
                <w:color w:val="000000"/>
                <w:sz w:val="18"/>
                <w:szCs w:val="18"/>
              </w:rPr>
            </w:pPr>
          </w:p>
        </w:tc>
        <w:tc>
          <w:tcPr>
            <w:tcW w:w="623" w:type="pct"/>
            <w:vAlign w:val="center"/>
          </w:tcPr>
          <w:p w:rsidR="00FC668B" w:rsidRPr="00AE2A0D" w:rsidRDefault="00FC668B" w:rsidP="00FC668B">
            <w:pPr>
              <w:spacing w:after="0"/>
              <w:jc w:val="center"/>
              <w:rPr>
                <w:rFonts w:cs="Arial"/>
                <w:color w:val="000000"/>
                <w:sz w:val="18"/>
                <w:szCs w:val="18"/>
              </w:rPr>
            </w:pP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b/>
                <w:bCs/>
                <w:color w:val="000000"/>
                <w:sz w:val="18"/>
                <w:szCs w:val="18"/>
              </w:rPr>
            </w:pPr>
            <w:r w:rsidRPr="00AE2A0D">
              <w:rPr>
                <w:rFonts w:cs="Arial"/>
                <w:b/>
                <w:bCs/>
                <w:color w:val="000000"/>
                <w:sz w:val="18"/>
                <w:szCs w:val="18"/>
              </w:rPr>
              <w:t>Brachycephalidae</w:t>
            </w:r>
          </w:p>
        </w:tc>
        <w:tc>
          <w:tcPr>
            <w:tcW w:w="531" w:type="pct"/>
            <w:vAlign w:val="center"/>
          </w:tcPr>
          <w:p w:rsidR="00FC668B" w:rsidRPr="00AE2A0D" w:rsidRDefault="00FC668B" w:rsidP="00FC668B">
            <w:pPr>
              <w:spacing w:after="0"/>
              <w:jc w:val="center"/>
              <w:rPr>
                <w:rFonts w:cs="Arial"/>
                <w:color w:val="000000"/>
                <w:sz w:val="18"/>
                <w:szCs w:val="18"/>
              </w:rPr>
            </w:pPr>
          </w:p>
        </w:tc>
        <w:tc>
          <w:tcPr>
            <w:tcW w:w="684" w:type="pct"/>
            <w:vAlign w:val="center"/>
          </w:tcPr>
          <w:p w:rsidR="00FC668B" w:rsidRPr="00AE2A0D" w:rsidRDefault="00FC668B" w:rsidP="00FC668B">
            <w:pPr>
              <w:spacing w:after="0"/>
              <w:jc w:val="center"/>
              <w:rPr>
                <w:rFonts w:cs="Arial"/>
                <w:color w:val="000000"/>
                <w:sz w:val="18"/>
                <w:szCs w:val="18"/>
              </w:rPr>
            </w:pPr>
          </w:p>
        </w:tc>
        <w:tc>
          <w:tcPr>
            <w:tcW w:w="623" w:type="pct"/>
            <w:vAlign w:val="center"/>
          </w:tcPr>
          <w:p w:rsidR="00FC668B" w:rsidRPr="00AE2A0D" w:rsidRDefault="00FC668B" w:rsidP="00FC668B">
            <w:pPr>
              <w:spacing w:after="0"/>
              <w:jc w:val="center"/>
              <w:rPr>
                <w:rFonts w:cs="Arial"/>
                <w:color w:val="000000"/>
                <w:sz w:val="18"/>
                <w:szCs w:val="18"/>
              </w:rPr>
            </w:pP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Brachycephalus ephippium </w:t>
            </w:r>
            <w:r w:rsidRPr="00AE2A0D">
              <w:rPr>
                <w:rFonts w:cs="Arial"/>
                <w:color w:val="000000"/>
                <w:sz w:val="18"/>
                <w:szCs w:val="18"/>
              </w:rPr>
              <w:t>(Spix, 1824)</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Avi, Voc</w:t>
            </w:r>
          </w:p>
        </w:tc>
        <w:tc>
          <w:tcPr>
            <w:tcW w:w="684"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Área 4</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11, 12, 13</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 xml:space="preserve">Ischnocnema </w:t>
            </w:r>
            <w:r w:rsidRPr="00AE2A0D">
              <w:rPr>
                <w:rFonts w:cs="Arial"/>
                <w:color w:val="000000"/>
                <w:sz w:val="18"/>
                <w:szCs w:val="18"/>
              </w:rPr>
              <w:t xml:space="preserve">cf. </w:t>
            </w:r>
            <w:r w:rsidRPr="00AE2A0D">
              <w:rPr>
                <w:rFonts w:cs="Arial"/>
                <w:i/>
                <w:iCs/>
                <w:color w:val="000000"/>
                <w:sz w:val="18"/>
                <w:szCs w:val="18"/>
              </w:rPr>
              <w:t xml:space="preserve">parva </w:t>
            </w:r>
            <w:r w:rsidRPr="00AE2A0D">
              <w:rPr>
                <w:rFonts w:cs="Arial"/>
                <w:color w:val="000000"/>
                <w:sz w:val="18"/>
                <w:szCs w:val="18"/>
              </w:rPr>
              <w:t>(Girard, 1853)</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Avi, Voc</w:t>
            </w:r>
          </w:p>
        </w:tc>
        <w:tc>
          <w:tcPr>
            <w:tcW w:w="684" w:type="pct"/>
            <w:vAlign w:val="center"/>
          </w:tcPr>
          <w:p w:rsidR="00FC668B" w:rsidRPr="00AE2A0D" w:rsidRDefault="00FC668B" w:rsidP="00FC668B">
            <w:pPr>
              <w:spacing w:after="0"/>
              <w:jc w:val="center"/>
              <w:rPr>
                <w:rFonts w:cs="Arial"/>
                <w:bCs/>
                <w:color w:val="000000"/>
                <w:sz w:val="18"/>
                <w:szCs w:val="18"/>
              </w:rPr>
            </w:pPr>
            <w:r w:rsidRPr="00AE2A0D">
              <w:rPr>
                <w:rFonts w:cs="Arial"/>
                <w:bCs/>
                <w:color w:val="000000"/>
                <w:sz w:val="18"/>
                <w:szCs w:val="18"/>
              </w:rPr>
              <w:t>Áreas 1, 4 e 5</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2, 11, 12, 13, 15</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Ischnocnema guentheri</w:t>
            </w:r>
            <w:r w:rsidRPr="00AE2A0D">
              <w:rPr>
                <w:rFonts w:cs="Arial"/>
                <w:color w:val="000000"/>
                <w:sz w:val="18"/>
                <w:szCs w:val="18"/>
              </w:rPr>
              <w:t xml:space="preserve"> (Steindachner, 1864)</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Avi, Voc</w:t>
            </w:r>
          </w:p>
        </w:tc>
        <w:tc>
          <w:tcPr>
            <w:tcW w:w="684" w:type="pct"/>
            <w:vAlign w:val="center"/>
          </w:tcPr>
          <w:p w:rsidR="00FC668B" w:rsidRPr="00AE2A0D" w:rsidRDefault="00FC668B" w:rsidP="00FC668B">
            <w:pPr>
              <w:spacing w:after="0"/>
              <w:jc w:val="center"/>
              <w:rPr>
                <w:rFonts w:cs="Arial"/>
                <w:bCs/>
                <w:color w:val="000000"/>
                <w:sz w:val="18"/>
                <w:szCs w:val="18"/>
              </w:rPr>
            </w:pPr>
            <w:r w:rsidRPr="00AE2A0D">
              <w:rPr>
                <w:rFonts w:cs="Arial"/>
                <w:bCs/>
                <w:color w:val="000000"/>
                <w:sz w:val="18"/>
                <w:szCs w:val="18"/>
              </w:rPr>
              <w:t>Áreas 4 e 5</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13, 15, 17, 19</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b/>
                <w:bCs/>
                <w:color w:val="000000"/>
                <w:sz w:val="18"/>
                <w:szCs w:val="18"/>
              </w:rPr>
            </w:pPr>
            <w:r w:rsidRPr="00AE2A0D">
              <w:rPr>
                <w:rFonts w:cs="Arial"/>
                <w:b/>
                <w:bCs/>
                <w:color w:val="000000"/>
                <w:sz w:val="18"/>
                <w:szCs w:val="18"/>
              </w:rPr>
              <w:t>Bufonidae</w:t>
            </w:r>
          </w:p>
        </w:tc>
        <w:tc>
          <w:tcPr>
            <w:tcW w:w="531" w:type="pct"/>
            <w:vAlign w:val="center"/>
          </w:tcPr>
          <w:p w:rsidR="00FC668B" w:rsidRPr="00AE2A0D" w:rsidRDefault="00FC668B" w:rsidP="00FC668B">
            <w:pPr>
              <w:spacing w:after="0"/>
              <w:jc w:val="center"/>
              <w:rPr>
                <w:rFonts w:cs="Arial"/>
                <w:color w:val="000000"/>
                <w:sz w:val="18"/>
                <w:szCs w:val="18"/>
              </w:rPr>
            </w:pPr>
          </w:p>
        </w:tc>
        <w:tc>
          <w:tcPr>
            <w:tcW w:w="684" w:type="pct"/>
            <w:vAlign w:val="center"/>
          </w:tcPr>
          <w:p w:rsidR="00FC668B" w:rsidRPr="00AE2A0D" w:rsidRDefault="00FC668B" w:rsidP="00FC668B">
            <w:pPr>
              <w:spacing w:after="0"/>
              <w:jc w:val="center"/>
              <w:rPr>
                <w:rFonts w:cs="Arial"/>
                <w:color w:val="000000"/>
                <w:sz w:val="18"/>
                <w:szCs w:val="18"/>
              </w:rPr>
            </w:pPr>
          </w:p>
        </w:tc>
        <w:tc>
          <w:tcPr>
            <w:tcW w:w="623" w:type="pct"/>
            <w:vAlign w:val="center"/>
          </w:tcPr>
          <w:p w:rsidR="00FC668B" w:rsidRPr="00AE2A0D" w:rsidRDefault="00FC668B" w:rsidP="00FC668B">
            <w:pPr>
              <w:spacing w:after="0"/>
              <w:jc w:val="center"/>
              <w:rPr>
                <w:rFonts w:cs="Arial"/>
                <w:color w:val="000000"/>
                <w:sz w:val="18"/>
                <w:szCs w:val="18"/>
              </w:rPr>
            </w:pP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Rhinella ornata </w:t>
            </w:r>
            <w:r w:rsidRPr="00AE2A0D">
              <w:rPr>
                <w:rFonts w:cs="Arial"/>
                <w:color w:val="000000"/>
                <w:sz w:val="18"/>
                <w:szCs w:val="18"/>
              </w:rPr>
              <w:t>(Spix, 1824)</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Avi</w:t>
            </w:r>
          </w:p>
        </w:tc>
        <w:tc>
          <w:tcPr>
            <w:tcW w:w="684"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Área 4</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13</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 xml:space="preserve">Rhinella schneideri </w:t>
            </w:r>
            <w:r w:rsidRPr="00AE2A0D">
              <w:rPr>
                <w:rFonts w:cs="Arial"/>
                <w:color w:val="000000"/>
                <w:sz w:val="18"/>
                <w:szCs w:val="18"/>
              </w:rPr>
              <w:t>(Werner, 1894)</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Avi</w:t>
            </w:r>
          </w:p>
        </w:tc>
        <w:tc>
          <w:tcPr>
            <w:tcW w:w="684" w:type="pct"/>
            <w:vAlign w:val="center"/>
          </w:tcPr>
          <w:p w:rsidR="00FC668B" w:rsidRPr="00AE2A0D" w:rsidRDefault="00FC668B" w:rsidP="00FC668B">
            <w:pPr>
              <w:spacing w:after="0"/>
              <w:jc w:val="center"/>
              <w:rPr>
                <w:rFonts w:cs="Arial"/>
                <w:bCs/>
                <w:color w:val="000000"/>
                <w:sz w:val="18"/>
                <w:szCs w:val="18"/>
              </w:rPr>
            </w:pPr>
            <w:r w:rsidRPr="00AE2A0D">
              <w:rPr>
                <w:rFonts w:cs="Arial"/>
                <w:color w:val="000000"/>
                <w:sz w:val="18"/>
                <w:szCs w:val="18"/>
              </w:rPr>
              <w:t>Áreas 2, 3 e 5</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9, 14, 18, 20</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b/>
                <w:bCs/>
                <w:color w:val="000000"/>
                <w:sz w:val="18"/>
                <w:szCs w:val="18"/>
              </w:rPr>
            </w:pPr>
            <w:r w:rsidRPr="00AE2A0D">
              <w:rPr>
                <w:rFonts w:cs="Arial"/>
                <w:b/>
                <w:bCs/>
                <w:color w:val="000000"/>
                <w:sz w:val="18"/>
                <w:szCs w:val="18"/>
              </w:rPr>
              <w:t>Craugastoridae</w:t>
            </w:r>
          </w:p>
        </w:tc>
        <w:tc>
          <w:tcPr>
            <w:tcW w:w="531" w:type="pct"/>
            <w:vAlign w:val="center"/>
          </w:tcPr>
          <w:p w:rsidR="00FC668B" w:rsidRPr="00AE2A0D" w:rsidRDefault="00FC668B" w:rsidP="00FC668B">
            <w:pPr>
              <w:spacing w:after="0"/>
              <w:jc w:val="center"/>
              <w:rPr>
                <w:rFonts w:cs="Arial"/>
                <w:color w:val="000000"/>
                <w:sz w:val="18"/>
                <w:szCs w:val="18"/>
              </w:rPr>
            </w:pPr>
          </w:p>
        </w:tc>
        <w:tc>
          <w:tcPr>
            <w:tcW w:w="684" w:type="pct"/>
            <w:vAlign w:val="center"/>
          </w:tcPr>
          <w:p w:rsidR="00FC668B" w:rsidRPr="00AE2A0D" w:rsidRDefault="00FC668B" w:rsidP="00FC668B">
            <w:pPr>
              <w:spacing w:after="0"/>
              <w:jc w:val="center"/>
              <w:rPr>
                <w:rFonts w:cs="Arial"/>
                <w:color w:val="000000"/>
                <w:sz w:val="18"/>
                <w:szCs w:val="18"/>
              </w:rPr>
            </w:pPr>
          </w:p>
        </w:tc>
        <w:tc>
          <w:tcPr>
            <w:tcW w:w="623" w:type="pct"/>
            <w:vAlign w:val="center"/>
          </w:tcPr>
          <w:p w:rsidR="00FC668B" w:rsidRPr="00AE2A0D" w:rsidRDefault="00FC668B" w:rsidP="00FC668B">
            <w:pPr>
              <w:spacing w:after="0"/>
              <w:jc w:val="center"/>
              <w:rPr>
                <w:rFonts w:cs="Arial"/>
                <w:color w:val="000000"/>
                <w:sz w:val="18"/>
                <w:szCs w:val="18"/>
              </w:rPr>
            </w:pP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 xml:space="preserve">Haddadus binotatus </w:t>
            </w:r>
            <w:r w:rsidRPr="00AE2A0D">
              <w:rPr>
                <w:rFonts w:cs="Arial"/>
                <w:color w:val="000000"/>
                <w:sz w:val="18"/>
                <w:szCs w:val="18"/>
              </w:rPr>
              <w:t>(Spix, 1824)</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Avi</w:t>
            </w:r>
          </w:p>
        </w:tc>
        <w:tc>
          <w:tcPr>
            <w:tcW w:w="684" w:type="pct"/>
            <w:vAlign w:val="center"/>
          </w:tcPr>
          <w:p w:rsidR="00FC668B" w:rsidRPr="00AE2A0D" w:rsidRDefault="00FC668B" w:rsidP="00FC668B">
            <w:pPr>
              <w:spacing w:after="0"/>
              <w:jc w:val="center"/>
              <w:rPr>
                <w:rFonts w:cs="Arial"/>
                <w:bCs/>
                <w:color w:val="000000"/>
                <w:sz w:val="18"/>
                <w:szCs w:val="18"/>
              </w:rPr>
            </w:pPr>
            <w:r w:rsidRPr="00AE2A0D">
              <w:rPr>
                <w:rFonts w:cs="Arial"/>
                <w:bCs/>
                <w:color w:val="000000"/>
                <w:sz w:val="18"/>
                <w:szCs w:val="18"/>
              </w:rPr>
              <w:t>Áreas 2, 4 e 5</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7, 12, 19</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b/>
                <w:bCs/>
                <w:color w:val="000000"/>
                <w:sz w:val="18"/>
                <w:szCs w:val="18"/>
              </w:rPr>
            </w:pPr>
            <w:r w:rsidRPr="00AE2A0D">
              <w:rPr>
                <w:rFonts w:cs="Arial"/>
                <w:b/>
                <w:bCs/>
                <w:color w:val="000000"/>
                <w:sz w:val="18"/>
                <w:szCs w:val="18"/>
              </w:rPr>
              <w:t>Hylidae</w:t>
            </w:r>
          </w:p>
        </w:tc>
        <w:tc>
          <w:tcPr>
            <w:tcW w:w="531" w:type="pct"/>
            <w:vAlign w:val="center"/>
          </w:tcPr>
          <w:p w:rsidR="00FC668B" w:rsidRPr="00AE2A0D" w:rsidRDefault="00FC668B" w:rsidP="00FC668B">
            <w:pPr>
              <w:spacing w:after="0"/>
              <w:jc w:val="center"/>
              <w:rPr>
                <w:rFonts w:cs="Arial"/>
                <w:bCs/>
                <w:color w:val="000000"/>
                <w:sz w:val="18"/>
                <w:szCs w:val="18"/>
              </w:rPr>
            </w:pPr>
          </w:p>
        </w:tc>
        <w:tc>
          <w:tcPr>
            <w:tcW w:w="684" w:type="pct"/>
            <w:vAlign w:val="center"/>
          </w:tcPr>
          <w:p w:rsidR="00FC668B" w:rsidRPr="00AE2A0D" w:rsidRDefault="00FC668B" w:rsidP="00FC668B">
            <w:pPr>
              <w:spacing w:after="0"/>
              <w:jc w:val="center"/>
              <w:rPr>
                <w:rFonts w:cs="Arial"/>
                <w:color w:val="000000"/>
                <w:sz w:val="18"/>
                <w:szCs w:val="18"/>
              </w:rPr>
            </w:pPr>
          </w:p>
        </w:tc>
        <w:tc>
          <w:tcPr>
            <w:tcW w:w="623" w:type="pct"/>
            <w:vAlign w:val="center"/>
          </w:tcPr>
          <w:p w:rsidR="00FC668B" w:rsidRPr="00AE2A0D" w:rsidRDefault="00FC668B" w:rsidP="00FC668B">
            <w:pPr>
              <w:spacing w:after="0"/>
              <w:jc w:val="center"/>
              <w:rPr>
                <w:rFonts w:cs="Arial"/>
                <w:color w:val="000000"/>
                <w:sz w:val="18"/>
                <w:szCs w:val="18"/>
              </w:rPr>
            </w:pP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Aplastodiscus leucopygius</w:t>
            </w:r>
            <w:r w:rsidRPr="00AE2A0D">
              <w:rPr>
                <w:rFonts w:cs="Arial"/>
                <w:color w:val="000000"/>
                <w:sz w:val="18"/>
                <w:szCs w:val="18"/>
              </w:rPr>
              <w:t xml:space="preserve"> (Cruz &amp; Peixoto, 1985 “1984”)</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Avi, Voc</w:t>
            </w:r>
          </w:p>
        </w:tc>
        <w:tc>
          <w:tcPr>
            <w:tcW w:w="684" w:type="pct"/>
            <w:vAlign w:val="center"/>
          </w:tcPr>
          <w:p w:rsidR="00FC668B" w:rsidRPr="00AE2A0D" w:rsidRDefault="00FC668B" w:rsidP="00FC668B">
            <w:pPr>
              <w:spacing w:after="0"/>
              <w:jc w:val="center"/>
              <w:rPr>
                <w:rFonts w:cs="Arial"/>
                <w:bCs/>
                <w:color w:val="000000"/>
                <w:sz w:val="18"/>
                <w:szCs w:val="18"/>
              </w:rPr>
            </w:pPr>
            <w:r w:rsidRPr="00AE2A0D">
              <w:rPr>
                <w:rFonts w:cs="Arial"/>
                <w:color w:val="000000"/>
                <w:sz w:val="18"/>
                <w:szCs w:val="18"/>
              </w:rPr>
              <w:t>Áreas 4 e 5</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12, 15</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bCs/>
                <w:i/>
                <w:iCs/>
                <w:color w:val="000000"/>
                <w:sz w:val="18"/>
                <w:szCs w:val="18"/>
              </w:rPr>
            </w:pPr>
            <w:r w:rsidRPr="00AE2A0D">
              <w:rPr>
                <w:rFonts w:cs="Arial"/>
                <w:bCs/>
                <w:i/>
                <w:iCs/>
                <w:color w:val="000000"/>
                <w:sz w:val="18"/>
                <w:szCs w:val="18"/>
              </w:rPr>
              <w:t xml:space="preserve">Dendropsophus elegans </w:t>
            </w:r>
            <w:r w:rsidRPr="00AE2A0D">
              <w:rPr>
                <w:rFonts w:cs="Arial"/>
                <w:bCs/>
                <w:iCs/>
                <w:color w:val="000000"/>
                <w:sz w:val="18"/>
                <w:szCs w:val="18"/>
              </w:rPr>
              <w:t>(Wied-Neuwied, 1824) *</w:t>
            </w:r>
          </w:p>
        </w:tc>
        <w:tc>
          <w:tcPr>
            <w:tcW w:w="531" w:type="pct"/>
            <w:vAlign w:val="center"/>
          </w:tcPr>
          <w:p w:rsidR="00FC668B" w:rsidRPr="00AE2A0D" w:rsidRDefault="00FC668B" w:rsidP="00FC668B">
            <w:pPr>
              <w:spacing w:after="0"/>
              <w:jc w:val="center"/>
              <w:rPr>
                <w:rFonts w:cs="Arial"/>
                <w:bCs/>
                <w:color w:val="000000"/>
                <w:sz w:val="18"/>
                <w:szCs w:val="18"/>
              </w:rPr>
            </w:pPr>
            <w:r w:rsidRPr="00AE2A0D">
              <w:rPr>
                <w:rFonts w:cs="Arial"/>
                <w:bCs/>
                <w:color w:val="000000"/>
                <w:sz w:val="18"/>
                <w:szCs w:val="18"/>
              </w:rPr>
              <w:t>Avi</w:t>
            </w:r>
          </w:p>
        </w:tc>
        <w:tc>
          <w:tcPr>
            <w:tcW w:w="684" w:type="pct"/>
            <w:vAlign w:val="center"/>
          </w:tcPr>
          <w:p w:rsidR="00FC668B" w:rsidRPr="00AE2A0D" w:rsidRDefault="00FC668B" w:rsidP="00FC668B">
            <w:pPr>
              <w:spacing w:after="0"/>
              <w:jc w:val="center"/>
              <w:rPr>
                <w:rFonts w:cs="Arial"/>
                <w:bCs/>
                <w:color w:val="000000"/>
                <w:sz w:val="18"/>
                <w:szCs w:val="18"/>
              </w:rPr>
            </w:pPr>
            <w:r w:rsidRPr="00AE2A0D">
              <w:rPr>
                <w:rFonts w:cs="Arial"/>
                <w:color w:val="000000"/>
                <w:sz w:val="18"/>
                <w:szCs w:val="18"/>
              </w:rPr>
              <w:t>Áreas 2 e 3</w:t>
            </w:r>
          </w:p>
        </w:tc>
        <w:tc>
          <w:tcPr>
            <w:tcW w:w="623" w:type="pct"/>
            <w:vAlign w:val="center"/>
          </w:tcPr>
          <w:p w:rsidR="00FC668B" w:rsidRPr="00AE2A0D" w:rsidRDefault="00FC668B" w:rsidP="00FC668B">
            <w:pPr>
              <w:spacing w:after="0"/>
              <w:jc w:val="center"/>
              <w:rPr>
                <w:rFonts w:cs="Arial"/>
                <w:bCs/>
                <w:color w:val="000000"/>
                <w:sz w:val="18"/>
                <w:szCs w:val="18"/>
              </w:rPr>
            </w:pPr>
            <w:r w:rsidRPr="00AE2A0D">
              <w:rPr>
                <w:rFonts w:cs="Arial"/>
                <w:bCs/>
                <w:color w:val="000000"/>
                <w:sz w:val="18"/>
                <w:szCs w:val="18"/>
              </w:rPr>
              <w:t>7, 9</w:t>
            </w:r>
          </w:p>
        </w:tc>
        <w:tc>
          <w:tcPr>
            <w:tcW w:w="384" w:type="pct"/>
            <w:shd w:val="clear" w:color="auto" w:fill="auto"/>
            <w:noWrap/>
            <w:vAlign w:val="center"/>
          </w:tcPr>
          <w:p w:rsidR="00FC668B" w:rsidRPr="00AE2A0D" w:rsidRDefault="00FC668B" w:rsidP="00FC668B">
            <w:pPr>
              <w:spacing w:after="0"/>
              <w:jc w:val="center"/>
              <w:rPr>
                <w:rFonts w:cs="Arial"/>
                <w:bCs/>
                <w:color w:val="000000"/>
                <w:sz w:val="18"/>
                <w:szCs w:val="18"/>
              </w:rPr>
            </w:pPr>
            <w:r w:rsidRPr="00AE2A0D">
              <w:rPr>
                <w:rFonts w:cs="Arial"/>
                <w:bCs/>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 xml:space="preserve">Dendropsophus minutus </w:t>
            </w:r>
            <w:r w:rsidRPr="00AE2A0D">
              <w:rPr>
                <w:rFonts w:cs="Arial"/>
                <w:color w:val="000000"/>
                <w:sz w:val="18"/>
                <w:szCs w:val="18"/>
              </w:rPr>
              <w:t>(Peters, 1872)</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Avi, Voc</w:t>
            </w:r>
          </w:p>
        </w:tc>
        <w:tc>
          <w:tcPr>
            <w:tcW w:w="684" w:type="pct"/>
            <w:vAlign w:val="center"/>
          </w:tcPr>
          <w:p w:rsidR="00FC668B" w:rsidRPr="00AE2A0D" w:rsidRDefault="00FC668B" w:rsidP="00FC668B">
            <w:pPr>
              <w:spacing w:after="0"/>
              <w:jc w:val="center"/>
              <w:rPr>
                <w:rFonts w:cs="Arial"/>
                <w:bCs/>
                <w:color w:val="000000"/>
                <w:sz w:val="18"/>
                <w:szCs w:val="18"/>
              </w:rPr>
            </w:pPr>
            <w:r w:rsidRPr="00AE2A0D">
              <w:rPr>
                <w:rFonts w:cs="Arial"/>
                <w:color w:val="000000"/>
                <w:sz w:val="18"/>
                <w:szCs w:val="18"/>
              </w:rPr>
              <w:t>Área 3</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9</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Hypsiboas faber </w:t>
            </w:r>
            <w:r w:rsidRPr="00AE2A0D">
              <w:rPr>
                <w:rFonts w:cs="Arial"/>
                <w:color w:val="000000"/>
                <w:sz w:val="18"/>
                <w:szCs w:val="18"/>
              </w:rPr>
              <w:t>(Wied-Neuwied, 1821)</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Avi, Voc</w:t>
            </w:r>
          </w:p>
        </w:tc>
        <w:tc>
          <w:tcPr>
            <w:tcW w:w="684"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Áreas 1 e 4</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2, 12</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Hypsiboas prasinus </w:t>
            </w:r>
            <w:r w:rsidRPr="00AE2A0D">
              <w:rPr>
                <w:rFonts w:cs="Arial"/>
                <w:color w:val="000000"/>
                <w:sz w:val="18"/>
                <w:szCs w:val="18"/>
              </w:rPr>
              <w:t>(Burmeister, 1856)</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Avi, Voc</w:t>
            </w:r>
          </w:p>
        </w:tc>
        <w:tc>
          <w:tcPr>
            <w:tcW w:w="684"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Área 3</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9</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bCs/>
                <w:i/>
                <w:iCs/>
                <w:color w:val="000000"/>
                <w:sz w:val="18"/>
                <w:szCs w:val="18"/>
              </w:rPr>
            </w:pPr>
            <w:r w:rsidRPr="00AE2A0D">
              <w:rPr>
                <w:rFonts w:cs="Arial"/>
                <w:bCs/>
                <w:i/>
                <w:iCs/>
                <w:color w:val="000000"/>
                <w:sz w:val="18"/>
                <w:szCs w:val="18"/>
              </w:rPr>
              <w:t xml:space="preserve">Hypsiboas semilineatus </w:t>
            </w:r>
            <w:r w:rsidRPr="00AE2A0D">
              <w:rPr>
                <w:rFonts w:cs="Arial"/>
                <w:bCs/>
                <w:iCs/>
                <w:color w:val="000000"/>
                <w:sz w:val="18"/>
                <w:szCs w:val="18"/>
              </w:rPr>
              <w:t>(Spix, 1824) *</w:t>
            </w:r>
          </w:p>
        </w:tc>
        <w:tc>
          <w:tcPr>
            <w:tcW w:w="531" w:type="pct"/>
            <w:vAlign w:val="center"/>
          </w:tcPr>
          <w:p w:rsidR="00FC668B" w:rsidRPr="00AE2A0D" w:rsidRDefault="00FC668B" w:rsidP="00FC668B">
            <w:pPr>
              <w:spacing w:after="0"/>
              <w:jc w:val="center"/>
              <w:rPr>
                <w:rFonts w:cs="Arial"/>
                <w:bCs/>
                <w:color w:val="000000"/>
                <w:sz w:val="18"/>
                <w:szCs w:val="18"/>
              </w:rPr>
            </w:pPr>
            <w:r w:rsidRPr="00AE2A0D">
              <w:rPr>
                <w:rFonts w:cs="Arial"/>
                <w:bCs/>
                <w:color w:val="000000"/>
                <w:sz w:val="18"/>
                <w:szCs w:val="18"/>
              </w:rPr>
              <w:t>Avi, Voc</w:t>
            </w:r>
          </w:p>
        </w:tc>
        <w:tc>
          <w:tcPr>
            <w:tcW w:w="684" w:type="pct"/>
            <w:vAlign w:val="center"/>
          </w:tcPr>
          <w:p w:rsidR="00FC668B" w:rsidRPr="00AE2A0D" w:rsidRDefault="00FC668B" w:rsidP="00FC668B">
            <w:pPr>
              <w:spacing w:after="0"/>
              <w:jc w:val="center"/>
              <w:rPr>
                <w:rFonts w:cs="Arial"/>
                <w:bCs/>
                <w:color w:val="000000"/>
                <w:sz w:val="18"/>
                <w:szCs w:val="18"/>
              </w:rPr>
            </w:pPr>
            <w:r w:rsidRPr="00AE2A0D">
              <w:rPr>
                <w:rFonts w:cs="Arial"/>
                <w:color w:val="000000"/>
                <w:sz w:val="18"/>
                <w:szCs w:val="18"/>
              </w:rPr>
              <w:t>Áreas 2 e 3</w:t>
            </w:r>
          </w:p>
        </w:tc>
        <w:tc>
          <w:tcPr>
            <w:tcW w:w="623" w:type="pct"/>
            <w:vAlign w:val="center"/>
          </w:tcPr>
          <w:p w:rsidR="00FC668B" w:rsidRPr="00AE2A0D" w:rsidRDefault="00FC668B" w:rsidP="00FC668B">
            <w:pPr>
              <w:spacing w:after="0"/>
              <w:jc w:val="center"/>
              <w:rPr>
                <w:rFonts w:cs="Arial"/>
                <w:bCs/>
                <w:color w:val="000000"/>
                <w:sz w:val="18"/>
                <w:szCs w:val="18"/>
              </w:rPr>
            </w:pPr>
            <w:r w:rsidRPr="00AE2A0D">
              <w:rPr>
                <w:rFonts w:cs="Arial"/>
                <w:bCs/>
                <w:color w:val="000000"/>
                <w:sz w:val="18"/>
                <w:szCs w:val="18"/>
              </w:rPr>
              <w:t>8, 10</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 xml:space="preserve">Phyllomedusa burmeisteri </w:t>
            </w:r>
            <w:r w:rsidRPr="00AE2A0D">
              <w:rPr>
                <w:rFonts w:cs="Arial"/>
                <w:color w:val="000000"/>
                <w:sz w:val="18"/>
                <w:szCs w:val="18"/>
              </w:rPr>
              <w:t>Boulenger, 1882</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Avi, Voc</w:t>
            </w:r>
          </w:p>
        </w:tc>
        <w:tc>
          <w:tcPr>
            <w:tcW w:w="684" w:type="pct"/>
            <w:vAlign w:val="center"/>
          </w:tcPr>
          <w:p w:rsidR="00FC668B" w:rsidRPr="00AE2A0D" w:rsidRDefault="00FC668B" w:rsidP="00FC668B">
            <w:pPr>
              <w:spacing w:after="0"/>
              <w:jc w:val="center"/>
              <w:rPr>
                <w:rFonts w:cs="Arial"/>
                <w:bCs/>
                <w:color w:val="000000"/>
                <w:sz w:val="18"/>
                <w:szCs w:val="18"/>
              </w:rPr>
            </w:pPr>
            <w:r w:rsidRPr="00AE2A0D">
              <w:rPr>
                <w:rFonts w:cs="Arial"/>
                <w:color w:val="000000"/>
                <w:sz w:val="18"/>
                <w:szCs w:val="18"/>
              </w:rPr>
              <w:t>Áreas 4 e 5</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12, 16</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 xml:space="preserve">Scinax fuscovarius </w:t>
            </w:r>
            <w:r w:rsidRPr="00AE2A0D">
              <w:rPr>
                <w:rFonts w:cs="Arial"/>
                <w:color w:val="000000"/>
                <w:sz w:val="18"/>
                <w:szCs w:val="18"/>
              </w:rPr>
              <w:t>(A. Lutz, 1925)</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Avi, Voc</w:t>
            </w:r>
          </w:p>
        </w:tc>
        <w:tc>
          <w:tcPr>
            <w:tcW w:w="684" w:type="pct"/>
            <w:vAlign w:val="center"/>
          </w:tcPr>
          <w:p w:rsidR="00FC668B" w:rsidRPr="00AE2A0D" w:rsidRDefault="00FC668B" w:rsidP="00FC668B">
            <w:pPr>
              <w:spacing w:after="0"/>
              <w:jc w:val="center"/>
              <w:rPr>
                <w:rFonts w:cs="Arial"/>
                <w:bCs/>
                <w:color w:val="000000"/>
                <w:sz w:val="18"/>
                <w:szCs w:val="18"/>
              </w:rPr>
            </w:pPr>
            <w:r w:rsidRPr="00AE2A0D">
              <w:rPr>
                <w:rFonts w:cs="Arial"/>
                <w:color w:val="000000"/>
                <w:sz w:val="18"/>
                <w:szCs w:val="18"/>
              </w:rPr>
              <w:t>Área 1</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5</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bCs/>
                <w:i/>
                <w:iCs/>
                <w:color w:val="000000"/>
                <w:sz w:val="18"/>
                <w:szCs w:val="18"/>
              </w:rPr>
            </w:pPr>
            <w:r w:rsidRPr="00AE2A0D">
              <w:rPr>
                <w:rFonts w:cs="Arial"/>
                <w:bCs/>
                <w:i/>
                <w:iCs/>
                <w:color w:val="000000"/>
                <w:sz w:val="18"/>
                <w:szCs w:val="18"/>
              </w:rPr>
              <w:t xml:space="preserve">Scinax crospedospilus </w:t>
            </w:r>
            <w:r w:rsidRPr="00AE2A0D">
              <w:rPr>
                <w:rFonts w:cs="Arial"/>
                <w:bCs/>
                <w:iCs/>
                <w:color w:val="000000"/>
                <w:sz w:val="18"/>
                <w:szCs w:val="18"/>
              </w:rPr>
              <w:t>(A. Lutz, 1925) *</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Avi, Voc</w:t>
            </w:r>
          </w:p>
        </w:tc>
        <w:tc>
          <w:tcPr>
            <w:tcW w:w="684" w:type="pct"/>
            <w:vAlign w:val="center"/>
          </w:tcPr>
          <w:p w:rsidR="00FC668B" w:rsidRPr="00AE2A0D" w:rsidRDefault="00FC668B" w:rsidP="00FC668B">
            <w:pPr>
              <w:spacing w:after="0"/>
              <w:jc w:val="center"/>
              <w:rPr>
                <w:rFonts w:cs="Arial"/>
                <w:bCs/>
                <w:color w:val="000000"/>
                <w:sz w:val="18"/>
                <w:szCs w:val="18"/>
              </w:rPr>
            </w:pPr>
            <w:r w:rsidRPr="00AE2A0D">
              <w:rPr>
                <w:rFonts w:cs="Arial"/>
                <w:color w:val="000000"/>
                <w:sz w:val="18"/>
                <w:szCs w:val="18"/>
              </w:rPr>
              <w:t>Área 5</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14</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b/>
                <w:bCs/>
                <w:color w:val="000000"/>
                <w:sz w:val="18"/>
                <w:szCs w:val="18"/>
              </w:rPr>
            </w:pPr>
            <w:r w:rsidRPr="00AE2A0D">
              <w:rPr>
                <w:rFonts w:cs="Arial"/>
                <w:b/>
                <w:bCs/>
                <w:color w:val="000000"/>
                <w:sz w:val="18"/>
                <w:szCs w:val="18"/>
              </w:rPr>
              <w:t>Leptodactylidae</w:t>
            </w:r>
          </w:p>
        </w:tc>
        <w:tc>
          <w:tcPr>
            <w:tcW w:w="531" w:type="pct"/>
            <w:vAlign w:val="center"/>
          </w:tcPr>
          <w:p w:rsidR="00FC668B" w:rsidRPr="00AE2A0D" w:rsidRDefault="00FC668B" w:rsidP="00FC668B">
            <w:pPr>
              <w:spacing w:after="0"/>
              <w:jc w:val="center"/>
              <w:rPr>
                <w:rFonts w:cs="Arial"/>
                <w:color w:val="000000"/>
                <w:sz w:val="18"/>
                <w:szCs w:val="18"/>
              </w:rPr>
            </w:pPr>
          </w:p>
        </w:tc>
        <w:tc>
          <w:tcPr>
            <w:tcW w:w="684" w:type="pct"/>
            <w:vAlign w:val="center"/>
          </w:tcPr>
          <w:p w:rsidR="00FC668B" w:rsidRPr="00AE2A0D" w:rsidRDefault="00FC668B" w:rsidP="00FC668B">
            <w:pPr>
              <w:spacing w:after="0"/>
              <w:jc w:val="center"/>
              <w:rPr>
                <w:rFonts w:cs="Arial"/>
                <w:color w:val="000000"/>
                <w:sz w:val="18"/>
                <w:szCs w:val="18"/>
              </w:rPr>
            </w:pPr>
          </w:p>
        </w:tc>
        <w:tc>
          <w:tcPr>
            <w:tcW w:w="623" w:type="pct"/>
            <w:vAlign w:val="center"/>
          </w:tcPr>
          <w:p w:rsidR="00FC668B" w:rsidRPr="00AE2A0D" w:rsidRDefault="00FC668B" w:rsidP="00FC668B">
            <w:pPr>
              <w:spacing w:after="0"/>
              <w:jc w:val="center"/>
              <w:rPr>
                <w:rFonts w:cs="Arial"/>
                <w:color w:val="000000"/>
                <w:sz w:val="18"/>
                <w:szCs w:val="18"/>
              </w:rPr>
            </w:pP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 xml:space="preserve">Physalaemus cuvieri </w:t>
            </w:r>
            <w:r w:rsidRPr="00AE2A0D">
              <w:rPr>
                <w:rFonts w:cs="Arial"/>
                <w:color w:val="000000"/>
                <w:sz w:val="18"/>
                <w:szCs w:val="18"/>
              </w:rPr>
              <w:t>Fitzinger, 1826</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Avi, Voc</w:t>
            </w:r>
          </w:p>
        </w:tc>
        <w:tc>
          <w:tcPr>
            <w:tcW w:w="684" w:type="pct"/>
            <w:vAlign w:val="center"/>
          </w:tcPr>
          <w:p w:rsidR="00FC668B" w:rsidRPr="00AE2A0D" w:rsidRDefault="00FC668B" w:rsidP="00FC668B">
            <w:pPr>
              <w:spacing w:after="0"/>
              <w:jc w:val="center"/>
              <w:rPr>
                <w:rFonts w:cs="Arial"/>
                <w:bCs/>
                <w:color w:val="000000"/>
                <w:sz w:val="18"/>
                <w:szCs w:val="18"/>
              </w:rPr>
            </w:pPr>
            <w:r w:rsidRPr="00AE2A0D">
              <w:rPr>
                <w:rFonts w:cs="Arial"/>
                <w:color w:val="000000"/>
                <w:sz w:val="18"/>
                <w:szCs w:val="18"/>
              </w:rPr>
              <w:t>Áreas 3 e 5</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9, 14</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 xml:space="preserve">Adenomera marmorata </w:t>
            </w:r>
            <w:r w:rsidRPr="00AE2A0D">
              <w:rPr>
                <w:rFonts w:cs="Arial"/>
                <w:color w:val="000000"/>
                <w:sz w:val="18"/>
                <w:szCs w:val="18"/>
              </w:rPr>
              <w:t>(Steindachner, 1867)</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Voc</w:t>
            </w:r>
          </w:p>
        </w:tc>
        <w:tc>
          <w:tcPr>
            <w:tcW w:w="684" w:type="pct"/>
            <w:vAlign w:val="center"/>
          </w:tcPr>
          <w:p w:rsidR="00FC668B" w:rsidRPr="00AE2A0D" w:rsidRDefault="00FC668B" w:rsidP="00FC668B">
            <w:pPr>
              <w:spacing w:after="0"/>
              <w:jc w:val="center"/>
              <w:rPr>
                <w:rFonts w:cs="Arial"/>
                <w:bCs/>
                <w:color w:val="000000"/>
                <w:sz w:val="18"/>
                <w:szCs w:val="18"/>
              </w:rPr>
            </w:pPr>
            <w:r w:rsidRPr="00AE2A0D">
              <w:rPr>
                <w:rFonts w:cs="Arial"/>
                <w:color w:val="000000"/>
                <w:sz w:val="18"/>
                <w:szCs w:val="18"/>
              </w:rPr>
              <w:t>Áreas 2, 4 e 5</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6, 12, 15</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b/>
                <w:bCs/>
                <w:color w:val="000000"/>
                <w:sz w:val="18"/>
                <w:szCs w:val="18"/>
              </w:rPr>
            </w:pPr>
            <w:r w:rsidRPr="00AE2A0D">
              <w:rPr>
                <w:rFonts w:cs="Arial"/>
                <w:b/>
                <w:bCs/>
                <w:color w:val="000000"/>
                <w:sz w:val="18"/>
                <w:szCs w:val="18"/>
              </w:rPr>
              <w:t>Ranidae</w:t>
            </w:r>
          </w:p>
        </w:tc>
        <w:tc>
          <w:tcPr>
            <w:tcW w:w="531" w:type="pct"/>
            <w:vAlign w:val="center"/>
          </w:tcPr>
          <w:p w:rsidR="00FC668B" w:rsidRPr="00AE2A0D" w:rsidRDefault="00FC668B" w:rsidP="00FC668B">
            <w:pPr>
              <w:spacing w:after="0"/>
              <w:jc w:val="center"/>
              <w:rPr>
                <w:rFonts w:cs="Arial"/>
                <w:color w:val="000000"/>
                <w:sz w:val="18"/>
                <w:szCs w:val="18"/>
              </w:rPr>
            </w:pPr>
          </w:p>
        </w:tc>
        <w:tc>
          <w:tcPr>
            <w:tcW w:w="684" w:type="pct"/>
            <w:vAlign w:val="center"/>
          </w:tcPr>
          <w:p w:rsidR="00FC668B" w:rsidRPr="00AE2A0D" w:rsidRDefault="00FC668B" w:rsidP="00FC668B">
            <w:pPr>
              <w:spacing w:after="0"/>
              <w:jc w:val="center"/>
              <w:rPr>
                <w:rFonts w:cs="Arial"/>
                <w:color w:val="000000"/>
                <w:sz w:val="18"/>
                <w:szCs w:val="18"/>
              </w:rPr>
            </w:pPr>
          </w:p>
        </w:tc>
        <w:tc>
          <w:tcPr>
            <w:tcW w:w="623" w:type="pct"/>
            <w:vAlign w:val="center"/>
          </w:tcPr>
          <w:p w:rsidR="00FC668B" w:rsidRPr="00AE2A0D" w:rsidRDefault="00FC668B" w:rsidP="00FC668B">
            <w:pPr>
              <w:spacing w:after="0"/>
              <w:jc w:val="center"/>
              <w:rPr>
                <w:rFonts w:cs="Arial"/>
                <w:color w:val="000000"/>
                <w:sz w:val="18"/>
                <w:szCs w:val="18"/>
              </w:rPr>
            </w:pP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 xml:space="preserve">Lithobates catesbeianus </w:t>
            </w:r>
            <w:r w:rsidRPr="00AE2A0D">
              <w:rPr>
                <w:rFonts w:cs="Arial"/>
                <w:iCs/>
                <w:color w:val="000000"/>
                <w:sz w:val="18"/>
                <w:szCs w:val="18"/>
              </w:rPr>
              <w:t>(Shaw, 1802) #</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Avi, Voc</w:t>
            </w:r>
          </w:p>
        </w:tc>
        <w:tc>
          <w:tcPr>
            <w:tcW w:w="684" w:type="pct"/>
            <w:vAlign w:val="center"/>
          </w:tcPr>
          <w:p w:rsidR="00FC668B" w:rsidRPr="00AE2A0D" w:rsidRDefault="00FC668B" w:rsidP="00FC668B">
            <w:pPr>
              <w:spacing w:after="0"/>
              <w:jc w:val="center"/>
              <w:rPr>
                <w:rFonts w:cs="Arial"/>
                <w:bCs/>
                <w:color w:val="000000"/>
                <w:sz w:val="18"/>
                <w:szCs w:val="18"/>
              </w:rPr>
            </w:pPr>
            <w:r w:rsidRPr="00AE2A0D">
              <w:rPr>
                <w:rFonts w:cs="Arial"/>
                <w:color w:val="000000"/>
                <w:sz w:val="18"/>
                <w:szCs w:val="18"/>
              </w:rPr>
              <w:t>Área 2</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6, 20</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b/>
                <w:bCs/>
                <w:color w:val="000000"/>
                <w:sz w:val="18"/>
                <w:szCs w:val="18"/>
              </w:rPr>
            </w:pPr>
            <w:r w:rsidRPr="00AE2A0D">
              <w:rPr>
                <w:rFonts w:cs="Arial"/>
                <w:b/>
                <w:bCs/>
                <w:color w:val="000000"/>
                <w:sz w:val="18"/>
                <w:szCs w:val="18"/>
              </w:rPr>
              <w:t>Squamata</w:t>
            </w:r>
          </w:p>
        </w:tc>
        <w:tc>
          <w:tcPr>
            <w:tcW w:w="531" w:type="pct"/>
            <w:vAlign w:val="center"/>
          </w:tcPr>
          <w:p w:rsidR="00FC668B" w:rsidRPr="00AE2A0D" w:rsidRDefault="00FC668B" w:rsidP="00FC668B">
            <w:pPr>
              <w:spacing w:after="0"/>
              <w:jc w:val="center"/>
              <w:rPr>
                <w:rFonts w:cs="Arial"/>
                <w:color w:val="000000"/>
                <w:sz w:val="18"/>
                <w:szCs w:val="18"/>
              </w:rPr>
            </w:pPr>
          </w:p>
        </w:tc>
        <w:tc>
          <w:tcPr>
            <w:tcW w:w="684" w:type="pct"/>
            <w:vAlign w:val="center"/>
          </w:tcPr>
          <w:p w:rsidR="00FC668B" w:rsidRPr="00AE2A0D" w:rsidRDefault="00FC668B" w:rsidP="00FC668B">
            <w:pPr>
              <w:spacing w:after="0"/>
              <w:jc w:val="center"/>
              <w:rPr>
                <w:rFonts w:cs="Arial"/>
                <w:color w:val="000000"/>
                <w:sz w:val="18"/>
                <w:szCs w:val="18"/>
              </w:rPr>
            </w:pPr>
          </w:p>
        </w:tc>
        <w:tc>
          <w:tcPr>
            <w:tcW w:w="623" w:type="pct"/>
            <w:vAlign w:val="center"/>
          </w:tcPr>
          <w:p w:rsidR="00FC668B" w:rsidRPr="00AE2A0D" w:rsidRDefault="00FC668B" w:rsidP="00FC668B">
            <w:pPr>
              <w:spacing w:after="0"/>
              <w:jc w:val="center"/>
              <w:rPr>
                <w:rFonts w:cs="Arial"/>
                <w:color w:val="000000"/>
                <w:sz w:val="18"/>
                <w:szCs w:val="18"/>
              </w:rPr>
            </w:pP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b/>
                <w:bCs/>
                <w:color w:val="000000"/>
                <w:sz w:val="18"/>
                <w:szCs w:val="18"/>
              </w:rPr>
            </w:pPr>
            <w:r w:rsidRPr="00AE2A0D">
              <w:rPr>
                <w:rFonts w:cs="Arial"/>
                <w:b/>
                <w:bCs/>
                <w:color w:val="000000"/>
                <w:sz w:val="18"/>
                <w:szCs w:val="18"/>
              </w:rPr>
              <w:t>Teiidae</w:t>
            </w:r>
          </w:p>
        </w:tc>
        <w:tc>
          <w:tcPr>
            <w:tcW w:w="531" w:type="pct"/>
            <w:vAlign w:val="center"/>
          </w:tcPr>
          <w:p w:rsidR="00FC668B" w:rsidRPr="00AE2A0D" w:rsidRDefault="00FC668B" w:rsidP="00FC668B">
            <w:pPr>
              <w:spacing w:after="0"/>
              <w:jc w:val="center"/>
              <w:rPr>
                <w:rFonts w:cs="Arial"/>
                <w:color w:val="000000"/>
                <w:sz w:val="18"/>
                <w:szCs w:val="18"/>
              </w:rPr>
            </w:pPr>
          </w:p>
        </w:tc>
        <w:tc>
          <w:tcPr>
            <w:tcW w:w="684" w:type="pct"/>
            <w:vAlign w:val="center"/>
          </w:tcPr>
          <w:p w:rsidR="00FC668B" w:rsidRPr="00AE2A0D" w:rsidRDefault="00FC668B" w:rsidP="00FC668B">
            <w:pPr>
              <w:spacing w:after="0"/>
              <w:jc w:val="center"/>
              <w:rPr>
                <w:rFonts w:cs="Arial"/>
                <w:color w:val="000000"/>
                <w:sz w:val="18"/>
                <w:szCs w:val="18"/>
              </w:rPr>
            </w:pPr>
          </w:p>
        </w:tc>
        <w:tc>
          <w:tcPr>
            <w:tcW w:w="623" w:type="pct"/>
            <w:vAlign w:val="center"/>
          </w:tcPr>
          <w:p w:rsidR="00FC668B" w:rsidRPr="00AE2A0D" w:rsidRDefault="00FC668B" w:rsidP="00FC668B">
            <w:pPr>
              <w:spacing w:after="0"/>
              <w:jc w:val="center"/>
              <w:rPr>
                <w:rFonts w:cs="Arial"/>
                <w:color w:val="000000"/>
                <w:sz w:val="18"/>
                <w:szCs w:val="18"/>
              </w:rPr>
            </w:pP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 xml:space="preserve">Salvator merianae </w:t>
            </w:r>
            <w:r w:rsidRPr="00AE2A0D">
              <w:rPr>
                <w:rFonts w:cs="Arial"/>
                <w:iCs/>
                <w:color w:val="000000"/>
                <w:sz w:val="18"/>
                <w:szCs w:val="18"/>
              </w:rPr>
              <w:t>Duméril &amp; Bibron, 1839</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Avi</w:t>
            </w:r>
          </w:p>
        </w:tc>
        <w:tc>
          <w:tcPr>
            <w:tcW w:w="684"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Área 5</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21</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b/>
                <w:bCs/>
                <w:color w:val="000000"/>
                <w:sz w:val="18"/>
                <w:szCs w:val="18"/>
              </w:rPr>
            </w:pPr>
            <w:r w:rsidRPr="00AE2A0D">
              <w:rPr>
                <w:rFonts w:cs="Arial"/>
                <w:b/>
                <w:bCs/>
                <w:color w:val="000000"/>
                <w:sz w:val="18"/>
                <w:szCs w:val="18"/>
              </w:rPr>
              <w:lastRenderedPageBreak/>
              <w:t>Leiosauridae</w:t>
            </w:r>
          </w:p>
        </w:tc>
        <w:tc>
          <w:tcPr>
            <w:tcW w:w="531" w:type="pct"/>
            <w:vAlign w:val="center"/>
          </w:tcPr>
          <w:p w:rsidR="00FC668B" w:rsidRPr="00AE2A0D" w:rsidRDefault="00FC668B" w:rsidP="00FC668B">
            <w:pPr>
              <w:spacing w:after="0"/>
              <w:jc w:val="center"/>
              <w:rPr>
                <w:rFonts w:cs="Arial"/>
                <w:color w:val="000000"/>
                <w:sz w:val="18"/>
                <w:szCs w:val="18"/>
              </w:rPr>
            </w:pPr>
          </w:p>
        </w:tc>
        <w:tc>
          <w:tcPr>
            <w:tcW w:w="684" w:type="pct"/>
            <w:vAlign w:val="center"/>
          </w:tcPr>
          <w:p w:rsidR="00FC668B" w:rsidRPr="00AE2A0D" w:rsidRDefault="00FC668B" w:rsidP="00FC668B">
            <w:pPr>
              <w:spacing w:after="0"/>
              <w:jc w:val="center"/>
              <w:rPr>
                <w:rFonts w:cs="Arial"/>
                <w:color w:val="000000"/>
                <w:sz w:val="18"/>
                <w:szCs w:val="18"/>
              </w:rPr>
            </w:pPr>
          </w:p>
        </w:tc>
        <w:tc>
          <w:tcPr>
            <w:tcW w:w="623" w:type="pct"/>
            <w:vAlign w:val="center"/>
          </w:tcPr>
          <w:p w:rsidR="00FC668B" w:rsidRPr="00AE2A0D" w:rsidRDefault="00FC668B" w:rsidP="00FC668B">
            <w:pPr>
              <w:spacing w:after="0"/>
              <w:jc w:val="center"/>
              <w:rPr>
                <w:rFonts w:cs="Arial"/>
                <w:color w:val="000000"/>
                <w:sz w:val="18"/>
                <w:szCs w:val="18"/>
              </w:rPr>
            </w:pP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 xml:space="preserve">Enyalius </w:t>
            </w:r>
            <w:r w:rsidRPr="00AE2A0D">
              <w:rPr>
                <w:rFonts w:cs="Arial"/>
                <w:color w:val="000000"/>
                <w:sz w:val="18"/>
                <w:szCs w:val="18"/>
              </w:rPr>
              <w:t>sp.</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Avi</w:t>
            </w:r>
          </w:p>
        </w:tc>
        <w:tc>
          <w:tcPr>
            <w:tcW w:w="684" w:type="pct"/>
            <w:vAlign w:val="center"/>
          </w:tcPr>
          <w:p w:rsidR="00FC668B" w:rsidRPr="00AE2A0D" w:rsidRDefault="00FC668B" w:rsidP="00FC668B">
            <w:pPr>
              <w:spacing w:after="0"/>
              <w:jc w:val="center"/>
              <w:rPr>
                <w:rFonts w:cs="Arial"/>
                <w:bCs/>
                <w:color w:val="000000"/>
                <w:sz w:val="18"/>
                <w:szCs w:val="18"/>
              </w:rPr>
            </w:pPr>
            <w:r w:rsidRPr="00AE2A0D">
              <w:rPr>
                <w:rFonts w:cs="Arial"/>
                <w:color w:val="000000"/>
                <w:sz w:val="18"/>
                <w:szCs w:val="18"/>
              </w:rPr>
              <w:t>Área 4</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11</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NC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b/>
                <w:bCs/>
                <w:color w:val="000000"/>
                <w:sz w:val="18"/>
                <w:szCs w:val="18"/>
              </w:rPr>
            </w:pPr>
            <w:r w:rsidRPr="00AE2A0D">
              <w:rPr>
                <w:rFonts w:cs="Arial"/>
                <w:b/>
                <w:bCs/>
                <w:color w:val="000000"/>
                <w:sz w:val="18"/>
                <w:szCs w:val="18"/>
              </w:rPr>
              <w:t>Dipsadidae</w:t>
            </w:r>
          </w:p>
        </w:tc>
        <w:tc>
          <w:tcPr>
            <w:tcW w:w="531" w:type="pct"/>
            <w:vAlign w:val="center"/>
          </w:tcPr>
          <w:p w:rsidR="00FC668B" w:rsidRPr="00AE2A0D" w:rsidRDefault="00FC668B" w:rsidP="00FC668B">
            <w:pPr>
              <w:spacing w:after="0"/>
              <w:jc w:val="center"/>
              <w:rPr>
                <w:rFonts w:cs="Arial"/>
                <w:color w:val="000000"/>
                <w:sz w:val="18"/>
                <w:szCs w:val="18"/>
              </w:rPr>
            </w:pPr>
          </w:p>
        </w:tc>
        <w:tc>
          <w:tcPr>
            <w:tcW w:w="684" w:type="pct"/>
            <w:vAlign w:val="center"/>
          </w:tcPr>
          <w:p w:rsidR="00FC668B" w:rsidRPr="00AE2A0D" w:rsidRDefault="00FC668B" w:rsidP="00FC668B">
            <w:pPr>
              <w:spacing w:after="0"/>
              <w:jc w:val="center"/>
              <w:rPr>
                <w:rFonts w:cs="Arial"/>
                <w:color w:val="000000"/>
                <w:sz w:val="18"/>
                <w:szCs w:val="18"/>
              </w:rPr>
            </w:pPr>
          </w:p>
        </w:tc>
        <w:tc>
          <w:tcPr>
            <w:tcW w:w="623" w:type="pct"/>
            <w:vAlign w:val="center"/>
          </w:tcPr>
          <w:p w:rsidR="00FC668B" w:rsidRPr="00AE2A0D" w:rsidRDefault="00FC668B" w:rsidP="00FC668B">
            <w:pPr>
              <w:spacing w:after="0"/>
              <w:jc w:val="center"/>
              <w:rPr>
                <w:rFonts w:cs="Arial"/>
                <w:color w:val="000000"/>
                <w:sz w:val="18"/>
                <w:szCs w:val="18"/>
              </w:rPr>
            </w:pP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 xml:space="preserve">Sibynomorphus mikanii </w:t>
            </w:r>
            <w:r w:rsidRPr="00AE2A0D">
              <w:rPr>
                <w:rFonts w:cs="Arial"/>
                <w:iCs/>
                <w:color w:val="000000"/>
                <w:sz w:val="18"/>
                <w:szCs w:val="18"/>
              </w:rPr>
              <w:t>(Schlegel, 1837)</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Avi</w:t>
            </w:r>
          </w:p>
        </w:tc>
        <w:tc>
          <w:tcPr>
            <w:tcW w:w="684" w:type="pct"/>
            <w:vAlign w:val="center"/>
          </w:tcPr>
          <w:p w:rsidR="00FC668B" w:rsidRPr="00AE2A0D" w:rsidRDefault="00FC668B" w:rsidP="00FC668B">
            <w:pPr>
              <w:spacing w:after="0"/>
              <w:jc w:val="center"/>
              <w:rPr>
                <w:rFonts w:cs="Arial"/>
                <w:bCs/>
                <w:color w:val="000000"/>
                <w:sz w:val="18"/>
                <w:szCs w:val="18"/>
              </w:rPr>
            </w:pPr>
            <w:r w:rsidRPr="00AE2A0D">
              <w:rPr>
                <w:rFonts w:cs="Arial"/>
                <w:color w:val="000000"/>
                <w:sz w:val="18"/>
                <w:szCs w:val="18"/>
              </w:rPr>
              <w:t>Área 5</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21</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bCs/>
                <w:color w:val="000000"/>
                <w:sz w:val="18"/>
                <w:szCs w:val="18"/>
              </w:rPr>
              <w:t>NC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b/>
                <w:bCs/>
                <w:color w:val="000000"/>
                <w:sz w:val="18"/>
                <w:szCs w:val="18"/>
              </w:rPr>
            </w:pPr>
            <w:r w:rsidRPr="00AE2A0D">
              <w:rPr>
                <w:rFonts w:cs="Arial"/>
                <w:b/>
                <w:bCs/>
                <w:color w:val="000000"/>
                <w:sz w:val="18"/>
                <w:szCs w:val="18"/>
              </w:rPr>
              <w:t>Viperidae</w:t>
            </w:r>
          </w:p>
        </w:tc>
        <w:tc>
          <w:tcPr>
            <w:tcW w:w="531" w:type="pct"/>
            <w:vAlign w:val="center"/>
          </w:tcPr>
          <w:p w:rsidR="00FC668B" w:rsidRPr="00AE2A0D" w:rsidRDefault="00FC668B" w:rsidP="00FC668B">
            <w:pPr>
              <w:spacing w:after="0"/>
              <w:jc w:val="center"/>
              <w:rPr>
                <w:rFonts w:cs="Arial"/>
                <w:color w:val="000000"/>
                <w:sz w:val="18"/>
                <w:szCs w:val="18"/>
              </w:rPr>
            </w:pPr>
          </w:p>
        </w:tc>
        <w:tc>
          <w:tcPr>
            <w:tcW w:w="684" w:type="pct"/>
            <w:vAlign w:val="center"/>
          </w:tcPr>
          <w:p w:rsidR="00FC668B" w:rsidRPr="00AE2A0D" w:rsidRDefault="00FC668B" w:rsidP="00FC668B">
            <w:pPr>
              <w:spacing w:after="0"/>
              <w:jc w:val="center"/>
              <w:rPr>
                <w:rFonts w:cs="Arial"/>
                <w:color w:val="000000"/>
                <w:sz w:val="18"/>
                <w:szCs w:val="18"/>
              </w:rPr>
            </w:pPr>
          </w:p>
        </w:tc>
        <w:tc>
          <w:tcPr>
            <w:tcW w:w="623" w:type="pct"/>
            <w:vAlign w:val="center"/>
          </w:tcPr>
          <w:p w:rsidR="00FC668B" w:rsidRPr="00AE2A0D" w:rsidRDefault="00FC668B" w:rsidP="00FC668B">
            <w:pPr>
              <w:spacing w:after="0"/>
              <w:jc w:val="center"/>
              <w:rPr>
                <w:rFonts w:cs="Arial"/>
                <w:color w:val="000000"/>
                <w:sz w:val="18"/>
                <w:szCs w:val="18"/>
              </w:rPr>
            </w:pP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r w:rsidR="00FC668B" w:rsidRPr="00AE2A0D" w:rsidTr="00FC668B">
        <w:trPr>
          <w:cantSplit/>
          <w:trHeight w:val="284"/>
        </w:trPr>
        <w:tc>
          <w:tcPr>
            <w:tcW w:w="1817" w:type="pct"/>
            <w:shd w:val="clear" w:color="auto" w:fill="auto"/>
            <w:noWrap/>
            <w:vAlign w:val="center"/>
          </w:tcPr>
          <w:p w:rsidR="00FC668B" w:rsidRPr="00AE2A0D" w:rsidRDefault="00FC668B" w:rsidP="00FC668B">
            <w:pPr>
              <w:spacing w:after="0"/>
              <w:rPr>
                <w:rFonts w:cs="Arial"/>
                <w:i/>
                <w:iCs/>
                <w:color w:val="000000"/>
                <w:sz w:val="18"/>
                <w:szCs w:val="18"/>
              </w:rPr>
            </w:pPr>
            <w:r w:rsidRPr="00AE2A0D">
              <w:rPr>
                <w:rFonts w:cs="Arial"/>
                <w:i/>
                <w:iCs/>
                <w:color w:val="000000"/>
                <w:sz w:val="18"/>
                <w:szCs w:val="18"/>
              </w:rPr>
              <w:t xml:space="preserve">Crotalus durissus </w:t>
            </w:r>
            <w:r w:rsidRPr="00AE2A0D">
              <w:rPr>
                <w:rFonts w:cs="Arial"/>
                <w:iCs/>
                <w:color w:val="000000"/>
                <w:sz w:val="18"/>
                <w:szCs w:val="18"/>
              </w:rPr>
              <w:t>Linnaeus, 1758 †</w:t>
            </w:r>
          </w:p>
        </w:tc>
        <w:tc>
          <w:tcPr>
            <w:tcW w:w="531"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Vis, Ves</w:t>
            </w:r>
          </w:p>
        </w:tc>
        <w:tc>
          <w:tcPr>
            <w:tcW w:w="684"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Área 1</w:t>
            </w:r>
          </w:p>
        </w:tc>
        <w:tc>
          <w:tcPr>
            <w:tcW w:w="623" w:type="pct"/>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1</w:t>
            </w:r>
          </w:p>
        </w:tc>
        <w:tc>
          <w:tcPr>
            <w:tcW w:w="384" w:type="pct"/>
            <w:shd w:val="clear" w:color="auto" w:fill="auto"/>
            <w:noWrap/>
            <w:vAlign w:val="center"/>
          </w:tcPr>
          <w:p w:rsidR="00FC668B" w:rsidRPr="00AE2A0D" w:rsidRDefault="00FC668B" w:rsidP="00FC668B">
            <w:pPr>
              <w:spacing w:after="0"/>
              <w:jc w:val="center"/>
              <w:rPr>
                <w:rFonts w:cs="Arial"/>
                <w:color w:val="000000"/>
                <w:sz w:val="18"/>
                <w:szCs w:val="18"/>
              </w:rPr>
            </w:pPr>
            <w:r w:rsidRPr="00AE2A0D">
              <w:rPr>
                <w:rFonts w:cs="Arial"/>
                <w:color w:val="000000"/>
                <w:sz w:val="18"/>
                <w:szCs w:val="18"/>
              </w:rPr>
              <w:t>LC</w:t>
            </w:r>
          </w:p>
        </w:tc>
        <w:tc>
          <w:tcPr>
            <w:tcW w:w="463" w:type="pct"/>
            <w:shd w:val="clear" w:color="auto" w:fill="auto"/>
            <w:noWrap/>
            <w:vAlign w:val="center"/>
          </w:tcPr>
          <w:p w:rsidR="00FC668B" w:rsidRPr="00AE2A0D" w:rsidRDefault="00FC668B" w:rsidP="00FC668B">
            <w:pPr>
              <w:spacing w:after="0"/>
              <w:jc w:val="center"/>
              <w:rPr>
                <w:rFonts w:cs="Arial"/>
                <w:bCs/>
                <w:color w:val="000000"/>
                <w:sz w:val="18"/>
                <w:szCs w:val="18"/>
              </w:rPr>
            </w:pPr>
          </w:p>
        </w:tc>
        <w:tc>
          <w:tcPr>
            <w:tcW w:w="498" w:type="pct"/>
            <w:shd w:val="clear" w:color="auto" w:fill="auto"/>
            <w:noWrap/>
            <w:vAlign w:val="center"/>
          </w:tcPr>
          <w:p w:rsidR="00FC668B" w:rsidRPr="00AE2A0D" w:rsidRDefault="00FC668B" w:rsidP="00FC668B">
            <w:pPr>
              <w:spacing w:after="0"/>
              <w:jc w:val="center"/>
              <w:rPr>
                <w:rFonts w:cs="Arial"/>
                <w:bCs/>
                <w:color w:val="000000"/>
                <w:sz w:val="18"/>
                <w:szCs w:val="18"/>
              </w:rPr>
            </w:pPr>
          </w:p>
        </w:tc>
      </w:tr>
    </w:tbl>
    <w:p w:rsidR="00FC668B" w:rsidRDefault="00FC668B" w:rsidP="00FC668B">
      <w:pPr>
        <w:pStyle w:val="Legenda"/>
        <w:rPr>
          <w:iCs/>
          <w:color w:val="000000"/>
          <w:sz w:val="16"/>
          <w:szCs w:val="16"/>
        </w:rPr>
      </w:pPr>
      <w:r w:rsidRPr="00AE2A0D">
        <w:rPr>
          <w:iCs/>
          <w:color w:val="000000"/>
          <w:sz w:val="16"/>
          <w:szCs w:val="16"/>
        </w:rPr>
        <w:t>† = Espécie de interesse médico; * = Espécie acrescentada à lista de dados secundários; # = espécie exótica.</w:t>
      </w:r>
    </w:p>
    <w:p w:rsidR="000A0BA1" w:rsidRDefault="000A0BA1" w:rsidP="000A0BA1">
      <w:pPr>
        <w:rPr>
          <w:sz w:val="18"/>
          <w:szCs w:val="18"/>
        </w:rPr>
      </w:pPr>
      <w:r w:rsidRPr="000A0BA1">
        <w:rPr>
          <w:sz w:val="18"/>
          <w:szCs w:val="18"/>
        </w:rPr>
        <w:t>Nota - dias 30/09 e 05/10/2014 e os métodos de amostragem, onde Avi= avistamentos; Voc= vocalização; Ves= vestígio (pele); LC= Least Concern (pouco preocupante); NC= não consta.</w:t>
      </w:r>
    </w:p>
    <w:p w:rsidR="00BE6C9D" w:rsidRDefault="00BE6C9D" w:rsidP="000A0BA1">
      <w:pPr>
        <w:rPr>
          <w:sz w:val="18"/>
          <w:szCs w:val="18"/>
        </w:rPr>
      </w:pPr>
    </w:p>
    <w:p w:rsidR="00BE6C9D" w:rsidRPr="000A0BA1" w:rsidRDefault="00BE6C9D" w:rsidP="00BE6C9D">
      <w:pPr>
        <w:pStyle w:val="Legenda"/>
        <w:jc w:val="center"/>
        <w:rPr>
          <w:rFonts w:ascii="Arial Negrito" w:eastAsia="Arial Unicode MS" w:hAnsi="Arial Negrito" w:cs="Times New Roman"/>
          <w:smallCaps/>
          <w:snapToGrid w:val="0"/>
          <w:szCs w:val="24"/>
          <w:lang w:eastAsia="pt-BR"/>
        </w:rPr>
      </w:pPr>
      <w:bookmarkStart w:id="113" w:name="_Ref402225265"/>
      <w:r w:rsidRPr="000A0BA1">
        <w:rPr>
          <w:rFonts w:ascii="Arial Negrito" w:eastAsia="Arial Unicode MS" w:hAnsi="Arial Negrito" w:cs="Times New Roman"/>
          <w:smallCaps/>
          <w:snapToGrid w:val="0"/>
          <w:szCs w:val="24"/>
          <w:lang w:eastAsia="pt-BR"/>
        </w:rPr>
        <w:t xml:space="preserve">Figura </w:t>
      </w:r>
      <w:bookmarkEnd w:id="113"/>
      <w:r w:rsidRPr="000A0BA1">
        <w:rPr>
          <w:rFonts w:ascii="Arial Negrito" w:eastAsia="Arial Unicode MS" w:hAnsi="Arial Negrito" w:cs="Times New Roman"/>
          <w:smallCaps/>
          <w:snapToGrid w:val="0"/>
          <w:szCs w:val="24"/>
          <w:lang w:eastAsia="pt-BR"/>
        </w:rPr>
        <w:t>6.4.</w:t>
      </w:r>
      <w:r w:rsidR="004C4CC5">
        <w:rPr>
          <w:rFonts w:ascii="Arial Negrito" w:eastAsia="Arial Unicode MS" w:hAnsi="Arial Negrito" w:cs="Times New Roman"/>
          <w:smallCaps/>
          <w:snapToGrid w:val="0"/>
          <w:szCs w:val="24"/>
          <w:lang w:eastAsia="pt-BR"/>
        </w:rPr>
        <w:t>4-9.</w:t>
      </w:r>
      <w:r w:rsidRPr="000A0BA1">
        <w:rPr>
          <w:rFonts w:ascii="Arial Negrito" w:eastAsia="Arial Unicode MS" w:hAnsi="Arial Negrito" w:cs="Times New Roman"/>
          <w:smallCaps/>
          <w:snapToGrid w:val="0"/>
          <w:szCs w:val="24"/>
          <w:lang w:eastAsia="pt-BR"/>
        </w:rPr>
        <w:t xml:space="preserve"> Riqueza da herpetofauna registrada por área amostral na AID das obras da Interligação das represas Jaguari e Atibainha, entre os dias 30/09 e 05/10/2014</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BE6C9D" w:rsidRPr="00AE2A0D" w:rsidTr="008477B6">
        <w:tc>
          <w:tcPr>
            <w:tcW w:w="9210" w:type="dxa"/>
          </w:tcPr>
          <w:p w:rsidR="00BE6C9D" w:rsidRPr="000A0BA1" w:rsidRDefault="00BE6C9D" w:rsidP="008477B6">
            <w:pPr>
              <w:pStyle w:val="Legenda"/>
              <w:jc w:val="center"/>
              <w:rPr>
                <w:rFonts w:ascii="Arial Negrito" w:eastAsia="Arial Unicode MS" w:hAnsi="Arial Negrito"/>
                <w:smallCaps/>
                <w:snapToGrid w:val="0"/>
                <w:szCs w:val="24"/>
              </w:rPr>
            </w:pPr>
            <w:r w:rsidRPr="000A0BA1">
              <w:rPr>
                <w:rFonts w:ascii="Arial Negrito" w:eastAsia="Arial Unicode MS" w:hAnsi="Arial Negrito"/>
                <w:smallCaps/>
                <w:noProof/>
                <w:snapToGrid w:val="0"/>
                <w:szCs w:val="24"/>
              </w:rPr>
              <w:drawing>
                <wp:inline distT="0" distB="0" distL="0" distR="0" wp14:anchorId="24B1F7E9" wp14:editId="5A806269">
                  <wp:extent cx="3838575" cy="2095500"/>
                  <wp:effectExtent l="19050" t="0" r="9525" b="0"/>
                  <wp:docPr id="17" name="Gráfico 294"/>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4C4CC5" w:rsidRDefault="004C4CC5" w:rsidP="004C4CC5">
            <w:pPr>
              <w:pStyle w:val="Legenda"/>
              <w:jc w:val="center"/>
              <w:rPr>
                <w:rFonts w:ascii="Arial Negrito" w:eastAsia="Arial Unicode MS" w:hAnsi="Arial Negrito"/>
                <w:smallCaps/>
                <w:snapToGrid w:val="0"/>
                <w:szCs w:val="24"/>
              </w:rPr>
            </w:pPr>
            <w:bookmarkStart w:id="114" w:name="_Ref401843561"/>
          </w:p>
          <w:p w:rsidR="00BE6C9D" w:rsidRPr="000A0BA1" w:rsidRDefault="00BE6C9D" w:rsidP="004C4CC5">
            <w:pPr>
              <w:pStyle w:val="Legenda"/>
              <w:jc w:val="center"/>
              <w:rPr>
                <w:rFonts w:ascii="Arial Negrito" w:eastAsia="Arial Unicode MS" w:hAnsi="Arial Negrito"/>
                <w:smallCaps/>
                <w:snapToGrid w:val="0"/>
                <w:szCs w:val="24"/>
              </w:rPr>
            </w:pPr>
            <w:r w:rsidRPr="000A0BA1">
              <w:rPr>
                <w:rFonts w:ascii="Arial Negrito" w:eastAsia="Arial Unicode MS" w:hAnsi="Arial Negrito"/>
                <w:smallCaps/>
                <w:snapToGrid w:val="0"/>
                <w:szCs w:val="24"/>
              </w:rPr>
              <w:t xml:space="preserve">Figura </w:t>
            </w:r>
            <w:bookmarkEnd w:id="114"/>
            <w:r w:rsidRPr="000A0BA1">
              <w:rPr>
                <w:rFonts w:ascii="Arial Negrito" w:eastAsia="Arial Unicode MS" w:hAnsi="Arial Negrito"/>
                <w:smallCaps/>
                <w:snapToGrid w:val="0"/>
                <w:szCs w:val="24"/>
              </w:rPr>
              <w:t>6.4.</w:t>
            </w:r>
            <w:r w:rsidR="004C4CC5">
              <w:rPr>
                <w:rFonts w:ascii="Arial Negrito" w:eastAsia="Arial Unicode MS" w:hAnsi="Arial Negrito"/>
                <w:smallCaps/>
                <w:snapToGrid w:val="0"/>
                <w:szCs w:val="24"/>
              </w:rPr>
              <w:t>4-10.</w:t>
            </w:r>
            <w:r w:rsidRPr="000A0BA1">
              <w:rPr>
                <w:rFonts w:ascii="Arial Negrito" w:eastAsia="Arial Unicode MS" w:hAnsi="Arial Negrito"/>
                <w:smallCaps/>
                <w:snapToGrid w:val="0"/>
                <w:szCs w:val="24"/>
              </w:rPr>
              <w:t xml:space="preserve"> Composição da herpetofauna registrada na AID das obras da Interligação das represas Jaguari e Atibainha, entre os dias 30/09 e 05/10/2014</w:t>
            </w:r>
          </w:p>
        </w:tc>
      </w:tr>
    </w:tbl>
    <w:p w:rsidR="003B21B8" w:rsidRDefault="00BE6C9D" w:rsidP="00BE6C9D">
      <w:pPr>
        <w:jc w:val="center"/>
        <w:rPr>
          <w:sz w:val="18"/>
          <w:szCs w:val="18"/>
        </w:rPr>
      </w:pPr>
      <w:r w:rsidRPr="00BE6C9D">
        <w:rPr>
          <w:noProof/>
          <w:sz w:val="18"/>
          <w:szCs w:val="18"/>
          <w:lang w:eastAsia="pt-BR"/>
        </w:rPr>
        <w:drawing>
          <wp:inline distT="0" distB="0" distL="0" distR="0" wp14:anchorId="0A4C3BE7" wp14:editId="29A2B3A8">
            <wp:extent cx="4572000" cy="2743200"/>
            <wp:effectExtent l="0" t="0" r="19050" b="19050"/>
            <wp:docPr id="22" name="Gráfico 159"/>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3B21B8" w:rsidRDefault="003B21B8" w:rsidP="000A0BA1">
      <w:pPr>
        <w:rPr>
          <w:sz w:val="18"/>
          <w:szCs w:val="18"/>
        </w:rPr>
      </w:pPr>
    </w:p>
    <w:p w:rsidR="003B21B8" w:rsidRDefault="003B21B8" w:rsidP="000A0BA1">
      <w:pPr>
        <w:rPr>
          <w:sz w:val="18"/>
          <w:szCs w:val="18"/>
        </w:rPr>
      </w:pPr>
    </w:p>
    <w:p w:rsidR="003B21B8" w:rsidRDefault="003B21B8" w:rsidP="000A0BA1">
      <w:pPr>
        <w:rPr>
          <w:sz w:val="18"/>
          <w:szCs w:val="18"/>
        </w:rPr>
      </w:pPr>
    </w:p>
    <w:tbl>
      <w:tblPr>
        <w:tblStyle w:val="Tabelacomgrade"/>
        <w:tblW w:w="9570" w:type="dxa"/>
        <w:tblLook w:val="04A0" w:firstRow="1" w:lastRow="0" w:firstColumn="1" w:lastColumn="0" w:noHBand="0" w:noVBand="1"/>
      </w:tblPr>
      <w:tblGrid>
        <w:gridCol w:w="4617"/>
        <w:gridCol w:w="4737"/>
        <w:gridCol w:w="216"/>
      </w:tblGrid>
      <w:tr w:rsidR="000A0BA1" w:rsidRPr="000A0BA1" w:rsidTr="00BE6C9D">
        <w:trPr>
          <w:gridAfter w:val="1"/>
          <w:wAfter w:w="216" w:type="dxa"/>
        </w:trPr>
        <w:tc>
          <w:tcPr>
            <w:tcW w:w="9354" w:type="dxa"/>
            <w:gridSpan w:val="2"/>
            <w:tcBorders>
              <w:top w:val="nil"/>
              <w:left w:val="nil"/>
              <w:bottom w:val="nil"/>
              <w:right w:val="nil"/>
            </w:tcBorders>
          </w:tcPr>
          <w:p w:rsidR="000A0BA1" w:rsidRPr="000A0BA1" w:rsidRDefault="000A0BA1" w:rsidP="004C4CC5">
            <w:pPr>
              <w:pStyle w:val="Legenda"/>
              <w:jc w:val="center"/>
              <w:rPr>
                <w:rFonts w:ascii="Arial Negrito" w:eastAsia="Arial Unicode MS" w:hAnsi="Arial Negrito"/>
                <w:smallCaps/>
                <w:snapToGrid w:val="0"/>
                <w:szCs w:val="24"/>
              </w:rPr>
            </w:pPr>
            <w:bookmarkStart w:id="115" w:name="_Ref401843577"/>
            <w:r w:rsidRPr="000A0BA1">
              <w:rPr>
                <w:rFonts w:ascii="Arial Negrito" w:eastAsia="Arial Unicode MS" w:hAnsi="Arial Negrito"/>
                <w:smallCaps/>
                <w:snapToGrid w:val="0"/>
                <w:szCs w:val="24"/>
              </w:rPr>
              <w:lastRenderedPageBreak/>
              <w:t xml:space="preserve">Figura </w:t>
            </w:r>
            <w:bookmarkEnd w:id="115"/>
            <w:r>
              <w:rPr>
                <w:rFonts w:ascii="Arial Negrito" w:eastAsia="Arial Unicode MS" w:hAnsi="Arial Negrito"/>
                <w:smallCaps/>
                <w:snapToGrid w:val="0"/>
                <w:szCs w:val="24"/>
              </w:rPr>
              <w:t>6.4.</w:t>
            </w:r>
            <w:r w:rsidR="004C4CC5">
              <w:rPr>
                <w:rFonts w:ascii="Arial Negrito" w:eastAsia="Arial Unicode MS" w:hAnsi="Arial Negrito"/>
                <w:smallCaps/>
                <w:snapToGrid w:val="0"/>
                <w:szCs w:val="24"/>
              </w:rPr>
              <w:t>4-11.</w:t>
            </w:r>
            <w:r>
              <w:rPr>
                <w:rFonts w:ascii="Arial Negrito" w:eastAsia="Arial Unicode MS" w:hAnsi="Arial Negrito"/>
                <w:smallCaps/>
                <w:snapToGrid w:val="0"/>
                <w:szCs w:val="24"/>
              </w:rPr>
              <w:t xml:space="preserve"> </w:t>
            </w:r>
            <w:r w:rsidRPr="000A0BA1">
              <w:rPr>
                <w:rFonts w:ascii="Arial Negrito" w:eastAsia="Arial Unicode MS" w:hAnsi="Arial Negrito"/>
                <w:smallCaps/>
                <w:snapToGrid w:val="0"/>
                <w:szCs w:val="24"/>
              </w:rPr>
              <w:t>Espécies de</w:t>
            </w:r>
            <w:r w:rsidR="000F2964">
              <w:rPr>
                <w:rFonts w:ascii="Arial Negrito" w:eastAsia="Arial Unicode MS" w:hAnsi="Arial Negrito"/>
                <w:smallCaps/>
                <w:snapToGrid w:val="0"/>
                <w:szCs w:val="24"/>
              </w:rPr>
              <w:t xml:space="preserve"> anfíbios anuros encontradas na</w:t>
            </w:r>
            <w:r w:rsidRPr="000A0BA1">
              <w:rPr>
                <w:rFonts w:ascii="Arial Negrito" w:eastAsia="Arial Unicode MS" w:hAnsi="Arial Negrito"/>
                <w:smallCaps/>
                <w:snapToGrid w:val="0"/>
                <w:szCs w:val="24"/>
              </w:rPr>
              <w:t xml:space="preserve"> AID </w:t>
            </w:r>
          </w:p>
        </w:tc>
      </w:tr>
      <w:tr w:rsidR="00FC668B" w:rsidRPr="00AE2A0D" w:rsidTr="00BE6C9D">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617" w:type="dxa"/>
            <w:vAlign w:val="center"/>
          </w:tcPr>
          <w:p w:rsidR="00FC668B" w:rsidRPr="00AE2A0D" w:rsidRDefault="00056696" w:rsidP="00FC668B">
            <w:pPr>
              <w:jc w:val="center"/>
              <w:rPr>
                <w:rFonts w:cs="Arial"/>
              </w:rPr>
            </w:pPr>
            <w:r>
              <w:rPr>
                <w:noProof/>
              </w:rPr>
              <mc:AlternateContent>
                <mc:Choice Requires="wps">
                  <w:drawing>
                    <wp:anchor distT="0" distB="0" distL="114300" distR="114300" simplePos="0" relativeHeight="251667456" behindDoc="0" locked="0" layoutInCell="1" allowOverlap="1" wp14:anchorId="61D30A59" wp14:editId="7840DBC2">
                      <wp:simplePos x="0" y="0"/>
                      <wp:positionH relativeFrom="column">
                        <wp:posOffset>2233295</wp:posOffset>
                      </wp:positionH>
                      <wp:positionV relativeFrom="paragraph">
                        <wp:posOffset>1445895</wp:posOffset>
                      </wp:positionV>
                      <wp:extent cx="466725" cy="342900"/>
                      <wp:effectExtent l="0" t="0" r="0" b="0"/>
                      <wp:wrapNone/>
                      <wp:docPr id="30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342900"/>
                              </a:xfrm>
                              <a:prstGeom prst="rect">
                                <a:avLst/>
                              </a:prstGeom>
                              <a:noFill/>
                              <a:ln w="9525">
                                <a:noFill/>
                                <a:miter lim="800000"/>
                                <a:headEnd/>
                                <a:tailEnd/>
                              </a:ln>
                            </wps:spPr>
                            <wps:txbx>
                              <w:txbxContent>
                                <w:p w:rsidR="000F2964" w:rsidRPr="00C90B7F" w:rsidRDefault="000F2964" w:rsidP="00FC668B">
                                  <w:pPr>
                                    <w:jc w:val="right"/>
                                    <w:rPr>
                                      <w:rFonts w:cs="Arial"/>
                                      <w:b/>
                                      <w:color w:val="FFFFFF" w:themeColor="background1"/>
                                      <w:sz w:val="28"/>
                                      <w:szCs w:val="28"/>
                                    </w:rPr>
                                  </w:pPr>
                                  <w:r w:rsidRPr="00C90B7F">
                                    <w:rPr>
                                      <w:rFonts w:cs="Arial"/>
                                      <w:b/>
                                      <w:color w:val="FFFFFF" w:themeColor="background1"/>
                                      <w:sz w:val="28"/>
                                      <w:szCs w:val="28"/>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1D30A59" id="_x0000_t202" coordsize="21600,21600" o:spt="202" path="m,l,21600r21600,l21600,xe">
                      <v:stroke joinstyle="miter"/>
                      <v:path gradientshapeok="t" o:connecttype="rect"/>
                    </v:shapetype>
                    <v:shape id="Caixa de Texto 2" o:spid="_x0000_s1041" type="#_x0000_t202" style="position:absolute;left:0;text-align:left;margin-left:175.85pt;margin-top:113.85pt;width:36.75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Z6vFAIAAAEEAAAOAAAAZHJzL2Uyb0RvYy54bWysU8tu2zAQvBfoPxC815IdP2LBcpA6TVEg&#10;fQBJP2BNURZRkcuStCX367ukbNdIb0V1IEjt7nBndri663XLDtJ5habk41HOmTQCK2V2Jf/+8vju&#10;ljMfwFTQopElP0rP79Zv36w6W8gJNthW0jECMb7obMmbEGyRZV40UoMfoZWGgjU6DYGObpdVDjpC&#10;1202yfN51qGrrEMhvae/D0OQrxN+XUsRvta1l4G1JafeQlpdWrdxzdYrKHYObKPEqQ34hy40KEOX&#10;XqAeIADbO/UXlFbCocc6jATqDOtaCZk4EJtx/orNcwNWJi4kjrcXmfz/gxVfDt8cU1XJb/IFZwY0&#10;DWkDqgdWSfYi+4BsElXqrC8o+dlSeujfY0/TToy9fULxwzODmwbMTt47h10joaIux7EyuyodcHwE&#10;2XafsaLLYB8wAfW101FCEoUROk3reJkQ9cEE/ZzO54vJjDNBoZvpZJmnCWZQnIut8+GjRM3ipuSO&#10;DJDA4fDkQ2wGinNKvMvgo2rbZILWsK7kyxnBv4poFcijrdIlv83jN7gmcvxgqlQcQLXDni5ozYl0&#10;5DkwDv22TyqPZ2cxt1gdSQaHgyfpDdGmQfeLs478WHL/cw9OctZ+MiTlcjydRgOnw3S2mNDBXUe2&#10;1xEwgqBKHjgbtpuQTD8wuyfJa5XkiLMZOjn1TD5LKp3eRDTy9Tll/Xm5698AAAD//wMAUEsDBBQA&#10;BgAIAAAAIQBJDe3b3gAAAAsBAAAPAAAAZHJzL2Rvd25yZXYueG1sTI9BT8MwDIXvSPyHyEjcWLKw&#10;slGaTgjEFbTBJnHLGq+taJyqydby7zEnuNl+T8/fK9aT78QZh9gGMjCfKRBIVXAt1QY+3l9uViBi&#10;suRsFwgNfGOEdXl5UdjchZE2eN6mWnAIxdwaaFLqcylj1aC3cRZ6JNaOYfA28TrU0g125HDfSa3U&#10;nfS2Jf7Q2B6fGqy+tidvYPd6/Nwv1Fv97LN+DJOS5O+lMddX0+MDiIRT+jPDLz6jQ8lMh3AiF0Vn&#10;4DabL9lqQOslD+xY6EyDOPBlxZIsC/m/Q/kDAAD//wMAUEsBAi0AFAAGAAgAAAAhALaDOJL+AAAA&#10;4QEAABMAAAAAAAAAAAAAAAAAAAAAAFtDb250ZW50X1R5cGVzXS54bWxQSwECLQAUAAYACAAAACEA&#10;OP0h/9YAAACUAQAACwAAAAAAAAAAAAAAAAAvAQAAX3JlbHMvLnJlbHNQSwECLQAUAAYACAAAACEA&#10;+bGerxQCAAABBAAADgAAAAAAAAAAAAAAAAAuAgAAZHJzL2Uyb0RvYy54bWxQSwECLQAUAAYACAAA&#10;ACEASQ3t294AAAALAQAADwAAAAAAAAAAAAAAAABuBAAAZHJzL2Rvd25yZXYueG1sUEsFBgAAAAAE&#10;AAQA8wAAAHkFAAAAAA==&#10;" filled="f" stroked="f">
                      <v:textbox>
                        <w:txbxContent>
                          <w:p w:rsidR="000F2964" w:rsidRPr="00C90B7F" w:rsidRDefault="000F2964" w:rsidP="00FC668B">
                            <w:pPr>
                              <w:jc w:val="right"/>
                              <w:rPr>
                                <w:rFonts w:cs="Arial"/>
                                <w:b/>
                                <w:color w:val="FFFFFF" w:themeColor="background1"/>
                                <w:sz w:val="28"/>
                                <w:szCs w:val="28"/>
                              </w:rPr>
                            </w:pPr>
                            <w:r w:rsidRPr="00C90B7F">
                              <w:rPr>
                                <w:rFonts w:cs="Arial"/>
                                <w:b/>
                                <w:color w:val="FFFFFF" w:themeColor="background1"/>
                                <w:sz w:val="28"/>
                                <w:szCs w:val="28"/>
                              </w:rPr>
                              <w:t>A</w:t>
                            </w:r>
                          </w:p>
                        </w:txbxContent>
                      </v:textbox>
                    </v:shape>
                  </w:pict>
                </mc:Fallback>
              </mc:AlternateContent>
            </w:r>
            <w:r w:rsidR="00FC668B" w:rsidRPr="00AE2A0D">
              <w:rPr>
                <w:rFonts w:eastAsiaTheme="minorHAnsi" w:cs="Arial"/>
                <w:sz w:val="22"/>
                <w:szCs w:val="22"/>
                <w:lang w:eastAsia="en-US"/>
              </w:rPr>
              <w:object w:dxaOrig="9030" w:dyaOrig="7170">
                <v:shape id="_x0000_i1028" type="#_x0000_t75" style="width:210.85pt;height:140.9pt" o:ole="">
                  <v:imagedata r:id="rId87" o:title="" croptop="8914f" cropbottom="7048f" cropright="4732f"/>
                  <o:lock v:ext="edit" aspectratio="f"/>
                </v:shape>
                <o:OLEObject Type="Embed" ProgID="PBrush" ShapeID="_x0000_i1028" DrawAspect="Content" ObjectID="_1485879693" r:id="rId88"/>
              </w:object>
            </w:r>
          </w:p>
        </w:tc>
        <w:tc>
          <w:tcPr>
            <w:tcW w:w="4953" w:type="dxa"/>
            <w:gridSpan w:val="2"/>
            <w:vAlign w:val="center"/>
          </w:tcPr>
          <w:p w:rsidR="00FC668B" w:rsidRPr="00AE2A0D" w:rsidRDefault="00056696" w:rsidP="00FC668B">
            <w:pPr>
              <w:jc w:val="center"/>
              <w:rPr>
                <w:rFonts w:cs="Arial"/>
              </w:rPr>
            </w:pPr>
            <w:r>
              <w:rPr>
                <w:noProof/>
              </w:rPr>
              <mc:AlternateContent>
                <mc:Choice Requires="wps">
                  <w:drawing>
                    <wp:anchor distT="0" distB="0" distL="114300" distR="114300" simplePos="0" relativeHeight="251668480" behindDoc="0" locked="0" layoutInCell="1" allowOverlap="1" wp14:anchorId="6B3BA31A" wp14:editId="69ECFF93">
                      <wp:simplePos x="0" y="0"/>
                      <wp:positionH relativeFrom="column">
                        <wp:posOffset>2217420</wp:posOffset>
                      </wp:positionH>
                      <wp:positionV relativeFrom="paragraph">
                        <wp:posOffset>1445895</wp:posOffset>
                      </wp:positionV>
                      <wp:extent cx="466725" cy="342900"/>
                      <wp:effectExtent l="0" t="0" r="0" b="0"/>
                      <wp:wrapNone/>
                      <wp:docPr id="1167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342900"/>
                              </a:xfrm>
                              <a:prstGeom prst="rect">
                                <a:avLst/>
                              </a:prstGeom>
                              <a:noFill/>
                              <a:ln w="9525">
                                <a:noFill/>
                                <a:miter lim="800000"/>
                                <a:headEnd/>
                                <a:tailEnd/>
                              </a:ln>
                            </wps:spPr>
                            <wps:txbx>
                              <w:txbxContent>
                                <w:p w:rsidR="000F2964" w:rsidRPr="00C90B7F" w:rsidRDefault="000F2964" w:rsidP="00FC668B">
                                  <w:pPr>
                                    <w:jc w:val="right"/>
                                    <w:rPr>
                                      <w:rFonts w:cs="Arial"/>
                                      <w:b/>
                                      <w:color w:val="FFFFFF" w:themeColor="background1"/>
                                      <w:sz w:val="28"/>
                                      <w:szCs w:val="28"/>
                                    </w:rPr>
                                  </w:pPr>
                                  <w:r>
                                    <w:rPr>
                                      <w:rFonts w:cs="Arial"/>
                                      <w:b/>
                                      <w:color w:val="FFFFFF" w:themeColor="background1"/>
                                      <w:sz w:val="28"/>
                                      <w:szCs w:val="28"/>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3BA31A" id="_x0000_s1042" type="#_x0000_t202" style="position:absolute;left:0;text-align:left;margin-left:174.6pt;margin-top:113.85pt;width:36.75pt;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u2EwIAAAMEAAAOAAAAZHJzL2Uyb0RvYy54bWysU9uO2yAQfa/Uf0C8N740l40VZ7XNdqtK&#10;24u02w8gGMeowFAgsdOv3wEnabR9q+oHxHiYw5wzh9XtoBU5COclmJoWk5wSYTg00uxq+uP54d0N&#10;JT4w0zAFRtT0KDy9Xb99s+ptJUroQDXCEQQxvuptTbsQbJVlnndCMz8BKwwmW3CaBQzdLmsc6xFd&#10;q6zM83nWg2usAy68x7/3Y5KuE37bCh6+ta0XgaiaYm8hrS6t27hm6xWrdo7ZTvJTG+wfutBMGrz0&#10;AnXPAiN7J/+C0pI78NCGCQedQdtKLhIHZFPkr9g8dcyKxAXF8fYik/9/sPzr4bsjssHZFfNFQYlh&#10;Gse0YXJgpBHkWQwBSBl16q2v8PiTxYIwfIABaxJnbx+B//TEwKZjZifunIO+E6zBPotYmV2Vjjg+&#10;gmz7L9DgZWwfIAENrdNRRJSFIDrO63iZEfZBOP6czueLckYJx9T7abnM0wwzVp2LrfPhkwBN4qam&#10;Di2QwNnh0YfYDKvOR+JdBh6kUskGypC+pssZwr/KaBnQpUrqmt7k8Rt9Ezl+NE0qDkyqcY8XKHMi&#10;HXmOjMOwHUad52cxt9AcUQYHoyvxFeGmA/ebkh4dWVP/a8+coER9NijlsphOo4VTMJ0tSgzcdWZ7&#10;nWGGI1RNAyXjdhOS7Udmdyh5K5MccTZjJ6ee0WlJpdOriFa+jtOpP293/QIAAP//AwBQSwMEFAAG&#10;AAgAAAAhAHVF7LXfAAAACwEAAA8AAABkcnMvZG93bnJldi54bWxMj8tOwzAQRfdI/IM1SOyo3RCa&#10;NsSpKhBbUMtDYufG0yRqPI5itwl/z7Ciu3kc3TlTrCfXiTMOofWkYT5TIJAqb1uqNXy8v9wtQYRo&#10;yJrOE2r4wQDr8vqqMLn1I23xvIu14BAKudHQxNjnUoaqQWfCzPdIvDv4wZnI7VBLO5iRw10nE6UW&#10;0pmW+EJjenxqsDruTk7D5+vh+ytVb/Wze+hHPylJbiW1vr2ZNo8gIk7xH4Y/fVaHkp32/kQ2iE7D&#10;fbpKGNWQJFkGgomUKxB7niznGciykJc/lL8AAAD//wMAUEsBAi0AFAAGAAgAAAAhALaDOJL+AAAA&#10;4QEAABMAAAAAAAAAAAAAAAAAAAAAAFtDb250ZW50X1R5cGVzXS54bWxQSwECLQAUAAYACAAAACEA&#10;OP0h/9YAAACUAQAACwAAAAAAAAAAAAAAAAAvAQAAX3JlbHMvLnJlbHNQSwECLQAUAAYACAAAACEA&#10;PuE7thMCAAADBAAADgAAAAAAAAAAAAAAAAAuAgAAZHJzL2Uyb0RvYy54bWxQSwECLQAUAAYACAAA&#10;ACEAdUXstd8AAAALAQAADwAAAAAAAAAAAAAAAABtBAAAZHJzL2Rvd25yZXYueG1sUEsFBgAAAAAE&#10;AAQA8wAAAHkFAAAAAA==&#10;" filled="f" stroked="f">
                      <v:textbox>
                        <w:txbxContent>
                          <w:p w:rsidR="000F2964" w:rsidRPr="00C90B7F" w:rsidRDefault="000F2964" w:rsidP="00FC668B">
                            <w:pPr>
                              <w:jc w:val="right"/>
                              <w:rPr>
                                <w:rFonts w:cs="Arial"/>
                                <w:b/>
                                <w:color w:val="FFFFFF" w:themeColor="background1"/>
                                <w:sz w:val="28"/>
                                <w:szCs w:val="28"/>
                              </w:rPr>
                            </w:pPr>
                            <w:r>
                              <w:rPr>
                                <w:rFonts w:cs="Arial"/>
                                <w:b/>
                                <w:color w:val="FFFFFF" w:themeColor="background1"/>
                                <w:sz w:val="28"/>
                                <w:szCs w:val="28"/>
                              </w:rPr>
                              <w:t>B</w:t>
                            </w:r>
                          </w:p>
                        </w:txbxContent>
                      </v:textbox>
                    </v:shape>
                  </w:pict>
                </mc:Fallback>
              </mc:AlternateContent>
            </w:r>
            <w:r w:rsidR="00FC668B" w:rsidRPr="00AE2A0D">
              <w:rPr>
                <w:rFonts w:eastAsiaTheme="minorHAnsi" w:cs="Arial"/>
                <w:sz w:val="22"/>
                <w:szCs w:val="22"/>
                <w:lang w:eastAsia="en-US"/>
              </w:rPr>
              <w:object w:dxaOrig="8985" w:dyaOrig="6300">
                <v:shape id="_x0000_i1029" type="#_x0000_t75" style="width:212.9pt;height:141.95pt" o:ole="">
                  <v:imagedata r:id="rId89" o:title="" croptop="3691f" cropbottom="8187f" cropleft="1956f" cropright="7434f"/>
                </v:shape>
                <o:OLEObject Type="Embed" ProgID="PBrush" ShapeID="_x0000_i1029" DrawAspect="Content" ObjectID="_1485879694" r:id="rId90"/>
              </w:object>
            </w:r>
          </w:p>
        </w:tc>
      </w:tr>
      <w:tr w:rsidR="00FC668B" w:rsidRPr="00AE2A0D" w:rsidTr="00BE6C9D">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617" w:type="dxa"/>
            <w:vAlign w:val="center"/>
          </w:tcPr>
          <w:p w:rsidR="00FC668B" w:rsidRPr="00AE2A0D" w:rsidRDefault="00056696" w:rsidP="00FC668B">
            <w:pPr>
              <w:jc w:val="center"/>
              <w:rPr>
                <w:rFonts w:cs="Arial"/>
              </w:rPr>
            </w:pPr>
            <w:r>
              <w:rPr>
                <w:noProof/>
              </w:rPr>
              <mc:AlternateContent>
                <mc:Choice Requires="wps">
                  <w:drawing>
                    <wp:anchor distT="0" distB="0" distL="114300" distR="114300" simplePos="0" relativeHeight="251669504" behindDoc="0" locked="0" layoutInCell="1" allowOverlap="1" wp14:anchorId="4415903B" wp14:editId="0A4AFB82">
                      <wp:simplePos x="0" y="0"/>
                      <wp:positionH relativeFrom="column">
                        <wp:posOffset>2233295</wp:posOffset>
                      </wp:positionH>
                      <wp:positionV relativeFrom="paragraph">
                        <wp:posOffset>1455420</wp:posOffset>
                      </wp:positionV>
                      <wp:extent cx="466725" cy="342900"/>
                      <wp:effectExtent l="0" t="0" r="0" b="0"/>
                      <wp:wrapNone/>
                      <wp:docPr id="1167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342900"/>
                              </a:xfrm>
                              <a:prstGeom prst="rect">
                                <a:avLst/>
                              </a:prstGeom>
                              <a:noFill/>
                              <a:ln w="9525">
                                <a:noFill/>
                                <a:miter lim="800000"/>
                                <a:headEnd/>
                                <a:tailEnd/>
                              </a:ln>
                            </wps:spPr>
                            <wps:txbx>
                              <w:txbxContent>
                                <w:p w:rsidR="000F2964" w:rsidRPr="00C90B7F" w:rsidRDefault="000F2964" w:rsidP="00FC668B">
                                  <w:pPr>
                                    <w:jc w:val="right"/>
                                    <w:rPr>
                                      <w:rFonts w:cs="Arial"/>
                                      <w:b/>
                                      <w:color w:val="FFFFFF" w:themeColor="background1"/>
                                      <w:sz w:val="28"/>
                                      <w:szCs w:val="28"/>
                                    </w:rPr>
                                  </w:pPr>
                                  <w:r>
                                    <w:rPr>
                                      <w:rFonts w:cs="Arial"/>
                                      <w:b/>
                                      <w:color w:val="FFFFFF" w:themeColor="background1"/>
                                      <w:sz w:val="28"/>
                                      <w:szCs w:val="28"/>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15903B" id="_x0000_s1043" type="#_x0000_t202" style="position:absolute;left:0;text-align:left;margin-left:175.85pt;margin-top:114.6pt;width:36.75pt;height:2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7riEwIAAAMEAAAOAAAAZHJzL2Uyb0RvYy54bWysU8tu2zAQvBfoPxC815JdP2LBcpA6TVEg&#10;fQBJP2BNURZRkcuStCX367OkbNdIb0V1ILha7nBndri67XXLDtJ5habk41HOmTQCK2V2Jf/x/PDu&#10;hjMfwFTQopElP0rPb9dv36w6W8gJNthW0jECMb7obMmbEGyRZV40UoMfoZWGkjU6DYFCt8sqBx2h&#10;6zab5Pk869BV1qGQ3tPf+yHJ1wm/rqUI3+ray8DaklNvIa0urdu4ZusVFDsHtlHi1Ab8QxcalKFL&#10;L1D3EIDtnfoLSivh0GMdRgJ1hnWthEwciM04f8XmqQErExcSx9uLTP7/wYqvh++OqYpmN54vSCED&#10;msa0AdUDqyR7ln1ANok6ddYXdPzJUkHoP2BPNYmzt48ofnpmcNOA2ck757BrJFTU5zhWZlelA46P&#10;INvuC1Z0GewDJqC+djqKSLIwQqdujpcZUR9M0M/pfL6YzDgTlHo/nSzzNMMMinOxdT58kqhZ3JTc&#10;kQUSOBwefYjNQHE+Eu8y+KDaNtmgNawr+XJG8K8yWgVyaat0yW/y+A2+iRw/mioVB1DtsKcLWnMi&#10;HXkOjEO/7QedF2cxt1gdSQaHgyvpFdGmQfebs44cWXL/aw9OctZ+NiTlcjydRgunYDpbTChw15nt&#10;dQaMIKiSB86G7SYk2w/M7kjyWiU54myGTk49k9OSSqdXEa18HadTf97u+gUAAP//AwBQSwMEFAAG&#10;AAgAAAAhAIdNu+3fAAAACwEAAA8AAABkcnMvZG93bnJldi54bWxMj01PwzAMhu9I/IfISNxYsmyF&#10;rTSdEIgriMEmccsar61onKrJ1vLvMSe4+ePR68fFZvKdOOMQ20AG5jMFAqkKrqXawMf7880KREyW&#10;nO0CoYFvjLApLy8Km7sw0huet6kWHEIxtwaalPpcylg16G2chR6Jd8cweJu4HWrpBjtyuO+kVupW&#10;etsSX2hsj48NVl/bkzewezl+7pfqtX7yWT+GSUnya2nM9dX0cA8i4ZT+YPjVZ3Uo2ekQTuSi6Aws&#10;svkdowa0XmsQTCx1xsWBJ6uFBlkW8v8P5Q8AAAD//wMAUEsBAi0AFAAGAAgAAAAhALaDOJL+AAAA&#10;4QEAABMAAAAAAAAAAAAAAAAAAAAAAFtDb250ZW50X1R5cGVzXS54bWxQSwECLQAUAAYACAAAACEA&#10;OP0h/9YAAACUAQAACwAAAAAAAAAAAAAAAAAvAQAAX3JlbHMvLnJlbHNQSwECLQAUAAYACAAAACEA&#10;h2u64hMCAAADBAAADgAAAAAAAAAAAAAAAAAuAgAAZHJzL2Uyb0RvYy54bWxQSwECLQAUAAYACAAA&#10;ACEAh0277d8AAAALAQAADwAAAAAAAAAAAAAAAABtBAAAZHJzL2Rvd25yZXYueG1sUEsFBgAAAAAE&#10;AAQA8wAAAHkFAAAAAA==&#10;" filled="f" stroked="f">
                      <v:textbox>
                        <w:txbxContent>
                          <w:p w:rsidR="000F2964" w:rsidRPr="00C90B7F" w:rsidRDefault="000F2964" w:rsidP="00FC668B">
                            <w:pPr>
                              <w:jc w:val="right"/>
                              <w:rPr>
                                <w:rFonts w:cs="Arial"/>
                                <w:b/>
                                <w:color w:val="FFFFFF" w:themeColor="background1"/>
                                <w:sz w:val="28"/>
                                <w:szCs w:val="28"/>
                              </w:rPr>
                            </w:pPr>
                            <w:r>
                              <w:rPr>
                                <w:rFonts w:cs="Arial"/>
                                <w:b/>
                                <w:color w:val="FFFFFF" w:themeColor="background1"/>
                                <w:sz w:val="28"/>
                                <w:szCs w:val="28"/>
                              </w:rPr>
                              <w:t>C</w:t>
                            </w:r>
                          </w:p>
                        </w:txbxContent>
                      </v:textbox>
                    </v:shape>
                  </w:pict>
                </mc:Fallback>
              </mc:AlternateContent>
            </w:r>
            <w:r w:rsidR="00FC668B" w:rsidRPr="00AE2A0D">
              <w:rPr>
                <w:rFonts w:eastAsiaTheme="minorHAnsi" w:cs="Arial"/>
                <w:sz w:val="22"/>
                <w:szCs w:val="22"/>
                <w:lang w:eastAsia="en-US"/>
              </w:rPr>
              <w:object w:dxaOrig="12030" w:dyaOrig="8415">
                <v:shape id="_x0000_i1030" type="#_x0000_t75" style="width:211.9pt;height:140.9pt" o:ole="">
                  <v:imagedata r:id="rId91" o:title="" croptop="8044f" cropbottom="3159f" cropleft="988f" cropright="8183f"/>
                  <o:lock v:ext="edit" aspectratio="f"/>
                </v:shape>
                <o:OLEObject Type="Embed" ProgID="PBrush" ShapeID="_x0000_i1030" DrawAspect="Content" ObjectID="_1485879695" r:id="rId92"/>
              </w:object>
            </w:r>
          </w:p>
        </w:tc>
        <w:tc>
          <w:tcPr>
            <w:tcW w:w="4953" w:type="dxa"/>
            <w:gridSpan w:val="2"/>
            <w:vAlign w:val="center"/>
          </w:tcPr>
          <w:p w:rsidR="00FC668B" w:rsidRPr="00AE2A0D" w:rsidRDefault="00056696" w:rsidP="00FC668B">
            <w:pPr>
              <w:jc w:val="center"/>
              <w:rPr>
                <w:rFonts w:cs="Arial"/>
              </w:rPr>
            </w:pPr>
            <w:r>
              <w:rPr>
                <w:noProof/>
              </w:rPr>
              <mc:AlternateContent>
                <mc:Choice Requires="wps">
                  <w:drawing>
                    <wp:anchor distT="0" distB="0" distL="114300" distR="114300" simplePos="0" relativeHeight="251670528" behindDoc="0" locked="0" layoutInCell="1" allowOverlap="1" wp14:anchorId="799F560E" wp14:editId="70B56140">
                      <wp:simplePos x="0" y="0"/>
                      <wp:positionH relativeFrom="column">
                        <wp:posOffset>2217420</wp:posOffset>
                      </wp:positionH>
                      <wp:positionV relativeFrom="paragraph">
                        <wp:posOffset>1455420</wp:posOffset>
                      </wp:positionV>
                      <wp:extent cx="466725" cy="342900"/>
                      <wp:effectExtent l="0" t="0" r="0" b="0"/>
                      <wp:wrapNone/>
                      <wp:docPr id="1166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342900"/>
                              </a:xfrm>
                              <a:prstGeom prst="rect">
                                <a:avLst/>
                              </a:prstGeom>
                              <a:noFill/>
                              <a:ln w="9525">
                                <a:noFill/>
                                <a:miter lim="800000"/>
                                <a:headEnd/>
                                <a:tailEnd/>
                              </a:ln>
                            </wps:spPr>
                            <wps:txbx>
                              <w:txbxContent>
                                <w:p w:rsidR="000F2964" w:rsidRPr="00C90B7F" w:rsidRDefault="000F2964" w:rsidP="00FC668B">
                                  <w:pPr>
                                    <w:jc w:val="right"/>
                                    <w:rPr>
                                      <w:rFonts w:cs="Arial"/>
                                      <w:b/>
                                      <w:color w:val="FFFFFF" w:themeColor="background1"/>
                                      <w:sz w:val="28"/>
                                      <w:szCs w:val="28"/>
                                    </w:rPr>
                                  </w:pPr>
                                  <w:r>
                                    <w:rPr>
                                      <w:rFonts w:cs="Arial"/>
                                      <w:b/>
                                      <w:color w:val="FFFFFF" w:themeColor="background1"/>
                                      <w:sz w:val="28"/>
                                      <w:szCs w:val="28"/>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9F560E" id="_x0000_s1044" type="#_x0000_t202" style="position:absolute;left:0;text-align:left;margin-left:174.6pt;margin-top:114.6pt;width:36.75pt;height:2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5L9FAIAAAMEAAAOAAAAZHJzL2Uyb0RvYy54bWysU9uO2jAQfa/Uf7D8XhIosBARVlu2W1Xa&#10;XqTdfsDgOMRq7HFtQ0K/fscOULR9q5oHy5PxHM85c7y67XXLDtJ5habk41HOmTQCK2V2Jf/x/PBu&#10;wZkPYCpo0ciSH6Xnt+u3b1adLeQEG2wr6RiBGF90tuRNCLbIMi8aqcGP0EpDyRqdhkCh22WVg47Q&#10;dZtN8nyedegq61BI7+nv/ZDk64Rf11KEb3XtZWBtyam3kFaX1m1cs/UKip0D2yhxagP+oQsNytCl&#10;F6h7CMD2Tv0FpZVw6LEOI4E6w7pWQiYOxGacv2Lz1ICViQuJ4+1FJv//YMXXw3fHVEWzG8/nS84M&#10;aBrTBlQPrJLsWfYB2STq1Flf0PEnSwWh/4A91STO3j6i+OmZwU0DZifvnMOukVBRn+NYmV2VDjg+&#10;gmy7L1jRZbAPmID62ukoIsnCCJ3mdbzMiPpggn5O5/ObyYwzQan308kyTzPMoDgXW+fDJ4maxU3J&#10;HVkggcPh0YfYDBTnI/Eugw+qbZMNWsO6ki9nBP8qo1Ugl7ZKl3yRx2/wTeT40VSpOIBqhz1d0JoT&#10;6chzYBz6bT/ovDiLucXqSDI4HFxJr4g2DbrfnHXkyJL7X3twkrP2syEpl+PpNFo4BdPZzYQCd53Z&#10;XmfACIIqeeBs2G5Csv3A7I4kr1WSI85m6OTUMzktqXR6FdHK13E69eftrl8AAAD//wMAUEsDBBQA&#10;BgAIAAAAIQC7BbqD3gAAAAsBAAAPAAAAZHJzL2Rvd25yZXYueG1sTI9NT8MwDIbvSPyHyEjcWEJW&#10;2FaaTgjEFbTBkLhljddWNE7VZGv593gnuPnj0evHxXrynTjhENtABm5nCgRSFVxLtYGP95ebJYiY&#10;LDnbBUIDPxhhXV5eFDZ3YaQNnrapFhxCMbcGmpT6XMpYNehtnIUeiXeHMHibuB1q6QY7crjvpFbq&#10;XnrbEl9obI9PDVbf26M3sHs9fH1m6q1+9nf9GCYlya+kMddX0+MDiIRT+oPhrM/qULLTPhzJRdEZ&#10;mGcrzagBrc8FE5nWCxB7niznGmRZyP8/lL8AAAD//wMAUEsBAi0AFAAGAAgAAAAhALaDOJL+AAAA&#10;4QEAABMAAAAAAAAAAAAAAAAAAAAAAFtDb250ZW50X1R5cGVzXS54bWxQSwECLQAUAAYACAAAACEA&#10;OP0h/9YAAACUAQAACwAAAAAAAAAAAAAAAAAvAQAAX3JlbHMvLnJlbHNQSwECLQAUAAYACAAAACEA&#10;91OS/RQCAAADBAAADgAAAAAAAAAAAAAAAAAuAgAAZHJzL2Uyb0RvYy54bWxQSwECLQAUAAYACAAA&#10;ACEAuwW6g94AAAALAQAADwAAAAAAAAAAAAAAAABuBAAAZHJzL2Rvd25yZXYueG1sUEsFBgAAAAAE&#10;AAQA8wAAAHkFAAAAAA==&#10;" filled="f" stroked="f">
                      <v:textbox>
                        <w:txbxContent>
                          <w:p w:rsidR="000F2964" w:rsidRPr="00C90B7F" w:rsidRDefault="000F2964" w:rsidP="00FC668B">
                            <w:pPr>
                              <w:jc w:val="right"/>
                              <w:rPr>
                                <w:rFonts w:cs="Arial"/>
                                <w:b/>
                                <w:color w:val="FFFFFF" w:themeColor="background1"/>
                                <w:sz w:val="28"/>
                                <w:szCs w:val="28"/>
                              </w:rPr>
                            </w:pPr>
                            <w:r>
                              <w:rPr>
                                <w:rFonts w:cs="Arial"/>
                                <w:b/>
                                <w:color w:val="FFFFFF" w:themeColor="background1"/>
                                <w:sz w:val="28"/>
                                <w:szCs w:val="28"/>
                              </w:rPr>
                              <w:t>D</w:t>
                            </w:r>
                          </w:p>
                        </w:txbxContent>
                      </v:textbox>
                    </v:shape>
                  </w:pict>
                </mc:Fallback>
              </mc:AlternateContent>
            </w:r>
            <w:r w:rsidR="00FC668B" w:rsidRPr="00AE2A0D">
              <w:rPr>
                <w:rFonts w:eastAsiaTheme="minorHAnsi" w:cs="Arial"/>
                <w:sz w:val="22"/>
                <w:szCs w:val="22"/>
                <w:lang w:eastAsia="en-US"/>
              </w:rPr>
              <w:object w:dxaOrig="10740" w:dyaOrig="7485">
                <v:shape id="_x0000_i1031" type="#_x0000_t75" style="width:212.9pt;height:141.95pt" o:ole="">
                  <v:imagedata r:id="rId93" o:title="" croptop="6640f" cropbottom="4331f" cropright="8618f"/>
                </v:shape>
                <o:OLEObject Type="Embed" ProgID="PBrush" ShapeID="_x0000_i1031" DrawAspect="Content" ObjectID="_1485879696" r:id="rId94"/>
              </w:object>
            </w:r>
          </w:p>
        </w:tc>
      </w:tr>
      <w:tr w:rsidR="00FC668B" w:rsidRPr="00AE2A0D" w:rsidTr="00BE6C9D">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617" w:type="dxa"/>
            <w:vAlign w:val="center"/>
          </w:tcPr>
          <w:p w:rsidR="00FC668B" w:rsidRPr="00AE2A0D" w:rsidRDefault="00056696" w:rsidP="00FC668B">
            <w:pPr>
              <w:jc w:val="center"/>
              <w:rPr>
                <w:rFonts w:cs="Arial"/>
              </w:rPr>
            </w:pPr>
            <w:r>
              <w:rPr>
                <w:noProof/>
              </w:rPr>
              <mc:AlternateContent>
                <mc:Choice Requires="wps">
                  <w:drawing>
                    <wp:anchor distT="0" distB="0" distL="114300" distR="114300" simplePos="0" relativeHeight="251671552" behindDoc="0" locked="0" layoutInCell="1" allowOverlap="1" wp14:anchorId="7960D25A" wp14:editId="1272BB83">
                      <wp:simplePos x="0" y="0"/>
                      <wp:positionH relativeFrom="column">
                        <wp:posOffset>2233295</wp:posOffset>
                      </wp:positionH>
                      <wp:positionV relativeFrom="paragraph">
                        <wp:posOffset>1416050</wp:posOffset>
                      </wp:positionV>
                      <wp:extent cx="466725" cy="342900"/>
                      <wp:effectExtent l="0" t="0" r="0" b="0"/>
                      <wp:wrapNone/>
                      <wp:docPr id="28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342900"/>
                              </a:xfrm>
                              <a:prstGeom prst="rect">
                                <a:avLst/>
                              </a:prstGeom>
                              <a:noFill/>
                              <a:ln w="9525">
                                <a:noFill/>
                                <a:miter lim="800000"/>
                                <a:headEnd/>
                                <a:tailEnd/>
                              </a:ln>
                            </wps:spPr>
                            <wps:txbx>
                              <w:txbxContent>
                                <w:p w:rsidR="000F2964" w:rsidRPr="00C90B7F" w:rsidRDefault="000F2964" w:rsidP="00FC668B">
                                  <w:pPr>
                                    <w:jc w:val="right"/>
                                    <w:rPr>
                                      <w:rFonts w:cs="Arial"/>
                                      <w:b/>
                                      <w:color w:val="FFFFFF" w:themeColor="background1"/>
                                      <w:sz w:val="28"/>
                                      <w:szCs w:val="28"/>
                                    </w:rPr>
                                  </w:pPr>
                                  <w:r>
                                    <w:rPr>
                                      <w:rFonts w:cs="Arial"/>
                                      <w:b/>
                                      <w:color w:val="FFFFFF" w:themeColor="background1"/>
                                      <w:sz w:val="28"/>
                                      <w:szCs w:val="28"/>
                                    </w:rPr>
                                    <w: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60D25A" id="_x0000_s1045" type="#_x0000_t202" style="position:absolute;left:0;text-align:left;margin-left:175.85pt;margin-top:111.5pt;width:36.75pt;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BtEwIAAAEEAAAOAAAAZHJzL2Uyb0RvYy54bWysU9uO2jAQfa/Uf7D8XgIpsBARVlu2W1Xa&#10;XqTdfsDgOMRq7HFtQ0K/fscOULR9q5oHy87MHM85c7y67XXLDtJ5habkk9GYM2kEVsrsSv7j+eHd&#10;gjMfwFTQopElP0rPb9dv36w6W8gcG2wr6RiBGF90tuRNCLbIMi8aqcGP0EpDwRqdhkBHt8sqBx2h&#10;6zbLx+N51qGrrEMhvae/90OQrxN+XUsRvtW1l4G1JafeQlpdWrdxzdYrKHYObKPEqQ34hy40KEOX&#10;XqDuIQDbO/UXlFbCocc6jATqDOtaCZk4EJvJ+BWbpwasTFxIHG8vMvn/Byu+Hr47pqqS5wsalQFN&#10;Q9qA6oFVkj3LPiDLo0qd9QUlP1lKD/0H7GnaibG3jyh+emZw04DZyTvnsGskVNTlJFZmV6UDjo8g&#10;2+4LVnQZ7AMmoL52OkpIojBCp2kdLxOiPpign9P5/CafcSYo9H6aL8dpghkU52LrfPgkUbO4Kbkj&#10;AyRwODz6EJuB4pwS7zL4oNo2maA1rCv5ckbwryJaBfJoq3TJF+P4Da6JHD+aKhUHUO2wpwtacyId&#10;eQ6MQ7/tk8qT5VnMLVZHksHh4El6Q7Rp0P3mrCM/ltz/2oOTnLWfDUm5nEyn0cDpMJ3d5HRw15Ht&#10;dQSMIKiSB86G7SYk0w/M7kjyWiU54myGTk49k8+SSqc3EY18fU5Zf17u+gUAAP//AwBQSwMEFAAG&#10;AAgAAAAhAG0AZzbfAAAACwEAAA8AAABkcnMvZG93bnJldi54bWxMj01PwzAMhu9I/IfISNxYsmyl&#10;UJpOCMQVtPEhccsar61onKrJ1vLvMSc42n70+nnLzex7ccIxdoEMLBcKBFIdXEeNgbfXp6sbEDFZ&#10;crYPhAa+McKmOj8rbeHCRFs87VIjOIRiYQ20KQ2FlLFu0du4CAMS3w5h9DbxODbSjXbicN9LrdS1&#10;9LYj/tDaAR9arL92R2/g/fnw+bFWL82jz4YpzEqSv5XGXF7M93cgEs7pD4ZffVaHip324Uguit7A&#10;KlvmjBrQesWlmFjrTIPY8ybPFciqlP87VD8AAAD//wMAUEsBAi0AFAAGAAgAAAAhALaDOJL+AAAA&#10;4QEAABMAAAAAAAAAAAAAAAAAAAAAAFtDb250ZW50X1R5cGVzXS54bWxQSwECLQAUAAYACAAAACEA&#10;OP0h/9YAAACUAQAACwAAAAAAAAAAAAAAAAAvAQAAX3JlbHMvLnJlbHNQSwECLQAUAAYACAAAACEA&#10;FH/wbRMCAAABBAAADgAAAAAAAAAAAAAAAAAuAgAAZHJzL2Uyb0RvYy54bWxQSwECLQAUAAYACAAA&#10;ACEAbQBnNt8AAAALAQAADwAAAAAAAAAAAAAAAABtBAAAZHJzL2Rvd25yZXYueG1sUEsFBgAAAAAE&#10;AAQA8wAAAHkFAAAAAA==&#10;" filled="f" stroked="f">
                      <v:textbox>
                        <w:txbxContent>
                          <w:p w:rsidR="000F2964" w:rsidRPr="00C90B7F" w:rsidRDefault="000F2964" w:rsidP="00FC668B">
                            <w:pPr>
                              <w:jc w:val="right"/>
                              <w:rPr>
                                <w:rFonts w:cs="Arial"/>
                                <w:b/>
                                <w:color w:val="FFFFFF" w:themeColor="background1"/>
                                <w:sz w:val="28"/>
                                <w:szCs w:val="28"/>
                              </w:rPr>
                            </w:pPr>
                            <w:r>
                              <w:rPr>
                                <w:rFonts w:cs="Arial"/>
                                <w:b/>
                                <w:color w:val="FFFFFF" w:themeColor="background1"/>
                                <w:sz w:val="28"/>
                                <w:szCs w:val="28"/>
                              </w:rPr>
                              <w:t>E</w:t>
                            </w:r>
                          </w:p>
                        </w:txbxContent>
                      </v:textbox>
                    </v:shape>
                  </w:pict>
                </mc:Fallback>
              </mc:AlternateContent>
            </w:r>
            <w:r w:rsidR="00FC668B" w:rsidRPr="00AE2A0D">
              <w:rPr>
                <w:rFonts w:eastAsiaTheme="minorHAnsi" w:cs="Arial"/>
                <w:sz w:val="22"/>
                <w:szCs w:val="22"/>
                <w:lang w:eastAsia="en-US"/>
              </w:rPr>
              <w:object w:dxaOrig="9000" w:dyaOrig="6780">
                <v:shape id="_x0000_i1032" type="#_x0000_t75" style="width:212.9pt;height:140.9pt" o:ole="">
                  <v:imagedata r:id="rId95" o:title="" croptop="3753f" cropbottom="7795f" cropright="3507f"/>
                </v:shape>
                <o:OLEObject Type="Embed" ProgID="PBrush" ShapeID="_x0000_i1032" DrawAspect="Content" ObjectID="_1485879697" r:id="rId96"/>
              </w:object>
            </w:r>
          </w:p>
        </w:tc>
        <w:tc>
          <w:tcPr>
            <w:tcW w:w="4953" w:type="dxa"/>
            <w:gridSpan w:val="2"/>
            <w:vAlign w:val="center"/>
          </w:tcPr>
          <w:p w:rsidR="00FC668B" w:rsidRPr="00AE2A0D" w:rsidRDefault="00056696" w:rsidP="00FC668B">
            <w:pPr>
              <w:jc w:val="center"/>
              <w:rPr>
                <w:rFonts w:cs="Arial"/>
              </w:rPr>
            </w:pPr>
            <w:r>
              <w:rPr>
                <w:noProof/>
              </w:rPr>
              <mc:AlternateContent>
                <mc:Choice Requires="wps">
                  <w:drawing>
                    <wp:anchor distT="0" distB="0" distL="114300" distR="114300" simplePos="0" relativeHeight="251672576" behindDoc="0" locked="0" layoutInCell="1" allowOverlap="1" wp14:anchorId="56904AF5" wp14:editId="789885F2">
                      <wp:simplePos x="0" y="0"/>
                      <wp:positionH relativeFrom="column">
                        <wp:posOffset>2217420</wp:posOffset>
                      </wp:positionH>
                      <wp:positionV relativeFrom="paragraph">
                        <wp:posOffset>1435100</wp:posOffset>
                      </wp:positionV>
                      <wp:extent cx="466725" cy="342900"/>
                      <wp:effectExtent l="0" t="0" r="0" b="0"/>
                      <wp:wrapNone/>
                      <wp:docPr id="1166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342900"/>
                              </a:xfrm>
                              <a:prstGeom prst="rect">
                                <a:avLst/>
                              </a:prstGeom>
                              <a:noFill/>
                              <a:ln w="9525">
                                <a:noFill/>
                                <a:miter lim="800000"/>
                                <a:headEnd/>
                                <a:tailEnd/>
                              </a:ln>
                            </wps:spPr>
                            <wps:txbx>
                              <w:txbxContent>
                                <w:p w:rsidR="000F2964" w:rsidRPr="00C90B7F" w:rsidRDefault="000F2964" w:rsidP="00FC668B">
                                  <w:pPr>
                                    <w:jc w:val="right"/>
                                    <w:rPr>
                                      <w:rFonts w:cs="Arial"/>
                                      <w:b/>
                                      <w:color w:val="FFFFFF" w:themeColor="background1"/>
                                      <w:sz w:val="28"/>
                                      <w:szCs w:val="28"/>
                                    </w:rPr>
                                  </w:pPr>
                                  <w:r>
                                    <w:rPr>
                                      <w:rFonts w:cs="Arial"/>
                                      <w:b/>
                                      <w:color w:val="FFFFFF" w:themeColor="background1"/>
                                      <w:sz w:val="28"/>
                                      <w:szCs w:val="28"/>
                                    </w:rPr>
                                    <w:t>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904AF5" id="_x0000_s1046" type="#_x0000_t202" style="position:absolute;left:0;text-align:left;margin-left:174.6pt;margin-top:113pt;width:36.75pt;height:2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rA5EwIAAAMEAAAOAAAAZHJzL2Uyb0RvYy54bWysU8tu2zAQvBfoPxC815JV24kFy0HqNEWB&#10;9AEk/YA1RVlEKS5L0pbcr++SchwjvRXVgSC13Nmd2eHqZug0O0jnFZqKTyc5Z9IIrJXZVfzH0/27&#10;a858AFODRiMrfpSe36zfvln1tpQFtqhr6RiBGF/2tuJtCLbMMi9a2YGfoJWGgg26DgId3S6rHfSE&#10;3umsyPNF1qOrrUMhvae/d2OQrxN+00gRvjWNl4HpilNvIa0urdu4ZusVlDsHtlXi1Ab8QxcdKENF&#10;z1B3EIDtnfoLqlPCoccmTAR2GTaNEjJxIDbT/BWbxxasTFxIHG/PMvn/Byu+Hr47pmqa3XSxoGEZ&#10;6GhMG1ADsFqyJzkEZEXUqbe+pOuPlhLC8AEHykmcvX1A8dMzg5sWzE7eOod9K6GmPqcxM7tIHXF8&#10;BNn2X7CmYrAPmICGxnVRRJKFETrN63ieEfXBBP2cLRZXxZwzQaH3s2KZpxlmUD4nW+fDJ4kdi5uK&#10;O7JAAofDgw+xGSifr8RaBu+V1skG2rC+4ss5wb+KdCqQS7XqKn6dx2/0TeT40dQpOYDS454KaHMi&#10;HXmOjMOwHZLORUqOimyxPpIMDkdX0iuiTYvuN2c9ObLi/tcenORMfzYk5XI6m0ULp8NsfkVAzF1G&#10;tpcRMIKgKh44G7ebkGw/MrslyRuV5Hjp5NQzOS2pdHoV0cqX53Tr5e2u/wAAAP//AwBQSwMEFAAG&#10;AAgAAAAhAEVhDyPfAAAACwEAAA8AAABkcnMvZG93bnJldi54bWxMj01PwzAMhu9I+w+RJ3FjCaGM&#10;rTSdJhBXEOND4pY1XlutcaomW8u/x5zgaPvR6+ctNpPvxBmH2AYycL1QIJCq4FqqDby/PV2tQMRk&#10;ydkuEBr4xgibcnZR2NyFkV7xvEu14BCKuTXQpNTnUsaqQW/jIvRIfDuEwdvE41BLN9iRw30ntVJL&#10;6W1L/KGxPT40WB13J2/g4/nw9Zmpl/rR3/ZjmJQkv5bGXM6n7T2IhFP6g+FXn9WhZKd9OJGLojNw&#10;k601owa0XnIpJjKt70DsebNSCmRZyP8dyh8AAAD//wMAUEsBAi0AFAAGAAgAAAAhALaDOJL+AAAA&#10;4QEAABMAAAAAAAAAAAAAAAAAAAAAAFtDb250ZW50X1R5cGVzXS54bWxQSwECLQAUAAYACAAAACEA&#10;OP0h/9YAAACUAQAACwAAAAAAAAAAAAAAAAAvAQAAX3JlbHMvLnJlbHNQSwECLQAUAAYACAAAACEA&#10;2a6wORMCAAADBAAADgAAAAAAAAAAAAAAAAAuAgAAZHJzL2Uyb0RvYy54bWxQSwECLQAUAAYACAAA&#10;ACEARWEPI98AAAALAQAADwAAAAAAAAAAAAAAAABtBAAAZHJzL2Rvd25yZXYueG1sUEsFBgAAAAAE&#10;AAQA8wAAAHkFAAAAAA==&#10;" filled="f" stroked="f">
                      <v:textbox>
                        <w:txbxContent>
                          <w:p w:rsidR="000F2964" w:rsidRPr="00C90B7F" w:rsidRDefault="000F2964" w:rsidP="00FC668B">
                            <w:pPr>
                              <w:jc w:val="right"/>
                              <w:rPr>
                                <w:rFonts w:cs="Arial"/>
                                <w:b/>
                                <w:color w:val="FFFFFF" w:themeColor="background1"/>
                                <w:sz w:val="28"/>
                                <w:szCs w:val="28"/>
                              </w:rPr>
                            </w:pPr>
                            <w:r>
                              <w:rPr>
                                <w:rFonts w:cs="Arial"/>
                                <w:b/>
                                <w:color w:val="FFFFFF" w:themeColor="background1"/>
                                <w:sz w:val="28"/>
                                <w:szCs w:val="28"/>
                              </w:rPr>
                              <w:t>F</w:t>
                            </w:r>
                          </w:p>
                        </w:txbxContent>
                      </v:textbox>
                    </v:shape>
                  </w:pict>
                </mc:Fallback>
              </mc:AlternateContent>
            </w:r>
            <w:r w:rsidR="00FC668B" w:rsidRPr="00AE2A0D">
              <w:rPr>
                <w:rFonts w:eastAsiaTheme="minorHAnsi" w:cs="Arial"/>
                <w:sz w:val="22"/>
                <w:szCs w:val="22"/>
                <w:lang w:eastAsia="en-US"/>
              </w:rPr>
              <w:object w:dxaOrig="9660" w:dyaOrig="6825">
                <v:shape id="_x0000_i1033" type="#_x0000_t75" style="width:211.9pt;height:140.9pt" o:ole="">
                  <v:imagedata r:id="rId97" o:title="" croptop="7795f" cropbottom="3753f" cropright="7913f"/>
                </v:shape>
                <o:OLEObject Type="Embed" ProgID="PBrush" ShapeID="_x0000_i1033" DrawAspect="Content" ObjectID="_1485879698" r:id="rId98"/>
              </w:object>
            </w:r>
          </w:p>
        </w:tc>
      </w:tr>
      <w:tr w:rsidR="00FC668B" w:rsidRPr="00AE2A0D" w:rsidTr="00BE6C9D">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617" w:type="dxa"/>
            <w:vAlign w:val="center"/>
          </w:tcPr>
          <w:p w:rsidR="00FC668B" w:rsidRPr="00AE2A0D" w:rsidRDefault="00056696" w:rsidP="00FC668B">
            <w:pPr>
              <w:jc w:val="center"/>
              <w:rPr>
                <w:rFonts w:cs="Arial"/>
              </w:rPr>
            </w:pPr>
            <w:r>
              <w:rPr>
                <w:noProof/>
              </w:rPr>
              <mc:AlternateContent>
                <mc:Choice Requires="wps">
                  <w:drawing>
                    <wp:anchor distT="0" distB="0" distL="114300" distR="114300" simplePos="0" relativeHeight="251673600" behindDoc="0" locked="0" layoutInCell="1" allowOverlap="1" wp14:anchorId="0E57992A" wp14:editId="519BAAA9">
                      <wp:simplePos x="0" y="0"/>
                      <wp:positionH relativeFrom="column">
                        <wp:posOffset>2233295</wp:posOffset>
                      </wp:positionH>
                      <wp:positionV relativeFrom="paragraph">
                        <wp:posOffset>1492885</wp:posOffset>
                      </wp:positionV>
                      <wp:extent cx="466725" cy="342900"/>
                      <wp:effectExtent l="0" t="0" r="0" b="0"/>
                      <wp:wrapNone/>
                      <wp:docPr id="29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342900"/>
                              </a:xfrm>
                              <a:prstGeom prst="rect">
                                <a:avLst/>
                              </a:prstGeom>
                              <a:noFill/>
                              <a:ln w="9525">
                                <a:noFill/>
                                <a:miter lim="800000"/>
                                <a:headEnd/>
                                <a:tailEnd/>
                              </a:ln>
                            </wps:spPr>
                            <wps:txbx>
                              <w:txbxContent>
                                <w:p w:rsidR="000F2964" w:rsidRPr="00C90B7F" w:rsidRDefault="000F2964" w:rsidP="00FC668B">
                                  <w:pPr>
                                    <w:jc w:val="right"/>
                                    <w:rPr>
                                      <w:rFonts w:cs="Arial"/>
                                      <w:b/>
                                      <w:color w:val="FFFFFF" w:themeColor="background1"/>
                                      <w:sz w:val="28"/>
                                      <w:szCs w:val="28"/>
                                    </w:rPr>
                                  </w:pPr>
                                  <w:r>
                                    <w:rPr>
                                      <w:rFonts w:cs="Arial"/>
                                      <w:b/>
                                      <w:color w:val="FFFFFF" w:themeColor="background1"/>
                                      <w:sz w:val="28"/>
                                      <w:szCs w:val="28"/>
                                    </w:rPr>
                                    <w:t>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57992A" id="_x0000_s1047" type="#_x0000_t202" style="position:absolute;left:0;text-align:left;margin-left:175.85pt;margin-top:117.55pt;width:36.75pt;height:2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NHGEAIAAAEEAAAOAAAAZHJzL2Uyb0RvYy54bWysU11v2yAUfZ+0/4B4X5xkSdpYcaouXadJ&#10;3YfU7gfcYByjAZcBiZ39+l1wmkbd2zQ/IK4vHM45HFY3vdHsIH1QaCs+GY05k1Zgreyu4j+e7t9d&#10;cxYi2Bo0Wlnxowz8Zv32zapzpZxii7qWnhGIDWXnKt7G6MqiCKKVBsIInbTUbNAbiFT6XVF76Ajd&#10;6GI6Hi+KDn3tPAoZAv29G5p8nfGbRor4rWmCjExXnLjFPPo8btNYrFdQ7jy4VokTDfgHFgaUpUPP&#10;UHcQge29+gvKKOExYBNHAk2BTaOEzBpIzWT8Ss1jC05mLWROcGebwv+DFV8P3z1TdcWnS/LHgqFL&#10;2oDqgdWSPck+IpsmlzoXSlr86Gh57D9gT7edFQf3gOJnYBY3LdidvPUeu1ZCTSwnaWdxsXXACQlk&#10;233Bmg6DfcQM1DfeJAvJFEboxOZ4viHiwQT9nC0WV9M5Z4Ja72dEOd9gAeXzZudD/CTRsDSpuKcA&#10;ZHA4PISYyED5vCSdZfFeaZ1DoC3rKr6cE/yrjlGRMqqVqfj1OH1DapLGj7bOmyMoPczpAG1PopPO&#10;QXHst/3gcrYkObLF+kg2eBwySW+IJi3635x1lMeKh1978JIz/dmSlcvJbJYCnIvZ/GpKhb/sbC87&#10;YAVBVTxyNkw3MYd+UHZLljcq2/HC5MSZcpZdOr2JFOTLOq96ebnrPwAAAP//AwBQSwMEFAAGAAgA&#10;AAAhAARYweHfAAAACwEAAA8AAABkcnMvZG93bnJldi54bWxMj8tOwzAQRfdI/IM1ldhRO6EpbRqn&#10;QiC2oJaHxM6Np0lEPI5itwl/z7Ciu3kc3TlTbCfXiTMOofWkIZkrEEiVty3VGt7fnm9XIEI0ZE3n&#10;CTX8YIBteX1VmNz6kXZ43sdacAiF3GhoYuxzKUPVoDNh7nsk3h394EzkdqilHczI4a6TqVJL6UxL&#10;fKExPT42WH3vT07Dx8vx63OhXusnl/Wjn5Qkt5Za38ymhw2IiFP8h+FPn9WhZKeDP5ENotNwlyX3&#10;jGpIuQLBxCLNUhAHnqzWCciykJc/lL8AAAD//wMAUEsBAi0AFAAGAAgAAAAhALaDOJL+AAAA4QEA&#10;ABMAAAAAAAAAAAAAAAAAAAAAAFtDb250ZW50X1R5cGVzXS54bWxQSwECLQAUAAYACAAAACEAOP0h&#10;/9YAAACUAQAACwAAAAAAAAAAAAAAAAAvAQAAX3JlbHMvLnJlbHNQSwECLQAUAAYACAAAACEAIxDR&#10;xhACAAABBAAADgAAAAAAAAAAAAAAAAAuAgAAZHJzL2Uyb0RvYy54bWxQSwECLQAUAAYACAAAACEA&#10;BFjB4d8AAAALAQAADwAAAAAAAAAAAAAAAABqBAAAZHJzL2Rvd25yZXYueG1sUEsFBgAAAAAEAAQA&#10;8wAAAHYFAAAAAA==&#10;" filled="f" stroked="f">
                      <v:textbox>
                        <w:txbxContent>
                          <w:p w:rsidR="000F2964" w:rsidRPr="00C90B7F" w:rsidRDefault="000F2964" w:rsidP="00FC668B">
                            <w:pPr>
                              <w:jc w:val="right"/>
                              <w:rPr>
                                <w:rFonts w:cs="Arial"/>
                                <w:b/>
                                <w:color w:val="FFFFFF" w:themeColor="background1"/>
                                <w:sz w:val="28"/>
                                <w:szCs w:val="28"/>
                              </w:rPr>
                            </w:pPr>
                            <w:r>
                              <w:rPr>
                                <w:rFonts w:cs="Arial"/>
                                <w:b/>
                                <w:color w:val="FFFFFF" w:themeColor="background1"/>
                                <w:sz w:val="28"/>
                                <w:szCs w:val="28"/>
                              </w:rPr>
                              <w:t>G</w:t>
                            </w:r>
                          </w:p>
                        </w:txbxContent>
                      </v:textbox>
                    </v:shape>
                  </w:pict>
                </mc:Fallback>
              </mc:AlternateContent>
            </w:r>
            <w:r w:rsidR="00E42173">
              <w:rPr>
                <w:rFonts w:cs="Arial"/>
                <w:noProof/>
              </w:rPr>
              <w:drawing>
                <wp:inline distT="0" distB="0" distL="0" distR="0" wp14:anchorId="5BEEFD65" wp14:editId="7A7BEA06">
                  <wp:extent cx="2706370" cy="1777365"/>
                  <wp:effectExtent l="0" t="0" r="0" b="0"/>
                  <wp:docPr id="3" name="Imagem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99" cstate="print">
                            <a:extLst>
                              <a:ext uri="{28A0092B-C50C-407E-A947-70E740481C1C}">
                                <a14:useLocalDpi xmlns:a14="http://schemas.microsoft.com/office/drawing/2010/main" val="0"/>
                              </a:ext>
                            </a:extLst>
                          </a:blip>
                          <a:srcRect l="2248" t="10080" r="6403"/>
                          <a:stretch>
                            <a:fillRect/>
                          </a:stretch>
                        </pic:blipFill>
                        <pic:spPr bwMode="auto">
                          <a:xfrm>
                            <a:off x="0" y="0"/>
                            <a:ext cx="2706370" cy="1777365"/>
                          </a:xfrm>
                          <a:prstGeom prst="rect">
                            <a:avLst/>
                          </a:prstGeom>
                          <a:noFill/>
                          <a:ln>
                            <a:noFill/>
                          </a:ln>
                        </pic:spPr>
                      </pic:pic>
                    </a:graphicData>
                  </a:graphic>
                </wp:inline>
              </w:drawing>
            </w:r>
          </w:p>
        </w:tc>
        <w:tc>
          <w:tcPr>
            <w:tcW w:w="4953" w:type="dxa"/>
            <w:gridSpan w:val="2"/>
            <w:vAlign w:val="center"/>
          </w:tcPr>
          <w:p w:rsidR="00FC668B" w:rsidRPr="00AE2A0D" w:rsidRDefault="00056696" w:rsidP="00FC668B">
            <w:pPr>
              <w:jc w:val="center"/>
              <w:rPr>
                <w:rFonts w:cs="Arial"/>
              </w:rPr>
            </w:pPr>
            <w:r>
              <w:rPr>
                <w:noProof/>
              </w:rPr>
              <mc:AlternateContent>
                <mc:Choice Requires="wps">
                  <w:drawing>
                    <wp:anchor distT="0" distB="0" distL="114300" distR="114300" simplePos="0" relativeHeight="251674624" behindDoc="0" locked="0" layoutInCell="1" allowOverlap="1" wp14:anchorId="7ECDDC51" wp14:editId="3A89FE3F">
                      <wp:simplePos x="0" y="0"/>
                      <wp:positionH relativeFrom="column">
                        <wp:posOffset>2217420</wp:posOffset>
                      </wp:positionH>
                      <wp:positionV relativeFrom="paragraph">
                        <wp:posOffset>1502410</wp:posOffset>
                      </wp:positionV>
                      <wp:extent cx="466725" cy="342900"/>
                      <wp:effectExtent l="0" t="0" r="0" b="0"/>
                      <wp:wrapNone/>
                      <wp:docPr id="29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342900"/>
                              </a:xfrm>
                              <a:prstGeom prst="rect">
                                <a:avLst/>
                              </a:prstGeom>
                              <a:noFill/>
                              <a:ln w="9525">
                                <a:noFill/>
                                <a:miter lim="800000"/>
                                <a:headEnd/>
                                <a:tailEnd/>
                              </a:ln>
                            </wps:spPr>
                            <wps:txbx>
                              <w:txbxContent>
                                <w:p w:rsidR="000F2964" w:rsidRPr="00C90B7F" w:rsidRDefault="000F2964" w:rsidP="00FC668B">
                                  <w:pPr>
                                    <w:jc w:val="right"/>
                                    <w:rPr>
                                      <w:rFonts w:cs="Arial"/>
                                      <w:b/>
                                      <w:color w:val="FFFFFF" w:themeColor="background1"/>
                                      <w:sz w:val="28"/>
                                      <w:szCs w:val="28"/>
                                    </w:rPr>
                                  </w:pPr>
                                  <w:r>
                                    <w:rPr>
                                      <w:rFonts w:cs="Arial"/>
                                      <w:b/>
                                      <w:color w:val="FFFFFF" w:themeColor="background1"/>
                                      <w:sz w:val="28"/>
                                      <w:szCs w:val="28"/>
                                    </w:rPr>
                                    <w:t>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CDDC51" id="_x0000_s1048" type="#_x0000_t202" style="position:absolute;left:0;text-align:left;margin-left:174.6pt;margin-top:118.3pt;width:36.75pt;height:2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lEgIAAAEEAAAOAAAAZHJzL2Uyb0RvYy54bWysU8tu2zAQvBfoPxC815JV24kFy0HqNEWB&#10;9AEk/YA1RVlERS5L0pbcr8+SclwjvRXVgSC1u8Od2eHqZtAdO0jnFZqKTyc5Z9IIrJXZVfzH0/27&#10;a858AFNDh0ZW/Cg9v1m/fbPqbSkLbLGrpWMEYnzZ24q3Idgyy7xopQY/QSsNBRt0GgId3S6rHfSE&#10;rrusyPNF1qOrrUMhvae/d2OQrxN+00gRvjWNl4F1FafeQlpdWrdxzdYrKHcObKvEqQ34hy40KEOX&#10;nqHuIADbO/UXlFbCoccmTATqDJtGCZk4EJtp/orNYwtWJi4kjrdnmfz/gxVfD98dU3XFi+WUMwOa&#10;hrQBNQCrJXuSQ0BWRJV660tKfrSUHoYPONC0E2NvH1D89MzgpgWzk7fOYd9KqKnLaazMLkpHHB9B&#10;tv0XrOky2AdMQEPjdJSQRGGETtM6nidEfTBBP2eLxVUx50xQ6P2sWOZpghmUL8XW+fBJomZxU3FH&#10;BkjgcHjwITYD5UtKvMvgveq6ZILOsL7iyznBv4poFcijndIVv87jN7omcvxo6lQcQHXjni7ozIl0&#10;5DkyDsN2GFU+i7nF+kgyOBw9SW+INi2635z15MeK+197cJKz7rMhKZfT2SwaOB1m86uCDu4ysr2M&#10;gBEEVfHA2bjdhGT6kdktSd6oJEeczdjJqWfyWVLp9CaikS/PKevPy10/AwAA//8DAFBLAwQUAAYA&#10;CAAAACEAoZxC298AAAALAQAADwAAAGRycy9kb3ducmV2LnhtbEyPTU/DMAyG70j8h8hI3FhCVgot&#10;TScE4gpifEjcssZrKxqnarK1/HvMCY62H71+3mqz+EEccYp9IAOXKwUCqQmup9bA2+vjxQ2ImCw5&#10;OwRCA98YYVOfnlS2dGGmFzxuUys4hGJpDXQpjaWUsenQ27gKIxLf9mHyNvE4tdJNduZwP0itVC69&#10;7Yk/dHbE+w6br+3BG3h/2n9+ZOq5ffBX4xwWJckX0pjzs+XuFkTCJf3B8KvP6lCz0y4cyEUxGFhn&#10;hWbUgF7nOQgmMq2vQex4U6gcZF3J/x3qHwAAAP//AwBQSwECLQAUAAYACAAAACEAtoM4kv4AAADh&#10;AQAAEwAAAAAAAAAAAAAAAAAAAAAAW0NvbnRlbnRfVHlwZXNdLnhtbFBLAQItABQABgAIAAAAIQA4&#10;/SH/1gAAAJQBAAALAAAAAAAAAAAAAAAAAC8BAABfcmVscy8ucmVsc1BLAQItABQABgAIAAAAIQB/&#10;8/ylEgIAAAEEAAAOAAAAAAAAAAAAAAAAAC4CAABkcnMvZTJvRG9jLnhtbFBLAQItABQABgAIAAAA&#10;IQChnELb3wAAAAsBAAAPAAAAAAAAAAAAAAAAAGwEAABkcnMvZG93bnJldi54bWxQSwUGAAAAAAQA&#10;BADzAAAAeAUAAAAA&#10;" filled="f" stroked="f">
                      <v:textbox>
                        <w:txbxContent>
                          <w:p w:rsidR="000F2964" w:rsidRPr="00C90B7F" w:rsidRDefault="000F2964" w:rsidP="00FC668B">
                            <w:pPr>
                              <w:jc w:val="right"/>
                              <w:rPr>
                                <w:rFonts w:cs="Arial"/>
                                <w:b/>
                                <w:color w:val="FFFFFF" w:themeColor="background1"/>
                                <w:sz w:val="28"/>
                                <w:szCs w:val="28"/>
                              </w:rPr>
                            </w:pPr>
                            <w:r>
                              <w:rPr>
                                <w:rFonts w:cs="Arial"/>
                                <w:b/>
                                <w:color w:val="FFFFFF" w:themeColor="background1"/>
                                <w:sz w:val="28"/>
                                <w:szCs w:val="28"/>
                              </w:rPr>
                              <w:t>H</w:t>
                            </w:r>
                          </w:p>
                        </w:txbxContent>
                      </v:textbox>
                    </v:shape>
                  </w:pict>
                </mc:Fallback>
              </mc:AlternateContent>
            </w:r>
            <w:r w:rsidR="00FC668B" w:rsidRPr="00AE2A0D">
              <w:rPr>
                <w:rFonts w:eastAsiaTheme="minorHAnsi" w:cs="Arial"/>
                <w:sz w:val="22"/>
                <w:szCs w:val="22"/>
                <w:lang w:eastAsia="en-US"/>
              </w:rPr>
              <w:object w:dxaOrig="9585" w:dyaOrig="6375">
                <v:shape id="_x0000_i1034" type="#_x0000_t75" style="width:210.85pt;height:140.9pt" o:ole="">
                  <v:imagedata r:id="rId100" o:title="" croptop="6919f" cropleft="1473f" cropright="4457f"/>
                  <o:lock v:ext="edit" aspectratio="f"/>
                </v:shape>
                <o:OLEObject Type="Embed" ProgID="PBrush" ShapeID="_x0000_i1034" DrawAspect="Content" ObjectID="_1485879699" r:id="rId101"/>
              </w:object>
            </w:r>
          </w:p>
        </w:tc>
      </w:tr>
    </w:tbl>
    <w:p w:rsidR="00086DFF" w:rsidRPr="00086DFF" w:rsidRDefault="00086DFF" w:rsidP="00FC668B">
      <w:pPr>
        <w:rPr>
          <w:sz w:val="18"/>
          <w:szCs w:val="18"/>
        </w:rPr>
      </w:pPr>
      <w:r>
        <w:rPr>
          <w:sz w:val="18"/>
          <w:szCs w:val="18"/>
        </w:rPr>
        <w:t xml:space="preserve">Nota - </w:t>
      </w:r>
      <w:r w:rsidRPr="00086DFF">
        <w:rPr>
          <w:sz w:val="18"/>
          <w:szCs w:val="18"/>
        </w:rPr>
        <w:t>A) Brachycephalus ephippium; B) Phyllomedusa burmeisteri; C) Ischnocnema guentheri; D) Haddadus binotatus; E) Aplastodiscus leucopygius; F) Dendropsophus elegans; G) Hypsiboas faber; H) Hypsiboas prasinus.</w:t>
      </w:r>
    </w:p>
    <w:p w:rsidR="00FC668B" w:rsidRPr="00AE2A0D" w:rsidRDefault="00FC668B" w:rsidP="00FC668B">
      <w:r w:rsidRPr="00AE2A0D">
        <w:t xml:space="preserve">As espécies registradas nesse levantamento podem ser subdivididas em dois grupos distintos, espécies de ampla distribuição na América do Sul e tolerantes às alterações ambientais antrópicas, como os anuros </w:t>
      </w:r>
      <w:r w:rsidRPr="00AE2A0D">
        <w:rPr>
          <w:i/>
        </w:rPr>
        <w:t>Dendropsophus minutus</w:t>
      </w:r>
      <w:r w:rsidRPr="00AE2A0D">
        <w:t xml:space="preserve">, </w:t>
      </w:r>
      <w:r w:rsidRPr="00AE2A0D">
        <w:rPr>
          <w:i/>
        </w:rPr>
        <w:t>Scinax fuscovarius</w:t>
      </w:r>
      <w:r w:rsidRPr="00AE2A0D">
        <w:t xml:space="preserve"> e </w:t>
      </w:r>
      <w:r w:rsidRPr="00AE2A0D">
        <w:rPr>
          <w:i/>
        </w:rPr>
        <w:t>Physalaemus cuvieri</w:t>
      </w:r>
      <w:r w:rsidRPr="00AE2A0D">
        <w:t xml:space="preserve"> e um segundo grupo de espécies típicas de formações naturais do domínio atlântico do sudeste </w:t>
      </w:r>
      <w:r w:rsidRPr="00AE2A0D">
        <w:lastRenderedPageBreak/>
        <w:t>do Brasil</w:t>
      </w:r>
      <w:r>
        <w:t>,</w:t>
      </w:r>
      <w:r w:rsidRPr="00AE2A0D">
        <w:t xml:space="preserve"> como os anuros </w:t>
      </w:r>
      <w:r w:rsidRPr="00AE2A0D">
        <w:rPr>
          <w:i/>
        </w:rPr>
        <w:t xml:space="preserve">Brachycephalus ephippium, Aplastodiscus leucopygius, Phyllomedusa burmeisteri, Ischnocnema guentheri </w:t>
      </w:r>
      <w:r w:rsidRPr="00AE2A0D">
        <w:t xml:space="preserve">e </w:t>
      </w:r>
      <w:r w:rsidRPr="00AE2A0D">
        <w:rPr>
          <w:i/>
        </w:rPr>
        <w:t xml:space="preserve">Adenomera marmorata </w:t>
      </w:r>
      <w:r w:rsidRPr="00AE2A0D">
        <w:t>(</w:t>
      </w:r>
      <w:r w:rsidR="00086DFF" w:rsidRPr="00086DFF">
        <w:rPr>
          <w:b/>
        </w:rPr>
        <w:t>Figura 6.4.</w:t>
      </w:r>
      <w:r w:rsidR="009B231F">
        <w:rPr>
          <w:b/>
        </w:rPr>
        <w:t>4-11</w:t>
      </w:r>
      <w:r w:rsidRPr="00AE2A0D">
        <w:t xml:space="preserve">). </w:t>
      </w:r>
    </w:p>
    <w:p w:rsidR="00FC668B" w:rsidRPr="00AE2A0D" w:rsidRDefault="00FC668B" w:rsidP="00FC668B">
      <w:r w:rsidRPr="00AE2A0D">
        <w:t xml:space="preserve">Durante a amostragem várias espécies foram ouvidas vocalizando, conforme mostra a </w:t>
      </w:r>
      <w:r w:rsidR="00086DFF" w:rsidRPr="00086DFF">
        <w:rPr>
          <w:b/>
        </w:rPr>
        <w:t>Tabela 6.4.</w:t>
      </w:r>
      <w:r w:rsidR="002F5F14">
        <w:rPr>
          <w:b/>
        </w:rPr>
        <w:t>4-8</w:t>
      </w:r>
      <w:r w:rsidRPr="00086DFF">
        <w:t>.</w:t>
      </w:r>
      <w:r w:rsidRPr="00AE2A0D">
        <w:t xml:space="preserve"> A vocalização era constante nos primeiros dias de amostragem, demonstrando o início do período reprodutivo dos anuros, inclusive com o registro de dezenas de ninhos de espuma. Infelizmente durante os três últimos dias as vocalizações praticamente cessaram, consequência de uma frente fria que fez com que a temperatura caísse bruscamente.</w:t>
      </w:r>
    </w:p>
    <w:p w:rsidR="00FC668B" w:rsidRDefault="00FC668B" w:rsidP="00FC668B">
      <w:r w:rsidRPr="00AE2A0D">
        <w:t>A curva do coletor para os répteis e anfíbios (</w:t>
      </w:r>
      <w:r w:rsidR="00086DFF" w:rsidRPr="00086DFF">
        <w:rPr>
          <w:b/>
        </w:rPr>
        <w:t>Figura 6.4.</w:t>
      </w:r>
      <w:r w:rsidR="004C4CC5">
        <w:rPr>
          <w:b/>
        </w:rPr>
        <w:t>4-12</w:t>
      </w:r>
      <w:r w:rsidRPr="00AE2A0D">
        <w:t>) não mostrou tendência à estabilização. Este resultado pode estar relacionado com o curto período em que foi realizado o estudo e certamente novas espécies devem ser incluídas caso sejam feitas novas amostragens na área, fato esse corroborado pelo estimador de riqueza usado (</w:t>
      </w:r>
      <w:r w:rsidRPr="00AE2A0D">
        <w:rPr>
          <w:i/>
        </w:rPr>
        <w:t>Jackknife</w:t>
      </w:r>
      <w:r w:rsidRPr="00AE2A0D">
        <w:t xml:space="preserve"> 1) que prevê a existência de 31 espécies para o local, número muito superior às 22 espécies encontradas.</w:t>
      </w:r>
    </w:p>
    <w:p w:rsidR="00086DFF" w:rsidRPr="00086DFF" w:rsidRDefault="00086DFF" w:rsidP="00086DFF">
      <w:pPr>
        <w:pStyle w:val="Legenda"/>
        <w:jc w:val="center"/>
        <w:rPr>
          <w:rFonts w:ascii="Arial Negrito" w:eastAsia="Arial Unicode MS" w:hAnsi="Arial Negrito" w:cs="Times New Roman"/>
          <w:smallCaps/>
          <w:snapToGrid w:val="0"/>
          <w:szCs w:val="24"/>
          <w:lang w:eastAsia="pt-BR"/>
        </w:rPr>
      </w:pPr>
      <w:bookmarkStart w:id="116" w:name="_Ref401843660"/>
      <w:r w:rsidRPr="00086DFF">
        <w:rPr>
          <w:rFonts w:ascii="Arial Negrito" w:eastAsia="Arial Unicode MS" w:hAnsi="Arial Negrito" w:cs="Times New Roman"/>
          <w:smallCaps/>
          <w:snapToGrid w:val="0"/>
          <w:szCs w:val="24"/>
          <w:lang w:eastAsia="pt-BR"/>
        </w:rPr>
        <w:t xml:space="preserve">Figura </w:t>
      </w:r>
      <w:bookmarkEnd w:id="116"/>
      <w:r w:rsidRPr="00086DFF">
        <w:rPr>
          <w:rFonts w:ascii="Arial Negrito" w:eastAsia="Arial Unicode MS" w:hAnsi="Arial Negrito" w:cs="Times New Roman"/>
          <w:smallCaps/>
          <w:snapToGrid w:val="0"/>
          <w:szCs w:val="24"/>
          <w:lang w:eastAsia="pt-BR"/>
        </w:rPr>
        <w:t>6.4.</w:t>
      </w:r>
      <w:r w:rsidR="004C4CC5">
        <w:rPr>
          <w:rFonts w:ascii="Arial Negrito" w:eastAsia="Arial Unicode MS" w:hAnsi="Arial Negrito" w:cs="Times New Roman"/>
          <w:smallCaps/>
          <w:snapToGrid w:val="0"/>
          <w:szCs w:val="24"/>
          <w:lang w:eastAsia="pt-BR"/>
        </w:rPr>
        <w:t>4-12.</w:t>
      </w:r>
      <w:r w:rsidRPr="00086DFF">
        <w:rPr>
          <w:rFonts w:ascii="Arial Negrito" w:eastAsia="Arial Unicode MS" w:hAnsi="Arial Negrito" w:cs="Times New Roman"/>
          <w:smallCaps/>
          <w:snapToGrid w:val="0"/>
          <w:szCs w:val="24"/>
          <w:lang w:eastAsia="pt-BR"/>
        </w:rPr>
        <w:t xml:space="preserve"> Curva do coletor aleatorizada (1000 randomizações, intervalo de confiança de 95%) e curva de riqueza estimada (Jackknife 1) com base na fauna de anfíbios e répteis registrada na AID </w:t>
      </w:r>
    </w:p>
    <w:tbl>
      <w:tblPr>
        <w:tblStyle w:val="Tabelacomgrade"/>
        <w:tblW w:w="4999"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9352"/>
      </w:tblGrid>
      <w:tr w:rsidR="00FC668B" w:rsidRPr="00AE2A0D" w:rsidTr="00086DFF">
        <w:trPr>
          <w:jc w:val="center"/>
        </w:trPr>
        <w:tc>
          <w:tcPr>
            <w:tcW w:w="5000" w:type="pct"/>
          </w:tcPr>
          <w:p w:rsidR="00FC668B" w:rsidRPr="00AE2A0D" w:rsidRDefault="00FC668B" w:rsidP="00FC668B">
            <w:pPr>
              <w:spacing w:after="0" w:line="360" w:lineRule="auto"/>
              <w:jc w:val="center"/>
              <w:rPr>
                <w:rFonts w:cs="Arial"/>
              </w:rPr>
            </w:pPr>
            <w:r w:rsidRPr="00AE2A0D">
              <w:rPr>
                <w:noProof/>
              </w:rPr>
              <w:drawing>
                <wp:inline distT="0" distB="0" distL="0" distR="0" wp14:anchorId="5AEB833D" wp14:editId="18169886">
                  <wp:extent cx="4572000" cy="2743200"/>
                  <wp:effectExtent l="0" t="0" r="19050" b="19050"/>
                  <wp:docPr id="295" name="Gráfico 2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bl>
    <w:p w:rsidR="00FC668B" w:rsidRPr="00AE2A0D" w:rsidRDefault="00FC668B" w:rsidP="00FC668B">
      <w:r w:rsidRPr="00AE2A0D">
        <w:t>A distribuição da herpetofauna na AID parece estar relacionada com o estado de conservação das áreas amostradas (</w:t>
      </w:r>
      <w:r w:rsidR="00086DFF" w:rsidRPr="00086DFF">
        <w:rPr>
          <w:b/>
        </w:rPr>
        <w:t>Figura 6.4.</w:t>
      </w:r>
      <w:r w:rsidR="004C4CC5">
        <w:rPr>
          <w:b/>
        </w:rPr>
        <w:t>4-12</w:t>
      </w:r>
      <w:r w:rsidRPr="00AE2A0D">
        <w:t>). As áreas 1 (n=4), 2 (n=6) e 3 (n=6) são locais altamente impactados, com fragmentos menores e com matas mais abertas, com sub-bosque pouco denso, seja pela ação do fogo ou da presença do gado. A maioria das espécies encontradas nestes fragmentos possuem uma ampla distribuição geográfica e alto grau de tolerância aos impactos antrópicos (</w:t>
      </w:r>
      <w:r w:rsidRPr="00AE2A0D">
        <w:rPr>
          <w:i/>
        </w:rPr>
        <w:t>Dendropsophus minutus, Scinax fuscovarius, Physalaemus cuvieri</w:t>
      </w:r>
      <w:r w:rsidRPr="00AE2A0D">
        <w:t xml:space="preserve">). Por outro lado, as áreas 4 (n=10) e 5 (n=11) são fragmentos de mata secundária maiores e em melhor estado de conservação. Nestes locais a maioria dos registros de anuros corresponde a espécies encontradas tipicamente em áreas florestadas, tais como </w:t>
      </w:r>
      <w:r w:rsidRPr="00AE2A0D">
        <w:rPr>
          <w:i/>
        </w:rPr>
        <w:t xml:space="preserve">Brachycephalus ephippium, Aplastodiscus leucopygius, Ischnocnema guentheri </w:t>
      </w:r>
      <w:r w:rsidRPr="00AE2A0D">
        <w:t>e</w:t>
      </w:r>
      <w:r w:rsidRPr="00AE2A0D">
        <w:rPr>
          <w:i/>
        </w:rPr>
        <w:t xml:space="preserve"> Phyllomedusa burmeisteri</w:t>
      </w:r>
      <w:r w:rsidRPr="00AE2A0D">
        <w:t>.</w:t>
      </w:r>
    </w:p>
    <w:p w:rsidR="00FC668B" w:rsidRPr="00AE2A0D" w:rsidRDefault="00FC668B" w:rsidP="00FC668B">
      <w:pPr>
        <w:rPr>
          <w:iCs/>
        </w:rPr>
      </w:pPr>
      <w:r w:rsidRPr="00AE2A0D">
        <w:rPr>
          <w:iCs/>
        </w:rPr>
        <w:t xml:space="preserve">Nenhuma das espécies registradas encontra-se nas listas de espécies ameaçadas, seja a nível estadual, nacional ou global. A espécie </w:t>
      </w:r>
      <w:r w:rsidRPr="00AE2A0D">
        <w:rPr>
          <w:i/>
          <w:iCs/>
        </w:rPr>
        <w:t>Lithobates catesbeianus</w:t>
      </w:r>
      <w:r w:rsidRPr="00AE2A0D">
        <w:rPr>
          <w:iCs/>
        </w:rPr>
        <w:t xml:space="preserve">, popularmente conhecida como rã-touro, é a única espécie invasora registrada. Essa é uma espécie de grande porte, que chega a atingir 200 mm e pesar mais de 500 g (Vizotto, 1984). É uma espécie originária dos Estados Unidos, introduzida no Brasil em 1935 para criação e comercialização de carne (Guix, 1990). Tem se espalhado pelo território nacional através de ranários, de onde conseguem fugir. Encontra-se sempre associada a ambientes aquáticos, no Brasil reproduz duas vezes ao ano e pode chegar a depositar até cerca de 20.000 ovos por desova (Vizotto, 1984). Na natureza os jovens alimentam-se de insetos, os adultos de crustáceos, peixes, rãs, sapos, serpentes, </w:t>
      </w:r>
      <w:r w:rsidRPr="00AE2A0D">
        <w:rPr>
          <w:iCs/>
        </w:rPr>
        <w:lastRenderedPageBreak/>
        <w:t>pequenos quelônios, além de filhotes de aves aquáticas, roedores, morcegos e exemplares da mesma espécie (Guix, 1990).</w:t>
      </w:r>
    </w:p>
    <w:p w:rsidR="00FC668B" w:rsidRPr="00AE2A0D" w:rsidRDefault="00FC668B" w:rsidP="00FC668B">
      <w:pPr>
        <w:rPr>
          <w:bCs/>
        </w:rPr>
      </w:pPr>
      <w:r w:rsidRPr="00AE2A0D">
        <w:rPr>
          <w:color w:val="000000"/>
        </w:rPr>
        <w:t>A comparação da riqueza obtida em campo</w:t>
      </w:r>
      <w:r w:rsidRPr="00AE2A0D">
        <w:rPr>
          <w:bCs/>
        </w:rPr>
        <w:t xml:space="preserve"> (dados primários; anfíbios n=18 e répteis n=4), com a de potencial ocorrência levantada através dos dados secundários (anfíbios n=33 e répteis n=65), revela uma diferença considerável no número de espécies (anfíbios n=15 e répteis n=61). Tal diferença já era esperada, uma vez que o levantamento de dados secundários foi resultado de uma ampla revisão bibliográfica que reuniu diferentes levantamentos, abrangendo uma região mais ampla, com esforço de campo maior, fato que certamente colaborou para a maior riqueza dos dados secundários. A fonte que mais contribuiu para a riqueza da herpetofauna registrada foi a </w:t>
      </w:r>
      <w:r w:rsidRPr="00AE2A0D">
        <w:t xml:space="preserve">ferramenta de busca do </w:t>
      </w:r>
      <w:r w:rsidRPr="00AE2A0D">
        <w:rPr>
          <w:i/>
        </w:rPr>
        <w:t>SpeciesLink</w:t>
      </w:r>
      <w:r w:rsidRPr="00AE2A0D">
        <w:t xml:space="preserve">, que conta com os dados de coleções importantes como do Instituto Butantã, MZUSP e UNESP, coleções estas que contam com anos de coletas, permitindo o registro de espécies raras ou pouco frequentes. </w:t>
      </w:r>
      <w:r w:rsidRPr="00AE2A0D">
        <w:rPr>
          <w:bCs/>
        </w:rPr>
        <w:t>Outra fonte que contribuiu com uma gama de dados foi a dissertação de Carmona (2007), cujo levantamento foi realizado no período de setembro de 2005 a julho de 2006 em Santa Isabel, com uso de armadilhas de interceptação e queda além da busca ativa, o que possibilita a captura de animais de hábitos crípticos, fossoriais ou semi-fossoriais.</w:t>
      </w:r>
    </w:p>
    <w:p w:rsidR="00FC668B" w:rsidRPr="00AE2A0D" w:rsidRDefault="00FC668B" w:rsidP="00FC668B">
      <w:pPr>
        <w:rPr>
          <w:color w:val="000000"/>
        </w:rPr>
      </w:pPr>
      <w:r w:rsidRPr="00AE2A0D">
        <w:rPr>
          <w:color w:val="000000"/>
        </w:rPr>
        <w:t xml:space="preserve">Ainda assim, a baixa riqueza específica, principalmente dos répteis, obtida no levantamento primário era esperada, levando-se em conta o curto período de amostragem, a realização de uma única campanha, curta e pontual e ainda, a média qualidade de conservação dos ambientes amostrados, localizados </w:t>
      </w:r>
      <w:r>
        <w:rPr>
          <w:color w:val="000000"/>
        </w:rPr>
        <w:t>junto à</w:t>
      </w:r>
      <w:r w:rsidRPr="00AE2A0D">
        <w:rPr>
          <w:color w:val="000000"/>
        </w:rPr>
        <w:t xml:space="preserve"> Região Metropolitana de São Paulo, em meio a áreas antropizadas e sob intensa atividade rural. Esta afirmação torna-se ainda mais relevante quando os dados primários são comparados isoladamente com cada uma das seis fontes bibliográficas utilizadas para compor o levantamento secundário.</w:t>
      </w:r>
    </w:p>
    <w:p w:rsidR="00FC668B" w:rsidRPr="00AE2A0D" w:rsidRDefault="00FC668B" w:rsidP="00FC668B">
      <w:r w:rsidRPr="00AE2A0D">
        <w:t xml:space="preserve">Mesmo apresentando uma riqueza menor do que a levantada pelos dados secundários, três espécies de anfíbios foram registradas exclusivamente nos dados primários (levantamento de campo), </w:t>
      </w:r>
      <w:r w:rsidRPr="00AE2A0D">
        <w:rPr>
          <w:i/>
        </w:rPr>
        <w:t>Dendropsophus elegans, Hypsiboas semilineatus</w:t>
      </w:r>
      <w:r w:rsidRPr="00AE2A0D">
        <w:t xml:space="preserve"> e </w:t>
      </w:r>
      <w:r w:rsidRPr="00AE2A0D">
        <w:rPr>
          <w:i/>
        </w:rPr>
        <w:t>Scinax crospedospilus</w:t>
      </w:r>
      <w:r w:rsidRPr="00AE2A0D">
        <w:t>, aumentando o total de espécies de anfíbios de provável ocorrência para a AII do empreendimento para 36. É interessante ressaltar que as espécies novas acrescentadas são todas típicas de áreas abertas, podendo viver e se reproduzir tanto em poças permanentes como em corpos d’agua temporários, as três são amplamente distribuídas ao longo da Mata Atlântica, sendo a perereca-de-moldura (</w:t>
      </w:r>
      <w:r w:rsidRPr="00AE2A0D">
        <w:rPr>
          <w:i/>
        </w:rPr>
        <w:t>D. elegans</w:t>
      </w:r>
      <w:r w:rsidRPr="00AE2A0D">
        <w:t xml:space="preserve">) espécie endêmica do Brasil. Esta espécie ainda é comum em áreas antrópicas evidenciando a sua adaptabilidade em viver em áreas degradadas. </w:t>
      </w:r>
    </w:p>
    <w:p w:rsidR="00B53F21" w:rsidRPr="00AE2A0D" w:rsidRDefault="00B53F21" w:rsidP="00B53F21">
      <w:pPr>
        <w:pStyle w:val="Ttulo4"/>
      </w:pPr>
      <w:bookmarkStart w:id="117" w:name="_Toc402254399"/>
      <w:bookmarkStart w:id="118" w:name="_Toc411871206"/>
      <w:r w:rsidRPr="00AE2A0D">
        <w:t>Mastofauna</w:t>
      </w:r>
      <w:bookmarkEnd w:id="117"/>
      <w:bookmarkEnd w:id="118"/>
    </w:p>
    <w:p w:rsidR="00B53F21" w:rsidRPr="00B53F21" w:rsidRDefault="00B53F21" w:rsidP="000C50CE">
      <w:pPr>
        <w:pStyle w:val="Ttulo5"/>
        <w:numPr>
          <w:ilvl w:val="0"/>
          <w:numId w:val="14"/>
        </w:numPr>
      </w:pPr>
      <w:bookmarkStart w:id="119" w:name="_Toc402254400"/>
      <w:r w:rsidRPr="00B53F21">
        <w:t>Introdução</w:t>
      </w:r>
      <w:bookmarkEnd w:id="119"/>
    </w:p>
    <w:p w:rsidR="00B53F21" w:rsidRPr="00AE2A0D" w:rsidRDefault="00B53F21" w:rsidP="00B53F21">
      <w:r w:rsidRPr="00AE2A0D">
        <w:t xml:space="preserve">A região de estudo apresenta fragmentos remanescentes de Mata Atlântica, este bioma é um dos maiores </w:t>
      </w:r>
      <w:r w:rsidRPr="00AE2A0D">
        <w:rPr>
          <w:i/>
        </w:rPr>
        <w:t>hotspots</w:t>
      </w:r>
      <w:r w:rsidRPr="00AE2A0D">
        <w:t xml:space="preserve"> de biodiversidade do mundo (Myers et al., 2000, Kierulff et al., 2008) e abriga mais de 298 espécies de mamíferos, das 714 que ocorrem no Brasil (Dornas, 2014). Esse bioma apresenta um alto grau de endemismo, contendo 90 espécies exclusivas (Paglia et al., 2012), principalmente de primatas e roedores (Costa et al., 2005). Dos mamíferos ameaçados em nível nacional (MMA, 2003, 2008), 18% ocorrem na Mata Atlântica (Costa et al., 2005).</w:t>
      </w:r>
    </w:p>
    <w:p w:rsidR="00B53F21" w:rsidRPr="00AE2A0D" w:rsidRDefault="00B53F21" w:rsidP="00B53F21">
      <w:r w:rsidRPr="00AE2A0D">
        <w:t>De acordo com o porte, os mamíferos terrestres podem ser divididos em três grupos: i) pequenos; ii) médios e grandes e; iii) mamíferos voadores, grupo formado pelos morcegos (Chiroptera). Os mamíferos apresentam importante papel na estrutura das comunidades da biota, em especial nas inter-relações e no equilíbrio dinâmico das espécies (Reis et al., 2011). Os pequenos mamíferos, por exemplo, contribuem de maneira fundamental na cadeia trófica, as espécies herbívoras e frugívoras realizam a dispersão de espécies vegetais (Carmignotto, 2005) e, servem também, como presas para os predadores (Granzinolli &amp; Motta Junior, 2007). Já as espécies onívoras contribuem para a manutenção do equilíbrio populacional de espécies de menor porte (invertebrados, outros mamíferos, répteis e aves) (Carmignotto, 2005). Os médios e grandes mamíferos também têm papel fundamental na cadeia trófica, seja como herbívoros e frugívoros, ou como carnívoros, muitas vezes na posição de topo da cadeia trófica, contribuindo para a manutenção e equilíbrio de espécies de menor porte (Reis et al., 2011).</w:t>
      </w:r>
    </w:p>
    <w:p w:rsidR="00B53F21" w:rsidRPr="00AE2A0D" w:rsidRDefault="00B53F21" w:rsidP="00B53F21">
      <w:r w:rsidRPr="00AE2A0D">
        <w:lastRenderedPageBreak/>
        <w:t>Para o estado de São Paulo a lista compilada de mamíferos (Vivo et al., 2011) apresenta uma estimativa de 231 espécies. Esse número não é exato devido à falta de estudos em grandes porções do estado, e também por alguns táxons estarem passando por revisões. Segundo o decreto 60.133 que dispõe sobre a fauna ameaçada para o estado (SMA, 2014)</w:t>
      </w:r>
      <w:r>
        <w:t>,</w:t>
      </w:r>
      <w:r w:rsidRPr="00AE2A0D">
        <w:t xml:space="preserve"> 42 espécies de mamíferos estão ameaçadas, além de listar 59 espécies como deficientes em dados e 24 como quase ameaçadas. Em geral estas espécies são ameaçadas devido à redução de habitat, redução essa recorrente em áreas que abrigam os presentes na área de estudo.</w:t>
      </w:r>
    </w:p>
    <w:p w:rsidR="00B53F21" w:rsidRPr="00B53F21" w:rsidRDefault="00B53F21" w:rsidP="000C50CE">
      <w:pPr>
        <w:pStyle w:val="Ttulo5"/>
        <w:numPr>
          <w:ilvl w:val="0"/>
          <w:numId w:val="14"/>
        </w:numPr>
      </w:pPr>
      <w:bookmarkStart w:id="120" w:name="_Toc402254401"/>
      <w:r w:rsidRPr="00B53F21">
        <w:t>Métodos</w:t>
      </w:r>
      <w:bookmarkEnd w:id="120"/>
    </w:p>
    <w:p w:rsidR="00B53F21" w:rsidRPr="00AE2A0D" w:rsidRDefault="00B53F21" w:rsidP="00B53F21">
      <w:pPr>
        <w:pStyle w:val="Ttulo6"/>
      </w:pPr>
      <w:bookmarkStart w:id="121" w:name="_Toc402254402"/>
      <w:r>
        <w:t>B.1.</w:t>
      </w:r>
      <w:r>
        <w:tab/>
      </w:r>
      <w:r w:rsidRPr="00AE2A0D">
        <w:t>Levantamento de Dados Secundários</w:t>
      </w:r>
      <w:bookmarkEnd w:id="121"/>
    </w:p>
    <w:p w:rsidR="00B53F21" w:rsidRPr="000A6ED0" w:rsidRDefault="00B53F21" w:rsidP="00B53F21">
      <w:pPr>
        <w:rPr>
          <w:b/>
        </w:rPr>
      </w:pPr>
      <w:r w:rsidRPr="00AE2A0D">
        <w:t xml:space="preserve">Para caracterizar a mastofauna de provável ocorrência na AII foi realizado um levantamento a partir de dados secundários nas principais bibliotecas de universidades (Detalus – USP, Acervus – UNICAMP, Athena – UNESP) e órgãos públicos (Sinbiota, Periódicos Capes), além da busca em bancos de dados on-line (Táxeus, Google Acadêmico). As referências bibliográficas dos trabalhos levantados encontram-se na </w:t>
      </w:r>
      <w:r w:rsidR="0023044E">
        <w:fldChar w:fldCharType="begin"/>
      </w:r>
      <w:r w:rsidR="0023044E">
        <w:instrText xml:space="preserve"> REF _Ref401320504 \h  \* MERGEFORMAT </w:instrText>
      </w:r>
      <w:r w:rsidR="0023044E">
        <w:fldChar w:fldCharType="separate"/>
      </w:r>
      <w:r w:rsidR="000A6ED0" w:rsidRPr="000A6ED0">
        <w:rPr>
          <w:b/>
        </w:rPr>
        <w:t>Tabela</w:t>
      </w:r>
      <w:r w:rsidR="0023044E">
        <w:fldChar w:fldCharType="end"/>
      </w:r>
      <w:r w:rsidR="000A6ED0" w:rsidRPr="000A6ED0">
        <w:rPr>
          <w:b/>
        </w:rPr>
        <w:t xml:space="preserve"> 6.4.</w:t>
      </w:r>
      <w:r w:rsidR="002F5F14">
        <w:rPr>
          <w:b/>
        </w:rPr>
        <w:t>4-9</w:t>
      </w:r>
      <w:r w:rsidRPr="000A6ED0">
        <w:rPr>
          <w:b/>
        </w:rPr>
        <w:t>.</w:t>
      </w:r>
    </w:p>
    <w:p w:rsidR="00B53F21" w:rsidRPr="00AE2A0D" w:rsidRDefault="00B53F21" w:rsidP="00B53F21">
      <w:r w:rsidRPr="00AE2A0D">
        <w:t>Para a realização da pesquisa foram utilizados os termos: “mamíferos” ou “mastofauna” ou “mammals” ou “Mammalia” ou “morcegos” ou “bats” ou “chiroptera” ou “roedores” ou “rodentia”, estes foram pesquisados com “São José dos Campos” ou “Piracaia” ou “Igaratá” ou “Jacareí” ou “Santa Isabel” ou “Nazaré Paulista”.</w:t>
      </w:r>
    </w:p>
    <w:p w:rsidR="00B53F21" w:rsidRPr="00AE2A0D" w:rsidRDefault="00B53F21" w:rsidP="00B53F21">
      <w:pPr>
        <w:rPr>
          <w:sz w:val="24"/>
          <w:szCs w:val="24"/>
          <w:lang w:eastAsia="pt-BR"/>
        </w:rPr>
      </w:pPr>
      <w:r w:rsidRPr="00AE2A0D">
        <w:t>Todos os táxons listados até o nível de espécie foram categorizados quando ao grau de preservação para o estado de São Paulo (SMA 2014), para o Brasil (MMA 2008) e para o mundo (IUCN 2014). A nomenclatura e ordenamento taxonômico seguiram os critérios de Paglia et al. (2012).</w:t>
      </w:r>
      <w:r w:rsidRPr="00AE2A0D">
        <w:rPr>
          <w:sz w:val="24"/>
          <w:szCs w:val="24"/>
          <w:lang w:eastAsia="pt-BR"/>
        </w:rPr>
        <w:t xml:space="preserve"> </w:t>
      </w:r>
    </w:p>
    <w:p w:rsidR="00B53F21" w:rsidRPr="000A6ED0" w:rsidRDefault="00B53F21" w:rsidP="00C61DCD">
      <w:pPr>
        <w:pStyle w:val="Quadro"/>
      </w:pPr>
      <w:r w:rsidRPr="000A6ED0">
        <w:t>Tabela</w:t>
      </w:r>
      <w:r w:rsidR="000A6ED0">
        <w:t xml:space="preserve"> 6.4.</w:t>
      </w:r>
      <w:r w:rsidR="002F5F14">
        <w:t>4-9.</w:t>
      </w:r>
      <w:r w:rsidR="000A6ED0">
        <w:t xml:space="preserve"> </w:t>
      </w:r>
      <w:r w:rsidRPr="000A6ED0">
        <w:t>Principais referências utilizadas para caracterização regiona</w:t>
      </w:r>
      <w:r w:rsidR="00E703EE">
        <w:t xml:space="preserve">l </w:t>
      </w:r>
      <w:r w:rsidR="00C61DCD">
        <w:t xml:space="preserve">da Mastofauna </w:t>
      </w:r>
      <w:r w:rsidR="00E703EE">
        <w:t>por meio de dados secundários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823"/>
        <w:gridCol w:w="2407"/>
        <w:gridCol w:w="1417"/>
        <w:gridCol w:w="1697"/>
      </w:tblGrid>
      <w:tr w:rsidR="00B53F21" w:rsidRPr="00AE2A0D" w:rsidTr="003F2023">
        <w:trPr>
          <w:trHeight w:val="420"/>
          <w:tblHeader/>
          <w:jc w:val="center"/>
        </w:trPr>
        <w:tc>
          <w:tcPr>
            <w:tcW w:w="2046" w:type="pct"/>
            <w:shd w:val="clear" w:color="auto" w:fill="D9D9D9"/>
            <w:vAlign w:val="center"/>
            <w:hideMark/>
          </w:tcPr>
          <w:p w:rsidR="00B53F21" w:rsidRPr="00AE2A0D" w:rsidRDefault="00B53F21" w:rsidP="003F2023">
            <w:pPr>
              <w:autoSpaceDE w:val="0"/>
              <w:autoSpaceDN w:val="0"/>
              <w:adjustRightInd w:val="0"/>
              <w:spacing w:after="0"/>
              <w:rPr>
                <w:rFonts w:eastAsia="Cambria" w:cs="Arial"/>
                <w:b/>
                <w:color w:val="000000"/>
                <w:sz w:val="18"/>
                <w:szCs w:val="18"/>
              </w:rPr>
            </w:pPr>
            <w:r w:rsidRPr="00AE2A0D">
              <w:rPr>
                <w:rFonts w:eastAsia="Cambria" w:cs="Arial"/>
                <w:b/>
                <w:color w:val="000000"/>
                <w:sz w:val="18"/>
                <w:szCs w:val="18"/>
              </w:rPr>
              <w:t>Nome do Estudo</w:t>
            </w:r>
          </w:p>
        </w:tc>
        <w:tc>
          <w:tcPr>
            <w:tcW w:w="1288" w:type="pct"/>
            <w:shd w:val="clear" w:color="auto" w:fill="D9D9D9"/>
            <w:vAlign w:val="center"/>
            <w:hideMark/>
          </w:tcPr>
          <w:p w:rsidR="00B53F21" w:rsidRPr="00AE2A0D" w:rsidRDefault="00B53F21" w:rsidP="003F2023">
            <w:pPr>
              <w:autoSpaceDE w:val="0"/>
              <w:autoSpaceDN w:val="0"/>
              <w:adjustRightInd w:val="0"/>
              <w:spacing w:after="0"/>
              <w:jc w:val="center"/>
              <w:rPr>
                <w:rFonts w:eastAsia="Cambria" w:cs="Arial"/>
                <w:b/>
                <w:color w:val="000000"/>
                <w:sz w:val="18"/>
                <w:szCs w:val="18"/>
              </w:rPr>
            </w:pPr>
            <w:r w:rsidRPr="00AE2A0D">
              <w:rPr>
                <w:rFonts w:eastAsia="Cambria" w:cs="Arial"/>
                <w:b/>
                <w:color w:val="000000"/>
                <w:sz w:val="18"/>
                <w:szCs w:val="18"/>
              </w:rPr>
              <w:t>Autores</w:t>
            </w:r>
          </w:p>
        </w:tc>
        <w:tc>
          <w:tcPr>
            <w:tcW w:w="758" w:type="pct"/>
            <w:shd w:val="clear" w:color="auto" w:fill="D9D9D9"/>
            <w:vAlign w:val="center"/>
            <w:hideMark/>
          </w:tcPr>
          <w:p w:rsidR="00B53F21" w:rsidRPr="00AE2A0D" w:rsidRDefault="00B53F21" w:rsidP="003F2023">
            <w:pPr>
              <w:autoSpaceDE w:val="0"/>
              <w:autoSpaceDN w:val="0"/>
              <w:adjustRightInd w:val="0"/>
              <w:spacing w:after="0"/>
              <w:jc w:val="center"/>
              <w:rPr>
                <w:rFonts w:eastAsia="Cambria" w:cs="Arial"/>
                <w:b/>
                <w:color w:val="000000"/>
                <w:sz w:val="18"/>
                <w:szCs w:val="18"/>
              </w:rPr>
            </w:pPr>
            <w:r w:rsidRPr="00AE2A0D">
              <w:rPr>
                <w:rFonts w:eastAsia="Cambria" w:cs="Arial"/>
                <w:b/>
                <w:color w:val="000000"/>
                <w:sz w:val="18"/>
                <w:szCs w:val="18"/>
              </w:rPr>
              <w:t>Região</w:t>
            </w:r>
          </w:p>
        </w:tc>
        <w:tc>
          <w:tcPr>
            <w:tcW w:w="909" w:type="pct"/>
            <w:shd w:val="clear" w:color="auto" w:fill="D9D9D9"/>
            <w:vAlign w:val="center"/>
            <w:hideMark/>
          </w:tcPr>
          <w:p w:rsidR="00B53F21" w:rsidRPr="00AE2A0D" w:rsidRDefault="00B53F21" w:rsidP="003F2023">
            <w:pPr>
              <w:autoSpaceDE w:val="0"/>
              <w:autoSpaceDN w:val="0"/>
              <w:adjustRightInd w:val="0"/>
              <w:spacing w:after="0"/>
              <w:jc w:val="left"/>
              <w:rPr>
                <w:rFonts w:eastAsia="Cambria" w:cs="Arial"/>
                <w:b/>
                <w:color w:val="000000"/>
                <w:sz w:val="18"/>
                <w:szCs w:val="18"/>
              </w:rPr>
            </w:pPr>
            <w:r>
              <w:rPr>
                <w:rFonts w:eastAsia="Cambria" w:cs="Arial"/>
                <w:b/>
                <w:color w:val="000000"/>
                <w:sz w:val="18"/>
                <w:szCs w:val="18"/>
              </w:rPr>
              <w:t>Coordenadas</w:t>
            </w:r>
          </w:p>
        </w:tc>
      </w:tr>
      <w:tr w:rsidR="00B53F21" w:rsidRPr="00AE2A0D" w:rsidTr="003F2023">
        <w:trPr>
          <w:trHeight w:val="420"/>
          <w:jc w:val="center"/>
        </w:trPr>
        <w:tc>
          <w:tcPr>
            <w:tcW w:w="2046" w:type="pct"/>
            <w:hideMark/>
          </w:tcPr>
          <w:p w:rsidR="00B53F21" w:rsidRPr="00AE2A0D" w:rsidRDefault="00B53F21" w:rsidP="003F2023">
            <w:pPr>
              <w:autoSpaceDE w:val="0"/>
              <w:autoSpaceDN w:val="0"/>
              <w:adjustRightInd w:val="0"/>
              <w:spacing w:after="0"/>
              <w:rPr>
                <w:rFonts w:eastAsia="Cambria" w:cs="Arial"/>
                <w:color w:val="000000"/>
                <w:sz w:val="18"/>
                <w:szCs w:val="18"/>
              </w:rPr>
            </w:pPr>
            <w:r w:rsidRPr="00AE2A0D">
              <w:rPr>
                <w:rFonts w:cs="Arial"/>
                <w:color w:val="000000"/>
                <w:sz w:val="18"/>
                <w:szCs w:val="18"/>
              </w:rPr>
              <w:t>Estudo Técnico Ambiental com enfoque para a criação da Unidade de Conservação Parque Natural Municipal Augusto Ruschi.</w:t>
            </w:r>
          </w:p>
        </w:tc>
        <w:tc>
          <w:tcPr>
            <w:tcW w:w="1288" w:type="pct"/>
            <w:hideMark/>
          </w:tcPr>
          <w:p w:rsidR="00B53F21" w:rsidRPr="00AE2A0D" w:rsidRDefault="00B53F21" w:rsidP="003F2023">
            <w:pPr>
              <w:autoSpaceDE w:val="0"/>
              <w:autoSpaceDN w:val="0"/>
              <w:adjustRightInd w:val="0"/>
              <w:spacing w:after="0"/>
              <w:rPr>
                <w:rFonts w:eastAsia="Cambria" w:cs="Arial"/>
                <w:color w:val="000000"/>
                <w:sz w:val="18"/>
                <w:szCs w:val="18"/>
              </w:rPr>
            </w:pPr>
            <w:r w:rsidRPr="00AE2A0D">
              <w:rPr>
                <w:rFonts w:cs="Arial"/>
                <w:color w:val="000000"/>
                <w:sz w:val="18"/>
                <w:szCs w:val="18"/>
              </w:rPr>
              <w:t>MEIRA, M. B.</w:t>
            </w:r>
          </w:p>
        </w:tc>
        <w:tc>
          <w:tcPr>
            <w:tcW w:w="758" w:type="pct"/>
            <w:hideMark/>
          </w:tcPr>
          <w:p w:rsidR="00B53F21" w:rsidRPr="00AE2A0D" w:rsidRDefault="00B53F21" w:rsidP="003F2023">
            <w:pPr>
              <w:autoSpaceDE w:val="0"/>
              <w:autoSpaceDN w:val="0"/>
              <w:adjustRightInd w:val="0"/>
              <w:spacing w:after="0"/>
              <w:jc w:val="left"/>
              <w:rPr>
                <w:rFonts w:eastAsia="Cambria" w:cs="Arial"/>
                <w:color w:val="000000"/>
                <w:sz w:val="18"/>
                <w:szCs w:val="18"/>
              </w:rPr>
            </w:pPr>
            <w:r w:rsidRPr="00AE2A0D">
              <w:rPr>
                <w:rFonts w:eastAsia="Cambria" w:cs="Arial"/>
                <w:color w:val="000000"/>
                <w:sz w:val="18"/>
                <w:szCs w:val="18"/>
              </w:rPr>
              <w:t>PNMAR, São José dos Campos, SP</w:t>
            </w:r>
          </w:p>
        </w:tc>
        <w:tc>
          <w:tcPr>
            <w:tcW w:w="909" w:type="pct"/>
            <w:hideMark/>
          </w:tcPr>
          <w:p w:rsidR="00B53F21" w:rsidRDefault="00B53F21" w:rsidP="003F2023">
            <w:pPr>
              <w:autoSpaceDE w:val="0"/>
              <w:autoSpaceDN w:val="0"/>
              <w:adjustRightInd w:val="0"/>
              <w:spacing w:after="0"/>
              <w:jc w:val="left"/>
              <w:rPr>
                <w:rFonts w:eastAsia="Cambria" w:cs="Arial"/>
                <w:color w:val="000000"/>
                <w:sz w:val="18"/>
                <w:szCs w:val="18"/>
              </w:rPr>
            </w:pPr>
            <w:r w:rsidRPr="00AE2A0D">
              <w:rPr>
                <w:rFonts w:eastAsia="Cambria" w:cs="Arial"/>
                <w:color w:val="000000"/>
                <w:sz w:val="18"/>
                <w:szCs w:val="18"/>
              </w:rPr>
              <w:t xml:space="preserve">(UTM) 23K </w:t>
            </w:r>
          </w:p>
          <w:p w:rsidR="00B53F21" w:rsidRPr="00AE2A0D" w:rsidRDefault="00B53F21" w:rsidP="003F2023">
            <w:pPr>
              <w:autoSpaceDE w:val="0"/>
              <w:autoSpaceDN w:val="0"/>
              <w:adjustRightInd w:val="0"/>
              <w:spacing w:after="0"/>
              <w:jc w:val="left"/>
              <w:rPr>
                <w:rFonts w:eastAsia="Cambria" w:cs="Arial"/>
                <w:color w:val="000000"/>
                <w:sz w:val="18"/>
                <w:szCs w:val="18"/>
              </w:rPr>
            </w:pPr>
            <w:r w:rsidRPr="00AE2A0D">
              <w:rPr>
                <w:rFonts w:eastAsia="Cambria" w:cs="Arial"/>
                <w:color w:val="000000"/>
                <w:sz w:val="18"/>
                <w:szCs w:val="18"/>
              </w:rPr>
              <w:t>404916/7448586</w:t>
            </w:r>
          </w:p>
          <w:p w:rsidR="00B53F21" w:rsidRPr="00AE2A0D" w:rsidRDefault="00B53F21" w:rsidP="003F2023">
            <w:pPr>
              <w:autoSpaceDE w:val="0"/>
              <w:autoSpaceDN w:val="0"/>
              <w:adjustRightInd w:val="0"/>
              <w:spacing w:after="0"/>
              <w:jc w:val="left"/>
              <w:rPr>
                <w:rFonts w:eastAsia="Cambria" w:cs="Arial"/>
                <w:color w:val="000000"/>
                <w:sz w:val="18"/>
                <w:szCs w:val="18"/>
              </w:rPr>
            </w:pPr>
            <w:r w:rsidRPr="00AE2A0D">
              <w:rPr>
                <w:rFonts w:eastAsia="Cambria" w:cs="Arial"/>
                <w:color w:val="000000"/>
                <w:sz w:val="18"/>
                <w:szCs w:val="18"/>
              </w:rPr>
              <w:t>404135/7449632</w:t>
            </w:r>
          </w:p>
        </w:tc>
      </w:tr>
      <w:tr w:rsidR="00B53F21" w:rsidRPr="00AE2A0D" w:rsidTr="003F2023">
        <w:trPr>
          <w:trHeight w:val="420"/>
          <w:jc w:val="center"/>
        </w:trPr>
        <w:tc>
          <w:tcPr>
            <w:tcW w:w="2046" w:type="pct"/>
            <w:hideMark/>
          </w:tcPr>
          <w:p w:rsidR="00B53F21" w:rsidRPr="00AE2A0D" w:rsidRDefault="00B53F21" w:rsidP="003F2023">
            <w:pPr>
              <w:autoSpaceDE w:val="0"/>
              <w:autoSpaceDN w:val="0"/>
              <w:adjustRightInd w:val="0"/>
              <w:spacing w:after="0"/>
              <w:rPr>
                <w:rFonts w:eastAsia="Times New Roman" w:cs="Arial"/>
                <w:color w:val="000000"/>
                <w:sz w:val="18"/>
                <w:szCs w:val="18"/>
              </w:rPr>
            </w:pPr>
            <w:r w:rsidRPr="00AE2A0D">
              <w:rPr>
                <w:rFonts w:cs="Arial"/>
                <w:color w:val="000000"/>
                <w:sz w:val="18"/>
                <w:szCs w:val="18"/>
              </w:rPr>
              <w:t>Caracterização e monitoramento da fauna de peixes, anfíbios, répteis, mamíferos e aves na área de influência do Centro de Disposição de Resíduos CDR – Pedreira e região do Parque Estadual da Cantareira (São Paulo</w:t>
            </w:r>
            <w:r>
              <w:rPr>
                <w:rFonts w:cs="Arial"/>
                <w:color w:val="000000"/>
                <w:sz w:val="18"/>
                <w:szCs w:val="18"/>
              </w:rPr>
              <w:t>,</w:t>
            </w:r>
            <w:r w:rsidRPr="00AE2A0D">
              <w:rPr>
                <w:rFonts w:cs="Arial"/>
                <w:color w:val="000000"/>
                <w:sz w:val="18"/>
                <w:szCs w:val="18"/>
              </w:rPr>
              <w:t xml:space="preserve"> SP) adjacente ao empreendimento.</w:t>
            </w:r>
          </w:p>
        </w:tc>
        <w:tc>
          <w:tcPr>
            <w:tcW w:w="1288" w:type="pct"/>
            <w:hideMark/>
          </w:tcPr>
          <w:p w:rsidR="00B53F21" w:rsidRPr="00AE2A0D" w:rsidRDefault="00B53F21" w:rsidP="003F2023">
            <w:pPr>
              <w:autoSpaceDE w:val="0"/>
              <w:autoSpaceDN w:val="0"/>
              <w:adjustRightInd w:val="0"/>
              <w:spacing w:after="0"/>
              <w:rPr>
                <w:rFonts w:eastAsia="Times New Roman" w:cs="Arial"/>
                <w:color w:val="000000"/>
                <w:sz w:val="18"/>
                <w:szCs w:val="18"/>
              </w:rPr>
            </w:pPr>
            <w:r w:rsidRPr="00AE2A0D">
              <w:rPr>
                <w:rFonts w:cs="Arial"/>
                <w:color w:val="000000"/>
                <w:sz w:val="18"/>
                <w:szCs w:val="18"/>
              </w:rPr>
              <w:t>CASTRO, C. R.; VULTÃO, J. G.; SILVA, E. P.; FAVORITO, S. E.</w:t>
            </w:r>
          </w:p>
        </w:tc>
        <w:tc>
          <w:tcPr>
            <w:tcW w:w="758" w:type="pct"/>
            <w:hideMark/>
          </w:tcPr>
          <w:p w:rsidR="00B53F21" w:rsidRPr="00AE2A0D" w:rsidRDefault="00B53F21" w:rsidP="003F2023">
            <w:pPr>
              <w:autoSpaceDE w:val="0"/>
              <w:autoSpaceDN w:val="0"/>
              <w:adjustRightInd w:val="0"/>
              <w:spacing w:after="0"/>
              <w:jc w:val="left"/>
              <w:rPr>
                <w:rFonts w:eastAsia="Cambria" w:cs="Arial"/>
                <w:color w:val="000000"/>
                <w:sz w:val="18"/>
                <w:szCs w:val="18"/>
              </w:rPr>
            </w:pPr>
            <w:r w:rsidRPr="00AE2A0D">
              <w:rPr>
                <w:rFonts w:eastAsia="Cambria" w:cs="Arial"/>
                <w:color w:val="000000"/>
                <w:sz w:val="18"/>
                <w:szCs w:val="18"/>
              </w:rPr>
              <w:t>Parque Estadual da Cantareira, SP.</w:t>
            </w:r>
          </w:p>
        </w:tc>
        <w:tc>
          <w:tcPr>
            <w:tcW w:w="909" w:type="pct"/>
            <w:hideMark/>
          </w:tcPr>
          <w:p w:rsidR="00B53F21" w:rsidRDefault="00B53F21" w:rsidP="003F2023">
            <w:pPr>
              <w:autoSpaceDE w:val="0"/>
              <w:autoSpaceDN w:val="0"/>
              <w:adjustRightInd w:val="0"/>
              <w:spacing w:after="0"/>
              <w:jc w:val="left"/>
              <w:rPr>
                <w:rFonts w:cs="Arial"/>
                <w:color w:val="000000"/>
                <w:sz w:val="18"/>
                <w:szCs w:val="18"/>
                <w:shd w:val="clear" w:color="auto" w:fill="FFFFFF"/>
              </w:rPr>
            </w:pPr>
            <w:r w:rsidRPr="00AE2A0D">
              <w:rPr>
                <w:rFonts w:cs="Arial"/>
                <w:color w:val="000000"/>
                <w:sz w:val="18"/>
                <w:szCs w:val="18"/>
                <w:shd w:val="clear" w:color="auto" w:fill="FFFFFF"/>
              </w:rPr>
              <w:t xml:space="preserve">(WGS84) </w:t>
            </w:r>
          </w:p>
          <w:p w:rsidR="00B53F21" w:rsidRDefault="00B53F21" w:rsidP="003F2023">
            <w:pPr>
              <w:autoSpaceDE w:val="0"/>
              <w:autoSpaceDN w:val="0"/>
              <w:adjustRightInd w:val="0"/>
              <w:spacing w:after="0"/>
              <w:jc w:val="left"/>
              <w:rPr>
                <w:rFonts w:cs="Arial"/>
                <w:color w:val="000000"/>
                <w:sz w:val="18"/>
                <w:szCs w:val="18"/>
                <w:shd w:val="clear" w:color="auto" w:fill="FFFFFF"/>
              </w:rPr>
            </w:pPr>
            <w:r w:rsidRPr="00AE2A0D">
              <w:rPr>
                <w:rFonts w:cs="Arial"/>
                <w:color w:val="000000"/>
                <w:sz w:val="18"/>
                <w:szCs w:val="18"/>
                <w:shd w:val="clear" w:color="auto" w:fill="FFFFFF"/>
              </w:rPr>
              <w:t xml:space="preserve">23° 24′ 5″ S, </w:t>
            </w:r>
          </w:p>
          <w:p w:rsidR="00B53F21" w:rsidRPr="00AE2A0D" w:rsidRDefault="00B53F21" w:rsidP="003F2023">
            <w:pPr>
              <w:autoSpaceDE w:val="0"/>
              <w:autoSpaceDN w:val="0"/>
              <w:adjustRightInd w:val="0"/>
              <w:spacing w:after="0"/>
              <w:jc w:val="left"/>
              <w:rPr>
                <w:rFonts w:eastAsia="Times New Roman" w:cs="Arial"/>
                <w:color w:val="000000"/>
                <w:sz w:val="18"/>
                <w:szCs w:val="18"/>
                <w:shd w:val="clear" w:color="auto" w:fill="FFFFFF"/>
              </w:rPr>
            </w:pPr>
            <w:r w:rsidRPr="00AE2A0D">
              <w:rPr>
                <w:rFonts w:cs="Arial"/>
                <w:color w:val="000000"/>
                <w:sz w:val="18"/>
                <w:szCs w:val="18"/>
                <w:shd w:val="clear" w:color="auto" w:fill="FFFFFF"/>
              </w:rPr>
              <w:t>46° 35′ 24″ W</w:t>
            </w:r>
          </w:p>
        </w:tc>
      </w:tr>
      <w:tr w:rsidR="00B53F21" w:rsidRPr="00AE2A0D" w:rsidTr="003F2023">
        <w:trPr>
          <w:trHeight w:val="420"/>
          <w:jc w:val="center"/>
        </w:trPr>
        <w:tc>
          <w:tcPr>
            <w:tcW w:w="2046" w:type="pct"/>
            <w:hideMark/>
          </w:tcPr>
          <w:p w:rsidR="00B53F21" w:rsidRPr="00AE2A0D" w:rsidRDefault="00B53F21" w:rsidP="003F2023">
            <w:pPr>
              <w:autoSpaceDE w:val="0"/>
              <w:autoSpaceDN w:val="0"/>
              <w:adjustRightInd w:val="0"/>
              <w:spacing w:after="0"/>
              <w:rPr>
                <w:rFonts w:eastAsia="Times New Roman" w:cs="Arial"/>
                <w:color w:val="000000"/>
                <w:sz w:val="18"/>
                <w:szCs w:val="18"/>
              </w:rPr>
            </w:pPr>
            <w:r w:rsidRPr="00AE2A0D">
              <w:rPr>
                <w:rFonts w:cs="Arial"/>
                <w:color w:val="000000"/>
                <w:sz w:val="18"/>
                <w:szCs w:val="18"/>
              </w:rPr>
              <w:t>Bat flies (Diptera: Streblidae, Nycteribiidae) parasitic on bats (Mammalia: Chiroptera) at Parque Estadual da Cantareira, São Paulo, Brazil, parasitism, rates and host-parasite associations.</w:t>
            </w:r>
          </w:p>
        </w:tc>
        <w:tc>
          <w:tcPr>
            <w:tcW w:w="1288" w:type="pct"/>
            <w:hideMark/>
          </w:tcPr>
          <w:p w:rsidR="00B53F21" w:rsidRPr="00AE2A0D" w:rsidRDefault="00B53F21" w:rsidP="003F2023">
            <w:pPr>
              <w:autoSpaceDE w:val="0"/>
              <w:autoSpaceDN w:val="0"/>
              <w:adjustRightInd w:val="0"/>
              <w:spacing w:after="0"/>
              <w:rPr>
                <w:rFonts w:eastAsia="Times New Roman" w:cs="Arial"/>
                <w:color w:val="000000"/>
                <w:sz w:val="18"/>
                <w:szCs w:val="18"/>
              </w:rPr>
            </w:pPr>
            <w:r w:rsidRPr="00AE2A0D">
              <w:rPr>
                <w:rFonts w:cs="Arial"/>
                <w:color w:val="000000"/>
                <w:sz w:val="18"/>
                <w:szCs w:val="18"/>
              </w:rPr>
              <w:t>BERTOLA, P. B.; AIRES, C. C.; FAVORITO, S. E.; GRACIOLLI, G. AMAKU, M.; PINTO-DA-ROCHA, R.</w:t>
            </w:r>
          </w:p>
        </w:tc>
        <w:tc>
          <w:tcPr>
            <w:tcW w:w="758" w:type="pct"/>
            <w:hideMark/>
          </w:tcPr>
          <w:p w:rsidR="00B53F21" w:rsidRPr="00AE2A0D" w:rsidRDefault="00B53F21" w:rsidP="003F2023">
            <w:pPr>
              <w:autoSpaceDE w:val="0"/>
              <w:autoSpaceDN w:val="0"/>
              <w:adjustRightInd w:val="0"/>
              <w:spacing w:after="0"/>
              <w:jc w:val="left"/>
              <w:rPr>
                <w:rFonts w:eastAsia="Cambria" w:cs="Arial"/>
                <w:color w:val="000000"/>
                <w:sz w:val="18"/>
                <w:szCs w:val="18"/>
              </w:rPr>
            </w:pPr>
            <w:r w:rsidRPr="00AE2A0D">
              <w:rPr>
                <w:rFonts w:eastAsia="Cambria" w:cs="Arial"/>
                <w:color w:val="000000"/>
                <w:sz w:val="18"/>
                <w:szCs w:val="18"/>
              </w:rPr>
              <w:t>Parque Estadual da Cantareira, SP.</w:t>
            </w:r>
          </w:p>
        </w:tc>
        <w:tc>
          <w:tcPr>
            <w:tcW w:w="909" w:type="pct"/>
            <w:hideMark/>
          </w:tcPr>
          <w:p w:rsidR="00B53F21" w:rsidRDefault="00B53F21" w:rsidP="003F2023">
            <w:pPr>
              <w:autoSpaceDE w:val="0"/>
              <w:autoSpaceDN w:val="0"/>
              <w:adjustRightInd w:val="0"/>
              <w:spacing w:after="0"/>
              <w:jc w:val="left"/>
              <w:rPr>
                <w:rFonts w:cs="Arial"/>
                <w:color w:val="000000"/>
                <w:sz w:val="18"/>
                <w:szCs w:val="18"/>
                <w:shd w:val="clear" w:color="auto" w:fill="FFFFFF"/>
              </w:rPr>
            </w:pPr>
            <w:r w:rsidRPr="00AE2A0D">
              <w:rPr>
                <w:rFonts w:cs="Arial"/>
                <w:color w:val="000000"/>
                <w:sz w:val="18"/>
                <w:szCs w:val="18"/>
                <w:shd w:val="clear" w:color="auto" w:fill="FFFFFF"/>
              </w:rPr>
              <w:t xml:space="preserve">(WGS84) </w:t>
            </w:r>
          </w:p>
          <w:p w:rsidR="00B53F21" w:rsidRDefault="00B53F21" w:rsidP="003F2023">
            <w:pPr>
              <w:autoSpaceDE w:val="0"/>
              <w:autoSpaceDN w:val="0"/>
              <w:adjustRightInd w:val="0"/>
              <w:spacing w:after="0"/>
              <w:jc w:val="left"/>
              <w:rPr>
                <w:rFonts w:cs="Arial"/>
                <w:color w:val="000000"/>
                <w:sz w:val="18"/>
                <w:szCs w:val="18"/>
                <w:shd w:val="clear" w:color="auto" w:fill="FFFFFF"/>
              </w:rPr>
            </w:pPr>
            <w:r w:rsidRPr="00AE2A0D">
              <w:rPr>
                <w:rFonts w:cs="Arial"/>
                <w:color w:val="000000"/>
                <w:sz w:val="18"/>
                <w:szCs w:val="18"/>
                <w:shd w:val="clear" w:color="auto" w:fill="FFFFFF"/>
              </w:rPr>
              <w:t xml:space="preserve">23° 24′ 5″ S, </w:t>
            </w:r>
          </w:p>
          <w:p w:rsidR="00B53F21" w:rsidRPr="00AE2A0D" w:rsidRDefault="00B53F21" w:rsidP="003F2023">
            <w:pPr>
              <w:autoSpaceDE w:val="0"/>
              <w:autoSpaceDN w:val="0"/>
              <w:adjustRightInd w:val="0"/>
              <w:spacing w:after="0"/>
              <w:jc w:val="left"/>
              <w:rPr>
                <w:rFonts w:eastAsia="Times New Roman" w:cs="Arial"/>
                <w:color w:val="000000"/>
                <w:sz w:val="18"/>
                <w:szCs w:val="18"/>
                <w:shd w:val="clear" w:color="auto" w:fill="FFFFFF"/>
              </w:rPr>
            </w:pPr>
            <w:r w:rsidRPr="00AE2A0D">
              <w:rPr>
                <w:rFonts w:cs="Arial"/>
                <w:color w:val="000000"/>
                <w:sz w:val="18"/>
                <w:szCs w:val="18"/>
                <w:shd w:val="clear" w:color="auto" w:fill="FFFFFF"/>
              </w:rPr>
              <w:t>46° 35′ 24″ W</w:t>
            </w:r>
          </w:p>
        </w:tc>
      </w:tr>
      <w:tr w:rsidR="00B53F21" w:rsidRPr="00AE2A0D" w:rsidTr="003F2023">
        <w:trPr>
          <w:trHeight w:val="420"/>
          <w:jc w:val="center"/>
        </w:trPr>
        <w:tc>
          <w:tcPr>
            <w:tcW w:w="2046" w:type="pct"/>
          </w:tcPr>
          <w:p w:rsidR="00B53F21" w:rsidRPr="00AE2A0D" w:rsidRDefault="00B53F21" w:rsidP="003F2023">
            <w:pPr>
              <w:autoSpaceDE w:val="0"/>
              <w:autoSpaceDN w:val="0"/>
              <w:adjustRightInd w:val="0"/>
              <w:spacing w:after="0"/>
              <w:rPr>
                <w:rFonts w:cs="Arial"/>
                <w:color w:val="000000"/>
                <w:sz w:val="18"/>
                <w:szCs w:val="18"/>
              </w:rPr>
            </w:pPr>
            <w:r w:rsidRPr="00AE2A0D">
              <w:rPr>
                <w:rFonts w:cs="Arial"/>
                <w:color w:val="000000"/>
                <w:sz w:val="18"/>
                <w:szCs w:val="18"/>
              </w:rPr>
              <w:t>Plano de Manejo RPPN Rio dos Pilões</w:t>
            </w:r>
          </w:p>
        </w:tc>
        <w:tc>
          <w:tcPr>
            <w:tcW w:w="1288" w:type="pct"/>
          </w:tcPr>
          <w:p w:rsidR="00B53F21" w:rsidRPr="00AE2A0D" w:rsidRDefault="00B53F21" w:rsidP="003F2023">
            <w:pPr>
              <w:autoSpaceDE w:val="0"/>
              <w:autoSpaceDN w:val="0"/>
              <w:adjustRightInd w:val="0"/>
              <w:spacing w:after="0"/>
              <w:rPr>
                <w:rFonts w:cs="Arial"/>
                <w:color w:val="000000"/>
                <w:sz w:val="18"/>
                <w:szCs w:val="18"/>
              </w:rPr>
            </w:pPr>
            <w:r w:rsidRPr="00AE2A0D">
              <w:rPr>
                <w:rFonts w:cs="Arial"/>
                <w:color w:val="000000"/>
                <w:sz w:val="18"/>
                <w:szCs w:val="18"/>
              </w:rPr>
              <w:t>ALMEIDA, A. F.</w:t>
            </w:r>
          </w:p>
        </w:tc>
        <w:tc>
          <w:tcPr>
            <w:tcW w:w="758" w:type="pct"/>
          </w:tcPr>
          <w:p w:rsidR="00B53F21" w:rsidRPr="00AE2A0D" w:rsidRDefault="00B53F21" w:rsidP="003F2023">
            <w:pPr>
              <w:autoSpaceDE w:val="0"/>
              <w:autoSpaceDN w:val="0"/>
              <w:adjustRightInd w:val="0"/>
              <w:spacing w:after="0"/>
              <w:jc w:val="left"/>
              <w:rPr>
                <w:rFonts w:eastAsia="Cambria" w:cs="Arial"/>
                <w:color w:val="000000"/>
                <w:sz w:val="18"/>
                <w:szCs w:val="18"/>
              </w:rPr>
            </w:pPr>
            <w:r w:rsidRPr="00AE2A0D">
              <w:rPr>
                <w:rFonts w:eastAsia="Cambria" w:cs="Arial"/>
                <w:color w:val="000000"/>
                <w:sz w:val="18"/>
                <w:szCs w:val="18"/>
              </w:rPr>
              <w:t>Santa Isabel, SP</w:t>
            </w:r>
          </w:p>
        </w:tc>
        <w:tc>
          <w:tcPr>
            <w:tcW w:w="909" w:type="pct"/>
          </w:tcPr>
          <w:p w:rsidR="00B53F21" w:rsidRPr="00AE2A0D" w:rsidRDefault="00B53F21" w:rsidP="003F2023">
            <w:pPr>
              <w:autoSpaceDE w:val="0"/>
              <w:autoSpaceDN w:val="0"/>
              <w:adjustRightInd w:val="0"/>
              <w:spacing w:after="0"/>
              <w:jc w:val="left"/>
              <w:rPr>
                <w:rFonts w:cs="Arial"/>
                <w:color w:val="000000"/>
                <w:sz w:val="18"/>
                <w:szCs w:val="18"/>
                <w:shd w:val="clear" w:color="auto" w:fill="FFFFFF"/>
              </w:rPr>
            </w:pPr>
            <w:r w:rsidRPr="00AE2A0D">
              <w:rPr>
                <w:rFonts w:cs="Arial"/>
                <w:color w:val="000000"/>
                <w:sz w:val="18"/>
                <w:szCs w:val="18"/>
                <w:shd w:val="clear" w:color="auto" w:fill="FFFFFF"/>
              </w:rPr>
              <w:t>(UTM) 23K 368730/7422161</w:t>
            </w:r>
          </w:p>
        </w:tc>
      </w:tr>
    </w:tbl>
    <w:p w:rsidR="00B53F21" w:rsidRPr="00AE2A0D" w:rsidRDefault="00B53F21" w:rsidP="00B53F21">
      <w:pPr>
        <w:pStyle w:val="Ttulo6"/>
      </w:pPr>
      <w:bookmarkStart w:id="122" w:name="_Toc402254403"/>
      <w:r>
        <w:t>B.2.</w:t>
      </w:r>
      <w:r>
        <w:tab/>
      </w:r>
      <w:r w:rsidRPr="00AE2A0D">
        <w:t>Levantamento de Dados Primários</w:t>
      </w:r>
      <w:bookmarkEnd w:id="122"/>
    </w:p>
    <w:p w:rsidR="00B53F21" w:rsidRPr="00AE2A0D" w:rsidRDefault="00B53F21" w:rsidP="00B53F21">
      <w:pPr>
        <w:pStyle w:val="Ttulo7"/>
      </w:pPr>
      <w:r>
        <w:t>B.2.1.</w:t>
      </w:r>
      <w:r>
        <w:tab/>
      </w:r>
      <w:r w:rsidRPr="00AE2A0D">
        <w:t>Métodos de amostragem e esforço empregado</w:t>
      </w:r>
    </w:p>
    <w:p w:rsidR="00B53F21" w:rsidRPr="00AE2A0D" w:rsidRDefault="00B53F21" w:rsidP="00B53F21">
      <w:pPr>
        <w:rPr>
          <w:b/>
        </w:rPr>
      </w:pPr>
      <w:r w:rsidRPr="00AE2A0D">
        <w:t xml:space="preserve">Com o propósito de caracterizar a comunidade de médios e grandes mamíferos na AID da Interligação entre as Represas Jaguari </w:t>
      </w:r>
      <w:r>
        <w:t xml:space="preserve">e </w:t>
      </w:r>
      <w:r w:rsidRPr="00AE2A0D">
        <w:t>Atibainha foram utilizados métodos complementares de amostragem:</w:t>
      </w:r>
    </w:p>
    <w:p w:rsidR="00B53F21" w:rsidRPr="00AE2A0D" w:rsidRDefault="00B53F21" w:rsidP="00B53F21">
      <w:r w:rsidRPr="00AE2A0D">
        <w:rPr>
          <w:u w:val="single"/>
        </w:rPr>
        <w:t>Armadilhas-fotográficas</w:t>
      </w:r>
      <w:r w:rsidRPr="00AE2A0D">
        <w:t>: foram dispostas 10 trapas-câmeras, duas em cada local de amostragem (</w:t>
      </w:r>
      <w:r w:rsidR="000A6ED0" w:rsidRPr="000A6ED0">
        <w:rPr>
          <w:b/>
        </w:rPr>
        <w:t>Tabela 6.4.</w:t>
      </w:r>
      <w:r w:rsidR="002F5F14">
        <w:rPr>
          <w:b/>
        </w:rPr>
        <w:t>4-10</w:t>
      </w:r>
      <w:r w:rsidR="000A6ED0" w:rsidRPr="000A6ED0">
        <w:rPr>
          <w:b/>
        </w:rPr>
        <w:t xml:space="preserve"> e Foto</w:t>
      </w:r>
      <w:r w:rsidR="000A6ED0">
        <w:t xml:space="preserve">) </w:t>
      </w:r>
      <w:r w:rsidRPr="00AE2A0D">
        <w:t>para registrar a presença de animais de médio-grande porte. Este método pode registrar a presença de espécies terrestres e também escansoriais ou arborícolas, além de esclarecer a identificação de espécies com rastros semelhantes (Alves &amp; Andriolo, 2005). A fim de atrair os animais foi usada uma mistura de iscas com manga, abacaxi, banana, milho, abóbora, sal grosso, calabresa e ração para gatos e cães domésticos</w:t>
      </w:r>
      <w:r w:rsidR="00AC1EDF">
        <w:t>.</w:t>
      </w:r>
    </w:p>
    <w:p w:rsidR="00B53F21" w:rsidRPr="000A6ED0" w:rsidRDefault="00B53F21" w:rsidP="000A6ED0">
      <w:pPr>
        <w:pStyle w:val="Legenda"/>
        <w:jc w:val="center"/>
        <w:rPr>
          <w:rFonts w:ascii="Arial Negrito" w:eastAsia="Arial Unicode MS" w:hAnsi="Arial Negrito" w:cs="Times New Roman"/>
          <w:smallCaps/>
          <w:snapToGrid w:val="0"/>
          <w:szCs w:val="24"/>
          <w:lang w:eastAsia="pt-BR"/>
        </w:rPr>
      </w:pPr>
      <w:bookmarkStart w:id="123" w:name="_Ref401320544"/>
      <w:bookmarkStart w:id="124" w:name="_Toc386181193"/>
      <w:bookmarkStart w:id="125" w:name="_Ref385952025"/>
      <w:r w:rsidRPr="000A6ED0">
        <w:rPr>
          <w:rFonts w:ascii="Arial Negrito" w:eastAsia="Arial Unicode MS" w:hAnsi="Arial Negrito" w:cs="Times New Roman"/>
          <w:smallCaps/>
          <w:snapToGrid w:val="0"/>
          <w:szCs w:val="24"/>
          <w:lang w:eastAsia="pt-BR"/>
        </w:rPr>
        <w:lastRenderedPageBreak/>
        <w:t>Tabela</w:t>
      </w:r>
      <w:bookmarkEnd w:id="123"/>
      <w:r w:rsidR="000A6ED0">
        <w:rPr>
          <w:rFonts w:ascii="Arial Negrito" w:eastAsia="Arial Unicode MS" w:hAnsi="Arial Negrito" w:cs="Times New Roman"/>
          <w:smallCaps/>
          <w:snapToGrid w:val="0"/>
          <w:szCs w:val="24"/>
          <w:lang w:eastAsia="pt-BR"/>
        </w:rPr>
        <w:t xml:space="preserve"> 6.4.</w:t>
      </w:r>
      <w:r w:rsidR="002F5F14">
        <w:rPr>
          <w:rFonts w:ascii="Arial Negrito" w:eastAsia="Arial Unicode MS" w:hAnsi="Arial Negrito" w:cs="Times New Roman"/>
          <w:smallCaps/>
          <w:snapToGrid w:val="0"/>
          <w:szCs w:val="24"/>
          <w:lang w:eastAsia="pt-BR"/>
        </w:rPr>
        <w:t>4-10.</w:t>
      </w:r>
      <w:r w:rsidRPr="000A6ED0">
        <w:rPr>
          <w:rFonts w:ascii="Arial Negrito" w:eastAsia="Arial Unicode MS" w:hAnsi="Arial Negrito" w:cs="Times New Roman"/>
          <w:smallCaps/>
          <w:snapToGrid w:val="0"/>
          <w:szCs w:val="24"/>
          <w:lang w:eastAsia="pt-BR"/>
        </w:rPr>
        <w:t xml:space="preserve"> Coordenadas (UTM, DATUM SAD 69) das armadilhas fotográficas dispostas durante o Levantamento de Mastofauna na AID da Interligação das represas Jaguari e Atibainha</w:t>
      </w:r>
      <w:bookmarkEnd w:id="124"/>
      <w:bookmarkEnd w:id="1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2076"/>
        <w:gridCol w:w="2076"/>
        <w:gridCol w:w="1658"/>
        <w:gridCol w:w="1458"/>
      </w:tblGrid>
      <w:tr w:rsidR="00B53F21" w:rsidRPr="00AE2A0D" w:rsidTr="003F2023">
        <w:trPr>
          <w:trHeight w:val="340"/>
          <w:tblHeader/>
        </w:trPr>
        <w:tc>
          <w:tcPr>
            <w:tcW w:w="1111" w:type="pct"/>
            <w:vMerge w:val="restart"/>
            <w:shd w:val="clear" w:color="auto" w:fill="D9D9D9"/>
            <w:vAlign w:val="center"/>
          </w:tcPr>
          <w:p w:rsidR="00B53F21" w:rsidRPr="00AE2A0D" w:rsidRDefault="00B53F21" w:rsidP="003F2023">
            <w:pPr>
              <w:spacing w:after="0"/>
              <w:rPr>
                <w:rFonts w:cs="Arial"/>
                <w:b/>
                <w:sz w:val="18"/>
                <w:szCs w:val="18"/>
              </w:rPr>
            </w:pPr>
            <w:r w:rsidRPr="00AE2A0D">
              <w:rPr>
                <w:rFonts w:cs="Arial"/>
                <w:b/>
                <w:sz w:val="18"/>
                <w:szCs w:val="18"/>
              </w:rPr>
              <w:t>Município</w:t>
            </w:r>
          </w:p>
        </w:tc>
        <w:tc>
          <w:tcPr>
            <w:tcW w:w="1111" w:type="pct"/>
            <w:vMerge w:val="restart"/>
            <w:shd w:val="clear" w:color="auto" w:fill="D9D9D9"/>
            <w:vAlign w:val="center"/>
          </w:tcPr>
          <w:p w:rsidR="00B53F21" w:rsidRPr="00AE2A0D" w:rsidRDefault="00B53F21" w:rsidP="003F2023">
            <w:pPr>
              <w:spacing w:after="0"/>
              <w:jc w:val="center"/>
              <w:rPr>
                <w:rFonts w:cs="Arial"/>
                <w:b/>
                <w:sz w:val="18"/>
                <w:szCs w:val="18"/>
              </w:rPr>
            </w:pPr>
            <w:r w:rsidRPr="00AE2A0D">
              <w:rPr>
                <w:rFonts w:cs="Arial"/>
                <w:b/>
                <w:sz w:val="18"/>
                <w:szCs w:val="18"/>
              </w:rPr>
              <w:t>Local</w:t>
            </w:r>
          </w:p>
        </w:tc>
        <w:tc>
          <w:tcPr>
            <w:tcW w:w="1111" w:type="pct"/>
            <w:vMerge w:val="restart"/>
            <w:shd w:val="clear" w:color="auto" w:fill="D9D9D9"/>
            <w:vAlign w:val="center"/>
            <w:hideMark/>
          </w:tcPr>
          <w:p w:rsidR="00B53F21" w:rsidRPr="00AE2A0D" w:rsidRDefault="00B53F21" w:rsidP="003F2023">
            <w:pPr>
              <w:spacing w:after="0"/>
              <w:jc w:val="center"/>
              <w:rPr>
                <w:rFonts w:eastAsia="Calibri" w:cs="Arial"/>
                <w:b/>
                <w:bCs/>
                <w:sz w:val="18"/>
                <w:szCs w:val="18"/>
              </w:rPr>
            </w:pPr>
            <w:r w:rsidRPr="00AE2A0D">
              <w:rPr>
                <w:rFonts w:cs="Arial"/>
                <w:b/>
                <w:sz w:val="18"/>
                <w:szCs w:val="18"/>
              </w:rPr>
              <w:t>Armadilhas fotográficas</w:t>
            </w:r>
          </w:p>
        </w:tc>
        <w:tc>
          <w:tcPr>
            <w:tcW w:w="1667" w:type="pct"/>
            <w:gridSpan w:val="2"/>
            <w:shd w:val="clear" w:color="auto" w:fill="D9D9D9"/>
            <w:vAlign w:val="center"/>
            <w:hideMark/>
          </w:tcPr>
          <w:p w:rsidR="00B53F21" w:rsidRPr="00AE2A0D" w:rsidRDefault="00B53F21" w:rsidP="003F2023">
            <w:pPr>
              <w:autoSpaceDE w:val="0"/>
              <w:autoSpaceDN w:val="0"/>
              <w:adjustRightInd w:val="0"/>
              <w:spacing w:after="0"/>
              <w:jc w:val="center"/>
              <w:rPr>
                <w:rFonts w:eastAsia="Cambria" w:cs="Arial"/>
                <w:b/>
                <w:color w:val="000000"/>
                <w:sz w:val="18"/>
                <w:szCs w:val="18"/>
              </w:rPr>
            </w:pPr>
            <w:r w:rsidRPr="00AE2A0D">
              <w:rPr>
                <w:rFonts w:eastAsia="Cambria" w:cs="Arial"/>
                <w:b/>
                <w:color w:val="000000"/>
                <w:sz w:val="18"/>
                <w:szCs w:val="18"/>
              </w:rPr>
              <w:t>Coordenadas 23K</w:t>
            </w:r>
          </w:p>
        </w:tc>
      </w:tr>
      <w:tr w:rsidR="00B53F21" w:rsidRPr="00AE2A0D" w:rsidTr="003F2023">
        <w:trPr>
          <w:trHeight w:val="240"/>
        </w:trPr>
        <w:tc>
          <w:tcPr>
            <w:tcW w:w="1111" w:type="pct"/>
            <w:vMerge/>
          </w:tcPr>
          <w:p w:rsidR="00B53F21" w:rsidRPr="00AE2A0D" w:rsidRDefault="00B53F21" w:rsidP="003F2023">
            <w:pPr>
              <w:spacing w:after="0"/>
              <w:rPr>
                <w:rFonts w:eastAsia="Calibri" w:cs="Arial"/>
                <w:b/>
                <w:bCs/>
                <w:sz w:val="18"/>
                <w:szCs w:val="18"/>
              </w:rPr>
            </w:pPr>
          </w:p>
        </w:tc>
        <w:tc>
          <w:tcPr>
            <w:tcW w:w="1111" w:type="pct"/>
            <w:vMerge/>
          </w:tcPr>
          <w:p w:rsidR="00B53F21" w:rsidRPr="00AE2A0D" w:rsidRDefault="00B53F21" w:rsidP="003F2023">
            <w:pPr>
              <w:spacing w:after="0"/>
              <w:rPr>
                <w:rFonts w:eastAsia="Calibri" w:cs="Arial"/>
                <w:b/>
                <w:bCs/>
                <w:sz w:val="18"/>
                <w:szCs w:val="18"/>
              </w:rPr>
            </w:pPr>
          </w:p>
        </w:tc>
        <w:tc>
          <w:tcPr>
            <w:tcW w:w="1111" w:type="pct"/>
            <w:vMerge/>
            <w:vAlign w:val="center"/>
            <w:hideMark/>
          </w:tcPr>
          <w:p w:rsidR="00B53F21" w:rsidRPr="00AE2A0D" w:rsidRDefault="00B53F21" w:rsidP="003F2023">
            <w:pPr>
              <w:spacing w:after="0"/>
              <w:rPr>
                <w:rFonts w:eastAsia="Calibri" w:cs="Arial"/>
                <w:b/>
                <w:bCs/>
                <w:sz w:val="18"/>
                <w:szCs w:val="18"/>
              </w:rPr>
            </w:pPr>
          </w:p>
        </w:tc>
        <w:tc>
          <w:tcPr>
            <w:tcW w:w="887" w:type="pct"/>
            <w:shd w:val="clear" w:color="auto" w:fill="D9D9D9"/>
            <w:vAlign w:val="center"/>
            <w:hideMark/>
          </w:tcPr>
          <w:p w:rsidR="00B53F21" w:rsidRPr="00AE2A0D" w:rsidRDefault="00B53F21" w:rsidP="003F2023">
            <w:pPr>
              <w:autoSpaceDE w:val="0"/>
              <w:autoSpaceDN w:val="0"/>
              <w:adjustRightInd w:val="0"/>
              <w:spacing w:after="0"/>
              <w:jc w:val="center"/>
              <w:rPr>
                <w:rFonts w:eastAsia="Cambria" w:cs="Arial"/>
                <w:b/>
                <w:color w:val="000000"/>
                <w:sz w:val="18"/>
                <w:szCs w:val="18"/>
              </w:rPr>
            </w:pPr>
            <w:r w:rsidRPr="00AE2A0D">
              <w:rPr>
                <w:rFonts w:eastAsia="Cambria" w:cs="Arial"/>
                <w:b/>
                <w:color w:val="000000"/>
                <w:sz w:val="18"/>
                <w:szCs w:val="18"/>
              </w:rPr>
              <w:t>UTM X</w:t>
            </w:r>
          </w:p>
        </w:tc>
        <w:tc>
          <w:tcPr>
            <w:tcW w:w="780" w:type="pct"/>
            <w:shd w:val="clear" w:color="auto" w:fill="D9D9D9"/>
            <w:vAlign w:val="center"/>
            <w:hideMark/>
          </w:tcPr>
          <w:p w:rsidR="00B53F21" w:rsidRPr="00AE2A0D" w:rsidRDefault="00B53F21" w:rsidP="003F2023">
            <w:pPr>
              <w:autoSpaceDE w:val="0"/>
              <w:autoSpaceDN w:val="0"/>
              <w:adjustRightInd w:val="0"/>
              <w:spacing w:after="0"/>
              <w:jc w:val="center"/>
              <w:rPr>
                <w:rFonts w:eastAsia="Cambria" w:cs="Arial"/>
                <w:b/>
                <w:color w:val="000000"/>
                <w:sz w:val="18"/>
                <w:szCs w:val="18"/>
              </w:rPr>
            </w:pPr>
            <w:r w:rsidRPr="00AE2A0D">
              <w:rPr>
                <w:rFonts w:eastAsia="Cambria" w:cs="Arial"/>
                <w:b/>
                <w:color w:val="000000"/>
                <w:sz w:val="18"/>
                <w:szCs w:val="18"/>
              </w:rPr>
              <w:t>UTM Y</w:t>
            </w:r>
          </w:p>
        </w:tc>
      </w:tr>
      <w:tr w:rsidR="00B53F21" w:rsidRPr="00AE2A0D" w:rsidTr="003F2023">
        <w:trPr>
          <w:trHeight w:val="240"/>
        </w:trPr>
        <w:tc>
          <w:tcPr>
            <w:tcW w:w="1111" w:type="pct"/>
            <w:vMerge w:val="restart"/>
            <w:vAlign w:val="center"/>
          </w:tcPr>
          <w:p w:rsidR="00B53F21" w:rsidRPr="00872D76" w:rsidRDefault="00B53F21" w:rsidP="003F2023">
            <w:pPr>
              <w:spacing w:after="0"/>
              <w:jc w:val="left"/>
              <w:rPr>
                <w:rFonts w:cs="Arial"/>
                <w:color w:val="000000"/>
                <w:sz w:val="18"/>
                <w:szCs w:val="18"/>
              </w:rPr>
            </w:pPr>
            <w:r w:rsidRPr="00872D76">
              <w:rPr>
                <w:rFonts w:cs="Arial"/>
                <w:sz w:val="18"/>
                <w:szCs w:val="18"/>
              </w:rPr>
              <w:t>Nazaré Paulista, SP</w:t>
            </w:r>
          </w:p>
        </w:tc>
        <w:tc>
          <w:tcPr>
            <w:tcW w:w="1111" w:type="pct"/>
            <w:vAlign w:val="center"/>
          </w:tcPr>
          <w:p w:rsidR="00B53F21" w:rsidRPr="00AE2A0D" w:rsidRDefault="00B53F21" w:rsidP="003F2023">
            <w:pPr>
              <w:spacing w:after="0"/>
              <w:jc w:val="center"/>
              <w:rPr>
                <w:rFonts w:cs="Arial"/>
                <w:sz w:val="18"/>
                <w:szCs w:val="18"/>
              </w:rPr>
            </w:pPr>
            <w:r w:rsidRPr="00AE2A0D">
              <w:rPr>
                <w:rFonts w:cs="Arial"/>
                <w:sz w:val="18"/>
                <w:szCs w:val="18"/>
              </w:rPr>
              <w:t>Área 5</w:t>
            </w:r>
          </w:p>
        </w:tc>
        <w:tc>
          <w:tcPr>
            <w:tcW w:w="1111" w:type="pct"/>
            <w:vAlign w:val="bottom"/>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Câmera 1</w:t>
            </w:r>
          </w:p>
        </w:tc>
        <w:tc>
          <w:tcPr>
            <w:tcW w:w="887" w:type="pct"/>
            <w:vAlign w:val="bottom"/>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369317 m E</w:t>
            </w:r>
          </w:p>
        </w:tc>
        <w:tc>
          <w:tcPr>
            <w:tcW w:w="780" w:type="pct"/>
            <w:vAlign w:val="bottom"/>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7443247 m S</w:t>
            </w:r>
          </w:p>
        </w:tc>
      </w:tr>
      <w:tr w:rsidR="00B53F21" w:rsidRPr="00AE2A0D" w:rsidTr="003F2023">
        <w:trPr>
          <w:trHeight w:val="240"/>
        </w:trPr>
        <w:tc>
          <w:tcPr>
            <w:tcW w:w="1111" w:type="pct"/>
            <w:vMerge/>
          </w:tcPr>
          <w:p w:rsidR="00B53F21" w:rsidRPr="00872D76" w:rsidRDefault="00B53F21" w:rsidP="003F2023">
            <w:pPr>
              <w:spacing w:after="0"/>
              <w:jc w:val="left"/>
              <w:rPr>
                <w:rFonts w:cs="Arial"/>
                <w:color w:val="000000"/>
                <w:sz w:val="18"/>
                <w:szCs w:val="18"/>
              </w:rPr>
            </w:pPr>
          </w:p>
        </w:tc>
        <w:tc>
          <w:tcPr>
            <w:tcW w:w="1111" w:type="pct"/>
            <w:vAlign w:val="center"/>
          </w:tcPr>
          <w:p w:rsidR="00B53F21" w:rsidRPr="00AE2A0D" w:rsidRDefault="00B53F21" w:rsidP="003F2023">
            <w:pPr>
              <w:spacing w:after="0"/>
              <w:jc w:val="center"/>
              <w:rPr>
                <w:rFonts w:cs="Arial"/>
                <w:sz w:val="18"/>
                <w:szCs w:val="18"/>
              </w:rPr>
            </w:pPr>
            <w:r w:rsidRPr="00AE2A0D">
              <w:rPr>
                <w:rFonts w:cs="Arial"/>
                <w:sz w:val="18"/>
                <w:szCs w:val="18"/>
              </w:rPr>
              <w:t>Área 5</w:t>
            </w:r>
          </w:p>
        </w:tc>
        <w:tc>
          <w:tcPr>
            <w:tcW w:w="1111" w:type="pct"/>
            <w:vAlign w:val="bottom"/>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Câmera 2</w:t>
            </w:r>
          </w:p>
        </w:tc>
        <w:tc>
          <w:tcPr>
            <w:tcW w:w="887" w:type="pct"/>
            <w:vAlign w:val="bottom"/>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369304 m E</w:t>
            </w:r>
          </w:p>
        </w:tc>
        <w:tc>
          <w:tcPr>
            <w:tcW w:w="780" w:type="pct"/>
            <w:vAlign w:val="bottom"/>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7443173 m S</w:t>
            </w:r>
          </w:p>
        </w:tc>
      </w:tr>
      <w:tr w:rsidR="00B53F21" w:rsidRPr="00AE2A0D" w:rsidTr="003F2023">
        <w:trPr>
          <w:trHeight w:val="240"/>
        </w:trPr>
        <w:tc>
          <w:tcPr>
            <w:tcW w:w="1111" w:type="pct"/>
            <w:vMerge w:val="restart"/>
            <w:vAlign w:val="center"/>
          </w:tcPr>
          <w:p w:rsidR="00B53F21" w:rsidRPr="00872D76" w:rsidRDefault="00B53F21" w:rsidP="003F2023">
            <w:pPr>
              <w:spacing w:after="0"/>
              <w:jc w:val="left"/>
              <w:rPr>
                <w:rFonts w:cs="Arial"/>
                <w:color w:val="000000"/>
                <w:sz w:val="18"/>
                <w:szCs w:val="18"/>
              </w:rPr>
            </w:pPr>
            <w:r w:rsidRPr="00872D76">
              <w:rPr>
                <w:rFonts w:cs="Arial"/>
                <w:sz w:val="18"/>
                <w:szCs w:val="18"/>
              </w:rPr>
              <w:t>Igaratá e Nazaré Paulista, SP</w:t>
            </w:r>
          </w:p>
        </w:tc>
        <w:tc>
          <w:tcPr>
            <w:tcW w:w="1111" w:type="pct"/>
            <w:vAlign w:val="center"/>
          </w:tcPr>
          <w:p w:rsidR="00B53F21" w:rsidRPr="00AE2A0D" w:rsidRDefault="00B53F21" w:rsidP="003F2023">
            <w:pPr>
              <w:spacing w:after="0"/>
              <w:jc w:val="center"/>
              <w:rPr>
                <w:rFonts w:cs="Arial"/>
                <w:sz w:val="18"/>
                <w:szCs w:val="18"/>
              </w:rPr>
            </w:pPr>
            <w:r w:rsidRPr="00AE2A0D">
              <w:rPr>
                <w:rFonts w:cs="Arial"/>
                <w:sz w:val="18"/>
                <w:szCs w:val="18"/>
              </w:rPr>
              <w:t>Área 4</w:t>
            </w:r>
          </w:p>
        </w:tc>
        <w:tc>
          <w:tcPr>
            <w:tcW w:w="1111" w:type="pct"/>
            <w:vAlign w:val="bottom"/>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Câmera 3</w:t>
            </w:r>
          </w:p>
        </w:tc>
        <w:tc>
          <w:tcPr>
            <w:tcW w:w="887" w:type="pct"/>
            <w:vAlign w:val="bottom"/>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372035 m E</w:t>
            </w:r>
          </w:p>
        </w:tc>
        <w:tc>
          <w:tcPr>
            <w:tcW w:w="780" w:type="pct"/>
            <w:vAlign w:val="bottom"/>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7439609 m S</w:t>
            </w:r>
          </w:p>
        </w:tc>
      </w:tr>
      <w:tr w:rsidR="00B53F21" w:rsidRPr="00AE2A0D" w:rsidTr="003F2023">
        <w:trPr>
          <w:trHeight w:val="240"/>
        </w:trPr>
        <w:tc>
          <w:tcPr>
            <w:tcW w:w="1111" w:type="pct"/>
            <w:vMerge/>
          </w:tcPr>
          <w:p w:rsidR="00B53F21" w:rsidRPr="00872D76" w:rsidRDefault="00B53F21" w:rsidP="003F2023">
            <w:pPr>
              <w:spacing w:after="0"/>
              <w:jc w:val="left"/>
              <w:rPr>
                <w:rFonts w:cs="Arial"/>
                <w:color w:val="000000"/>
                <w:sz w:val="18"/>
                <w:szCs w:val="18"/>
              </w:rPr>
            </w:pPr>
          </w:p>
        </w:tc>
        <w:tc>
          <w:tcPr>
            <w:tcW w:w="1111" w:type="pct"/>
            <w:vAlign w:val="center"/>
          </w:tcPr>
          <w:p w:rsidR="00B53F21" w:rsidRPr="00AE2A0D" w:rsidRDefault="00B53F21" w:rsidP="003F2023">
            <w:pPr>
              <w:spacing w:after="0"/>
              <w:jc w:val="center"/>
              <w:rPr>
                <w:rFonts w:cs="Arial"/>
                <w:sz w:val="18"/>
                <w:szCs w:val="18"/>
              </w:rPr>
            </w:pPr>
            <w:r w:rsidRPr="00AE2A0D">
              <w:rPr>
                <w:rFonts w:cs="Arial"/>
                <w:sz w:val="18"/>
                <w:szCs w:val="18"/>
              </w:rPr>
              <w:t>Área 4</w:t>
            </w:r>
          </w:p>
        </w:tc>
        <w:tc>
          <w:tcPr>
            <w:tcW w:w="1111" w:type="pct"/>
            <w:vAlign w:val="bottom"/>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Câmera 4</w:t>
            </w:r>
          </w:p>
        </w:tc>
        <w:tc>
          <w:tcPr>
            <w:tcW w:w="887" w:type="pct"/>
            <w:vAlign w:val="bottom"/>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372452 m E</w:t>
            </w:r>
          </w:p>
        </w:tc>
        <w:tc>
          <w:tcPr>
            <w:tcW w:w="780" w:type="pct"/>
            <w:vAlign w:val="bottom"/>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7439960 m S</w:t>
            </w:r>
          </w:p>
        </w:tc>
      </w:tr>
      <w:tr w:rsidR="00B53F21" w:rsidRPr="00AE2A0D" w:rsidTr="003F2023">
        <w:trPr>
          <w:trHeight w:val="240"/>
        </w:trPr>
        <w:tc>
          <w:tcPr>
            <w:tcW w:w="1111" w:type="pct"/>
            <w:vMerge w:val="restart"/>
            <w:vAlign w:val="center"/>
          </w:tcPr>
          <w:p w:rsidR="00B53F21" w:rsidRPr="00872D76" w:rsidRDefault="00B53F21" w:rsidP="003F2023">
            <w:pPr>
              <w:spacing w:after="0"/>
              <w:jc w:val="left"/>
              <w:rPr>
                <w:rFonts w:eastAsia="Calibri" w:cs="Arial"/>
                <w:color w:val="000000"/>
                <w:sz w:val="18"/>
                <w:szCs w:val="18"/>
              </w:rPr>
            </w:pPr>
            <w:r w:rsidRPr="00872D76">
              <w:rPr>
                <w:rFonts w:cs="Arial"/>
                <w:sz w:val="18"/>
                <w:szCs w:val="18"/>
              </w:rPr>
              <w:t>Igaratá, SP</w:t>
            </w:r>
          </w:p>
        </w:tc>
        <w:tc>
          <w:tcPr>
            <w:tcW w:w="1111" w:type="pct"/>
            <w:vAlign w:val="center"/>
          </w:tcPr>
          <w:p w:rsidR="00B53F21" w:rsidRPr="00AE2A0D" w:rsidRDefault="00B53F21" w:rsidP="003F2023">
            <w:pPr>
              <w:spacing w:after="0"/>
              <w:jc w:val="center"/>
              <w:rPr>
                <w:rFonts w:cs="Arial"/>
                <w:sz w:val="18"/>
                <w:szCs w:val="18"/>
              </w:rPr>
            </w:pPr>
            <w:r w:rsidRPr="00AE2A0D">
              <w:rPr>
                <w:rFonts w:cs="Arial"/>
                <w:sz w:val="18"/>
                <w:szCs w:val="18"/>
              </w:rPr>
              <w:t>Área 3</w:t>
            </w:r>
          </w:p>
        </w:tc>
        <w:tc>
          <w:tcPr>
            <w:tcW w:w="1111" w:type="pct"/>
            <w:vAlign w:val="bottom"/>
            <w:hideMark/>
          </w:tcPr>
          <w:p w:rsidR="00B53F21" w:rsidRPr="00AE2A0D" w:rsidRDefault="00B53F21" w:rsidP="003F2023">
            <w:pPr>
              <w:spacing w:after="0"/>
              <w:jc w:val="center"/>
              <w:rPr>
                <w:rFonts w:eastAsia="Calibri" w:cs="Arial"/>
                <w:color w:val="000000"/>
                <w:sz w:val="18"/>
                <w:szCs w:val="18"/>
              </w:rPr>
            </w:pPr>
            <w:r w:rsidRPr="00AE2A0D">
              <w:rPr>
                <w:rFonts w:eastAsia="Calibri" w:cs="Arial"/>
                <w:color w:val="000000"/>
                <w:sz w:val="18"/>
                <w:szCs w:val="18"/>
              </w:rPr>
              <w:t>Câmera 5</w:t>
            </w:r>
          </w:p>
        </w:tc>
        <w:tc>
          <w:tcPr>
            <w:tcW w:w="887" w:type="pct"/>
            <w:vAlign w:val="bottom"/>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374204 m E</w:t>
            </w:r>
          </w:p>
        </w:tc>
        <w:tc>
          <w:tcPr>
            <w:tcW w:w="780" w:type="pct"/>
            <w:vAlign w:val="bottom"/>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7438854 m S</w:t>
            </w:r>
          </w:p>
        </w:tc>
      </w:tr>
      <w:tr w:rsidR="00B53F21" w:rsidRPr="00AE2A0D" w:rsidTr="003F2023">
        <w:trPr>
          <w:trHeight w:val="240"/>
        </w:trPr>
        <w:tc>
          <w:tcPr>
            <w:tcW w:w="1111" w:type="pct"/>
            <w:vMerge/>
            <w:vAlign w:val="center"/>
          </w:tcPr>
          <w:p w:rsidR="00B53F21" w:rsidRPr="00872D76" w:rsidRDefault="00B53F21" w:rsidP="003F2023">
            <w:pPr>
              <w:spacing w:after="0"/>
              <w:jc w:val="left"/>
              <w:rPr>
                <w:rFonts w:eastAsia="Calibri" w:cs="Arial"/>
                <w:color w:val="000000"/>
                <w:sz w:val="18"/>
                <w:szCs w:val="18"/>
              </w:rPr>
            </w:pPr>
          </w:p>
        </w:tc>
        <w:tc>
          <w:tcPr>
            <w:tcW w:w="1111" w:type="pct"/>
            <w:vAlign w:val="center"/>
          </w:tcPr>
          <w:p w:rsidR="00B53F21" w:rsidRPr="00AE2A0D" w:rsidRDefault="00B53F21" w:rsidP="003F2023">
            <w:pPr>
              <w:spacing w:after="0"/>
              <w:jc w:val="center"/>
              <w:rPr>
                <w:rFonts w:cs="Arial"/>
                <w:sz w:val="18"/>
                <w:szCs w:val="18"/>
              </w:rPr>
            </w:pPr>
            <w:r w:rsidRPr="00AE2A0D">
              <w:rPr>
                <w:rFonts w:cs="Arial"/>
                <w:sz w:val="18"/>
                <w:szCs w:val="18"/>
              </w:rPr>
              <w:t>Área 3</w:t>
            </w:r>
          </w:p>
        </w:tc>
        <w:tc>
          <w:tcPr>
            <w:tcW w:w="1111" w:type="pct"/>
            <w:vAlign w:val="bottom"/>
            <w:hideMark/>
          </w:tcPr>
          <w:p w:rsidR="00B53F21" w:rsidRPr="00AE2A0D" w:rsidRDefault="00B53F21" w:rsidP="003F2023">
            <w:pPr>
              <w:spacing w:after="0"/>
              <w:jc w:val="center"/>
              <w:rPr>
                <w:rFonts w:eastAsia="Calibri" w:cs="Arial"/>
                <w:color w:val="000000"/>
                <w:sz w:val="18"/>
                <w:szCs w:val="18"/>
              </w:rPr>
            </w:pPr>
            <w:r w:rsidRPr="00AE2A0D">
              <w:rPr>
                <w:rFonts w:eastAsia="Calibri" w:cs="Arial"/>
                <w:color w:val="000000"/>
                <w:sz w:val="18"/>
                <w:szCs w:val="18"/>
              </w:rPr>
              <w:t>Câmera 6</w:t>
            </w:r>
          </w:p>
        </w:tc>
        <w:tc>
          <w:tcPr>
            <w:tcW w:w="887" w:type="pct"/>
            <w:vAlign w:val="bottom"/>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374425 m E</w:t>
            </w:r>
          </w:p>
        </w:tc>
        <w:tc>
          <w:tcPr>
            <w:tcW w:w="780" w:type="pct"/>
            <w:vAlign w:val="bottom"/>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7438755 m S</w:t>
            </w:r>
          </w:p>
        </w:tc>
      </w:tr>
      <w:tr w:rsidR="00B53F21" w:rsidRPr="00AE2A0D" w:rsidTr="003F2023">
        <w:trPr>
          <w:trHeight w:val="240"/>
        </w:trPr>
        <w:tc>
          <w:tcPr>
            <w:tcW w:w="1111" w:type="pct"/>
            <w:vMerge w:val="restart"/>
            <w:vAlign w:val="center"/>
          </w:tcPr>
          <w:p w:rsidR="00B53F21" w:rsidRPr="00872D76" w:rsidRDefault="00B53F21" w:rsidP="003F2023">
            <w:pPr>
              <w:spacing w:after="0"/>
              <w:jc w:val="left"/>
              <w:rPr>
                <w:rFonts w:eastAsia="Calibri" w:cs="Arial"/>
                <w:color w:val="000000"/>
                <w:sz w:val="18"/>
                <w:szCs w:val="18"/>
              </w:rPr>
            </w:pPr>
            <w:r w:rsidRPr="00872D76">
              <w:rPr>
                <w:rFonts w:cs="Arial"/>
                <w:sz w:val="18"/>
                <w:szCs w:val="18"/>
              </w:rPr>
              <w:t>Igaratá, SP</w:t>
            </w:r>
          </w:p>
        </w:tc>
        <w:tc>
          <w:tcPr>
            <w:tcW w:w="1111" w:type="pct"/>
          </w:tcPr>
          <w:p w:rsidR="00B53F21" w:rsidRPr="00AE2A0D" w:rsidRDefault="00B53F21" w:rsidP="003F2023">
            <w:pPr>
              <w:spacing w:after="0"/>
              <w:jc w:val="center"/>
              <w:rPr>
                <w:rFonts w:eastAsia="Calibri" w:cs="Arial"/>
                <w:color w:val="000000"/>
                <w:sz w:val="18"/>
                <w:szCs w:val="18"/>
              </w:rPr>
            </w:pPr>
            <w:r w:rsidRPr="00AE2A0D">
              <w:rPr>
                <w:rFonts w:eastAsia="Calibri" w:cs="Arial"/>
                <w:color w:val="000000"/>
                <w:sz w:val="18"/>
                <w:szCs w:val="18"/>
              </w:rPr>
              <w:t>Área 2</w:t>
            </w:r>
          </w:p>
        </w:tc>
        <w:tc>
          <w:tcPr>
            <w:tcW w:w="1111" w:type="pct"/>
            <w:vAlign w:val="center"/>
          </w:tcPr>
          <w:p w:rsidR="00B53F21" w:rsidRPr="00AE2A0D" w:rsidRDefault="00B53F21" w:rsidP="003F2023">
            <w:pPr>
              <w:spacing w:after="0"/>
              <w:jc w:val="center"/>
              <w:rPr>
                <w:rFonts w:cs="Arial"/>
                <w:sz w:val="18"/>
                <w:szCs w:val="18"/>
              </w:rPr>
            </w:pPr>
            <w:r w:rsidRPr="00AE2A0D">
              <w:rPr>
                <w:rFonts w:eastAsia="Calibri" w:cs="Arial"/>
                <w:color w:val="000000"/>
                <w:sz w:val="18"/>
                <w:szCs w:val="18"/>
              </w:rPr>
              <w:t>Câmera 7</w:t>
            </w:r>
          </w:p>
        </w:tc>
        <w:tc>
          <w:tcPr>
            <w:tcW w:w="887" w:type="pct"/>
            <w:vAlign w:val="bottom"/>
          </w:tcPr>
          <w:p w:rsidR="00B53F21" w:rsidRPr="00AE2A0D" w:rsidRDefault="00B53F21" w:rsidP="003F2023">
            <w:pPr>
              <w:spacing w:after="0"/>
              <w:jc w:val="center"/>
              <w:rPr>
                <w:rFonts w:cs="Arial"/>
                <w:color w:val="000000"/>
                <w:sz w:val="18"/>
                <w:szCs w:val="18"/>
              </w:rPr>
            </w:pPr>
            <w:r w:rsidRPr="00AE2A0D">
              <w:rPr>
                <w:rFonts w:cs="Arial"/>
                <w:color w:val="000000"/>
                <w:sz w:val="18"/>
                <w:szCs w:val="18"/>
              </w:rPr>
              <w:t>375643 m E</w:t>
            </w:r>
          </w:p>
        </w:tc>
        <w:tc>
          <w:tcPr>
            <w:tcW w:w="780" w:type="pct"/>
            <w:vAlign w:val="bottom"/>
          </w:tcPr>
          <w:p w:rsidR="00B53F21" w:rsidRPr="00AE2A0D" w:rsidRDefault="00B53F21" w:rsidP="003F2023">
            <w:pPr>
              <w:spacing w:after="0"/>
              <w:jc w:val="center"/>
              <w:rPr>
                <w:rFonts w:cs="Arial"/>
                <w:color w:val="000000"/>
                <w:sz w:val="18"/>
                <w:szCs w:val="18"/>
              </w:rPr>
            </w:pPr>
            <w:r w:rsidRPr="00AE2A0D">
              <w:rPr>
                <w:rFonts w:cs="Arial"/>
                <w:color w:val="000000"/>
                <w:sz w:val="18"/>
                <w:szCs w:val="18"/>
              </w:rPr>
              <w:t>7434498 m S</w:t>
            </w:r>
          </w:p>
        </w:tc>
      </w:tr>
      <w:tr w:rsidR="00B53F21" w:rsidRPr="00AE2A0D" w:rsidTr="003F2023">
        <w:trPr>
          <w:trHeight w:val="240"/>
        </w:trPr>
        <w:tc>
          <w:tcPr>
            <w:tcW w:w="1111" w:type="pct"/>
            <w:vMerge/>
            <w:vAlign w:val="center"/>
          </w:tcPr>
          <w:p w:rsidR="00B53F21" w:rsidRPr="00872D76" w:rsidRDefault="00B53F21" w:rsidP="003F2023">
            <w:pPr>
              <w:spacing w:after="0"/>
              <w:jc w:val="left"/>
              <w:rPr>
                <w:rFonts w:eastAsia="Calibri" w:cs="Arial"/>
                <w:color w:val="000000"/>
                <w:sz w:val="18"/>
                <w:szCs w:val="18"/>
              </w:rPr>
            </w:pPr>
          </w:p>
        </w:tc>
        <w:tc>
          <w:tcPr>
            <w:tcW w:w="1111" w:type="pct"/>
          </w:tcPr>
          <w:p w:rsidR="00B53F21" w:rsidRPr="00AE2A0D" w:rsidRDefault="00B53F21" w:rsidP="003F2023">
            <w:pPr>
              <w:spacing w:after="0"/>
              <w:jc w:val="center"/>
              <w:rPr>
                <w:rFonts w:eastAsia="Calibri" w:cs="Arial"/>
                <w:color w:val="000000"/>
                <w:sz w:val="18"/>
                <w:szCs w:val="18"/>
              </w:rPr>
            </w:pPr>
            <w:r w:rsidRPr="00AE2A0D">
              <w:rPr>
                <w:rFonts w:eastAsia="Calibri" w:cs="Arial"/>
                <w:color w:val="000000"/>
                <w:sz w:val="18"/>
                <w:szCs w:val="18"/>
              </w:rPr>
              <w:t>Área 2</w:t>
            </w:r>
          </w:p>
        </w:tc>
        <w:tc>
          <w:tcPr>
            <w:tcW w:w="1111" w:type="pct"/>
            <w:vAlign w:val="center"/>
          </w:tcPr>
          <w:p w:rsidR="00B53F21" w:rsidRPr="00AE2A0D" w:rsidRDefault="00B53F21" w:rsidP="003F2023">
            <w:pPr>
              <w:spacing w:after="0"/>
              <w:jc w:val="center"/>
              <w:rPr>
                <w:rFonts w:cs="Arial"/>
                <w:sz w:val="18"/>
                <w:szCs w:val="18"/>
              </w:rPr>
            </w:pPr>
            <w:r w:rsidRPr="00AE2A0D">
              <w:rPr>
                <w:rFonts w:eastAsia="Calibri" w:cs="Arial"/>
                <w:color w:val="000000"/>
                <w:sz w:val="18"/>
                <w:szCs w:val="18"/>
              </w:rPr>
              <w:t>Câmera 8</w:t>
            </w:r>
          </w:p>
        </w:tc>
        <w:tc>
          <w:tcPr>
            <w:tcW w:w="887" w:type="pct"/>
            <w:vAlign w:val="bottom"/>
          </w:tcPr>
          <w:p w:rsidR="00B53F21" w:rsidRPr="00AE2A0D" w:rsidRDefault="00B53F21" w:rsidP="003F2023">
            <w:pPr>
              <w:spacing w:after="0"/>
              <w:jc w:val="center"/>
              <w:rPr>
                <w:rFonts w:cs="Arial"/>
                <w:color w:val="000000"/>
                <w:sz w:val="18"/>
                <w:szCs w:val="18"/>
              </w:rPr>
            </w:pPr>
            <w:r w:rsidRPr="00AE2A0D">
              <w:rPr>
                <w:rFonts w:cs="Arial"/>
                <w:color w:val="000000"/>
                <w:sz w:val="18"/>
                <w:szCs w:val="18"/>
              </w:rPr>
              <w:t>375827 m E</w:t>
            </w:r>
          </w:p>
        </w:tc>
        <w:tc>
          <w:tcPr>
            <w:tcW w:w="780" w:type="pct"/>
            <w:vAlign w:val="bottom"/>
          </w:tcPr>
          <w:p w:rsidR="00B53F21" w:rsidRPr="00AE2A0D" w:rsidRDefault="00B53F21" w:rsidP="003F2023">
            <w:pPr>
              <w:spacing w:after="0"/>
              <w:jc w:val="center"/>
              <w:rPr>
                <w:rFonts w:cs="Arial"/>
                <w:color w:val="000000"/>
                <w:sz w:val="18"/>
                <w:szCs w:val="18"/>
              </w:rPr>
            </w:pPr>
            <w:r w:rsidRPr="00AE2A0D">
              <w:rPr>
                <w:rFonts w:cs="Arial"/>
                <w:color w:val="000000"/>
                <w:sz w:val="18"/>
                <w:szCs w:val="18"/>
              </w:rPr>
              <w:t>7434337 m S</w:t>
            </w:r>
          </w:p>
        </w:tc>
      </w:tr>
      <w:tr w:rsidR="00B53F21" w:rsidRPr="00AE2A0D" w:rsidTr="003F2023">
        <w:trPr>
          <w:trHeight w:val="240"/>
        </w:trPr>
        <w:tc>
          <w:tcPr>
            <w:tcW w:w="1111" w:type="pct"/>
            <w:vMerge w:val="restart"/>
            <w:vAlign w:val="center"/>
          </w:tcPr>
          <w:p w:rsidR="00B53F21" w:rsidRPr="00872D76" w:rsidRDefault="00B53F21" w:rsidP="003F2023">
            <w:pPr>
              <w:spacing w:after="0"/>
              <w:jc w:val="left"/>
              <w:rPr>
                <w:rFonts w:eastAsia="Calibri" w:cs="Arial"/>
                <w:color w:val="000000"/>
                <w:sz w:val="18"/>
                <w:szCs w:val="18"/>
              </w:rPr>
            </w:pPr>
            <w:r w:rsidRPr="00872D76">
              <w:rPr>
                <w:rFonts w:cs="Arial"/>
                <w:sz w:val="18"/>
                <w:szCs w:val="18"/>
              </w:rPr>
              <w:t>Santa Isabel, SP</w:t>
            </w:r>
          </w:p>
        </w:tc>
        <w:tc>
          <w:tcPr>
            <w:tcW w:w="1111" w:type="pct"/>
          </w:tcPr>
          <w:p w:rsidR="00B53F21" w:rsidRPr="00AE2A0D" w:rsidRDefault="00B53F21" w:rsidP="003F2023">
            <w:pPr>
              <w:spacing w:after="0"/>
              <w:jc w:val="center"/>
              <w:rPr>
                <w:rFonts w:eastAsia="Calibri" w:cs="Arial"/>
                <w:color w:val="000000"/>
                <w:sz w:val="18"/>
                <w:szCs w:val="18"/>
              </w:rPr>
            </w:pPr>
            <w:r w:rsidRPr="00AE2A0D">
              <w:rPr>
                <w:rFonts w:eastAsia="Calibri" w:cs="Arial"/>
                <w:color w:val="000000"/>
                <w:sz w:val="18"/>
                <w:szCs w:val="18"/>
              </w:rPr>
              <w:t>Área 1</w:t>
            </w:r>
          </w:p>
        </w:tc>
        <w:tc>
          <w:tcPr>
            <w:tcW w:w="1111" w:type="pct"/>
            <w:vAlign w:val="center"/>
          </w:tcPr>
          <w:p w:rsidR="00B53F21" w:rsidRPr="00AE2A0D" w:rsidRDefault="00B53F21" w:rsidP="003F2023">
            <w:pPr>
              <w:spacing w:after="0"/>
              <w:jc w:val="center"/>
              <w:rPr>
                <w:rFonts w:cs="Arial"/>
                <w:sz w:val="18"/>
                <w:szCs w:val="18"/>
              </w:rPr>
            </w:pPr>
            <w:r w:rsidRPr="00AE2A0D">
              <w:rPr>
                <w:rFonts w:eastAsia="Calibri" w:cs="Arial"/>
                <w:color w:val="000000"/>
                <w:sz w:val="18"/>
                <w:szCs w:val="18"/>
              </w:rPr>
              <w:t>Câmera 9</w:t>
            </w:r>
          </w:p>
        </w:tc>
        <w:tc>
          <w:tcPr>
            <w:tcW w:w="887" w:type="pct"/>
            <w:vAlign w:val="bottom"/>
          </w:tcPr>
          <w:p w:rsidR="00B53F21" w:rsidRPr="00AE2A0D" w:rsidRDefault="00B53F21" w:rsidP="003F2023">
            <w:pPr>
              <w:spacing w:after="0"/>
              <w:jc w:val="center"/>
              <w:rPr>
                <w:rFonts w:cs="Arial"/>
                <w:color w:val="000000"/>
                <w:sz w:val="18"/>
                <w:szCs w:val="18"/>
              </w:rPr>
            </w:pPr>
            <w:r w:rsidRPr="00AE2A0D">
              <w:rPr>
                <w:rFonts w:cs="Arial"/>
                <w:color w:val="000000"/>
                <w:sz w:val="18"/>
                <w:szCs w:val="18"/>
              </w:rPr>
              <w:t>379389 m E</w:t>
            </w:r>
          </w:p>
        </w:tc>
        <w:tc>
          <w:tcPr>
            <w:tcW w:w="780" w:type="pct"/>
            <w:vAlign w:val="bottom"/>
          </w:tcPr>
          <w:p w:rsidR="00B53F21" w:rsidRPr="00AE2A0D" w:rsidRDefault="00B53F21" w:rsidP="003F2023">
            <w:pPr>
              <w:spacing w:after="0"/>
              <w:jc w:val="center"/>
              <w:rPr>
                <w:rFonts w:cs="Arial"/>
                <w:color w:val="000000"/>
                <w:sz w:val="18"/>
                <w:szCs w:val="18"/>
              </w:rPr>
            </w:pPr>
            <w:r w:rsidRPr="00AE2A0D">
              <w:rPr>
                <w:rFonts w:cs="Arial"/>
                <w:color w:val="000000"/>
                <w:sz w:val="18"/>
                <w:szCs w:val="18"/>
              </w:rPr>
              <w:t>7429716 m S</w:t>
            </w:r>
          </w:p>
        </w:tc>
      </w:tr>
      <w:tr w:rsidR="00B53F21" w:rsidRPr="00AE2A0D" w:rsidTr="003F2023">
        <w:trPr>
          <w:trHeight w:val="240"/>
        </w:trPr>
        <w:tc>
          <w:tcPr>
            <w:tcW w:w="1111" w:type="pct"/>
            <w:vMerge/>
          </w:tcPr>
          <w:p w:rsidR="00B53F21" w:rsidRPr="00AE2A0D" w:rsidRDefault="00B53F21" w:rsidP="003F2023">
            <w:pPr>
              <w:spacing w:after="0"/>
              <w:jc w:val="center"/>
              <w:rPr>
                <w:rFonts w:eastAsia="Calibri" w:cs="Arial"/>
                <w:color w:val="000000"/>
                <w:sz w:val="18"/>
                <w:szCs w:val="18"/>
              </w:rPr>
            </w:pPr>
          </w:p>
        </w:tc>
        <w:tc>
          <w:tcPr>
            <w:tcW w:w="1111" w:type="pct"/>
          </w:tcPr>
          <w:p w:rsidR="00B53F21" w:rsidRPr="00AE2A0D" w:rsidRDefault="00B53F21" w:rsidP="003F2023">
            <w:pPr>
              <w:spacing w:after="0"/>
              <w:jc w:val="center"/>
              <w:rPr>
                <w:rFonts w:eastAsia="Calibri" w:cs="Arial"/>
                <w:color w:val="000000"/>
                <w:sz w:val="18"/>
                <w:szCs w:val="18"/>
              </w:rPr>
            </w:pPr>
            <w:r w:rsidRPr="00AE2A0D">
              <w:rPr>
                <w:rFonts w:eastAsia="Calibri" w:cs="Arial"/>
                <w:color w:val="000000"/>
                <w:sz w:val="18"/>
                <w:szCs w:val="18"/>
              </w:rPr>
              <w:t>Área 1</w:t>
            </w:r>
          </w:p>
        </w:tc>
        <w:tc>
          <w:tcPr>
            <w:tcW w:w="1111" w:type="pct"/>
            <w:vAlign w:val="center"/>
          </w:tcPr>
          <w:p w:rsidR="00B53F21" w:rsidRPr="00AE2A0D" w:rsidRDefault="00B53F21" w:rsidP="003F2023">
            <w:pPr>
              <w:spacing w:after="0"/>
              <w:jc w:val="center"/>
              <w:rPr>
                <w:rFonts w:cs="Arial"/>
                <w:sz w:val="18"/>
                <w:szCs w:val="18"/>
              </w:rPr>
            </w:pPr>
            <w:r w:rsidRPr="00AE2A0D">
              <w:rPr>
                <w:rFonts w:eastAsia="Calibri" w:cs="Arial"/>
                <w:color w:val="000000"/>
                <w:sz w:val="18"/>
                <w:szCs w:val="18"/>
              </w:rPr>
              <w:t>Câmera 10</w:t>
            </w:r>
          </w:p>
        </w:tc>
        <w:tc>
          <w:tcPr>
            <w:tcW w:w="887" w:type="pct"/>
            <w:vAlign w:val="bottom"/>
          </w:tcPr>
          <w:p w:rsidR="00B53F21" w:rsidRPr="00AE2A0D" w:rsidRDefault="00B53F21" w:rsidP="003F2023">
            <w:pPr>
              <w:spacing w:after="0"/>
              <w:jc w:val="center"/>
              <w:rPr>
                <w:rFonts w:cs="Arial"/>
                <w:color w:val="000000"/>
                <w:sz w:val="18"/>
                <w:szCs w:val="18"/>
              </w:rPr>
            </w:pPr>
            <w:r w:rsidRPr="00AE2A0D">
              <w:rPr>
                <w:rFonts w:cs="Arial"/>
                <w:color w:val="000000"/>
                <w:sz w:val="18"/>
                <w:szCs w:val="18"/>
              </w:rPr>
              <w:t>379642 m E</w:t>
            </w:r>
          </w:p>
        </w:tc>
        <w:tc>
          <w:tcPr>
            <w:tcW w:w="780" w:type="pct"/>
            <w:vAlign w:val="bottom"/>
          </w:tcPr>
          <w:p w:rsidR="00B53F21" w:rsidRPr="00AE2A0D" w:rsidRDefault="00B53F21" w:rsidP="003F2023">
            <w:pPr>
              <w:spacing w:after="0"/>
              <w:jc w:val="center"/>
              <w:rPr>
                <w:rFonts w:cs="Arial"/>
                <w:color w:val="000000"/>
                <w:sz w:val="18"/>
                <w:szCs w:val="18"/>
              </w:rPr>
            </w:pPr>
            <w:r w:rsidRPr="00AE2A0D">
              <w:rPr>
                <w:rFonts w:cs="Arial"/>
                <w:color w:val="000000"/>
                <w:sz w:val="18"/>
                <w:szCs w:val="18"/>
              </w:rPr>
              <w:t>7429916 m S</w:t>
            </w:r>
          </w:p>
        </w:tc>
      </w:tr>
    </w:tbl>
    <w:p w:rsidR="00B53F21" w:rsidRPr="00AE2A0D" w:rsidRDefault="00B53F21" w:rsidP="00B53F21">
      <w:pPr>
        <w:tabs>
          <w:tab w:val="left" w:pos="1380"/>
        </w:tabs>
        <w:spacing w:after="0" w:line="360" w:lineRule="auto"/>
        <w:rPr>
          <w:rFonts w:eastAsia="Calibri" w:cs="Arial"/>
          <w:i/>
          <w:u w:val="single"/>
        </w:rPr>
      </w:pPr>
    </w:p>
    <w:tbl>
      <w:tblPr>
        <w:tblW w:w="5000" w:type="pct"/>
        <w:tblLook w:val="04A0" w:firstRow="1" w:lastRow="0" w:firstColumn="1" w:lastColumn="0" w:noHBand="0" w:noVBand="1"/>
      </w:tblPr>
      <w:tblGrid>
        <w:gridCol w:w="4677"/>
        <w:gridCol w:w="4677"/>
      </w:tblGrid>
      <w:tr w:rsidR="00B53F21" w:rsidRPr="00AE2A0D" w:rsidTr="003F2023">
        <w:tc>
          <w:tcPr>
            <w:tcW w:w="2500" w:type="pct"/>
            <w:hideMark/>
          </w:tcPr>
          <w:p w:rsidR="00B53F21" w:rsidRPr="00AE2A0D" w:rsidRDefault="00B53F21" w:rsidP="00AC1EDF">
            <w:pPr>
              <w:tabs>
                <w:tab w:val="left" w:pos="1380"/>
              </w:tabs>
              <w:rPr>
                <w:rFonts w:eastAsia="Calibri" w:cs="Arial"/>
                <w:i/>
                <w:szCs w:val="24"/>
                <w:u w:val="single"/>
              </w:rPr>
            </w:pPr>
            <w:r w:rsidRPr="00AE2A0D">
              <w:rPr>
                <w:rFonts w:eastAsia="Calibri" w:cs="Arial"/>
                <w:i/>
                <w:noProof/>
                <w:lang w:eastAsia="pt-BR"/>
              </w:rPr>
              <w:drawing>
                <wp:inline distT="0" distB="0" distL="0" distR="0" wp14:anchorId="35E60C98" wp14:editId="557DFABC">
                  <wp:extent cx="2781300" cy="2085975"/>
                  <wp:effectExtent l="0" t="0" r="0" b="9525"/>
                  <wp:docPr id="160" name="Imagem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rmadilha fotográfica"/>
                          <pic:cNvPicPr>
                            <a:picLocks noChangeAspect="1" noChangeArrowheads="1"/>
                          </pic:cNvPicPr>
                        </pic:nvPicPr>
                        <pic:blipFill>
                          <a:blip r:embed="rId103" cstate="print">
                            <a:extLst>
                              <a:ext uri="{28A0092B-C50C-407E-A947-70E740481C1C}">
                                <a14:useLocalDpi xmlns:a14="http://schemas.microsoft.com/office/drawing/2010/main" val="0"/>
                              </a:ext>
                            </a:extLst>
                          </a:blip>
                          <a:stretch>
                            <a:fillRect/>
                          </a:stretch>
                        </pic:blipFill>
                        <pic:spPr bwMode="auto">
                          <a:xfrm>
                            <a:off x="0" y="0"/>
                            <a:ext cx="2781300" cy="2085975"/>
                          </a:xfrm>
                          <a:prstGeom prst="rect">
                            <a:avLst/>
                          </a:prstGeom>
                          <a:noFill/>
                          <a:ln>
                            <a:noFill/>
                          </a:ln>
                        </pic:spPr>
                      </pic:pic>
                    </a:graphicData>
                  </a:graphic>
                </wp:inline>
              </w:drawing>
            </w:r>
          </w:p>
        </w:tc>
        <w:tc>
          <w:tcPr>
            <w:tcW w:w="2500" w:type="pct"/>
            <w:hideMark/>
          </w:tcPr>
          <w:p w:rsidR="00B53F21" w:rsidRPr="00AE2A0D" w:rsidRDefault="00B53F21" w:rsidP="00AC1EDF">
            <w:pPr>
              <w:tabs>
                <w:tab w:val="left" w:pos="1380"/>
              </w:tabs>
              <w:rPr>
                <w:rFonts w:eastAsia="Calibri" w:cs="Arial"/>
                <w:i/>
                <w:szCs w:val="24"/>
                <w:u w:val="single"/>
              </w:rPr>
            </w:pPr>
            <w:r w:rsidRPr="00AE2A0D">
              <w:rPr>
                <w:rFonts w:eastAsia="Calibri" w:cs="Arial"/>
                <w:i/>
                <w:noProof/>
                <w:lang w:eastAsia="pt-BR"/>
              </w:rPr>
              <w:drawing>
                <wp:inline distT="0" distB="0" distL="0" distR="0" wp14:anchorId="5D08DE21" wp14:editId="383E7E0B">
                  <wp:extent cx="2762250" cy="2071687"/>
                  <wp:effectExtent l="0" t="0" r="0" b="5080"/>
                  <wp:docPr id="161" name="Imagem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rmadilha com isca"/>
                          <pic:cNvPicPr>
                            <a:picLocks noChangeAspect="1" noChangeArrowheads="1"/>
                          </pic:cNvPicPr>
                        </pic:nvPicPr>
                        <pic:blipFill>
                          <a:blip r:embed="rId104" cstate="print">
                            <a:extLst>
                              <a:ext uri="{28A0092B-C50C-407E-A947-70E740481C1C}">
                                <a14:useLocalDpi xmlns:a14="http://schemas.microsoft.com/office/drawing/2010/main" val="0"/>
                              </a:ext>
                            </a:extLst>
                          </a:blip>
                          <a:stretch>
                            <a:fillRect/>
                          </a:stretch>
                        </pic:blipFill>
                        <pic:spPr bwMode="auto">
                          <a:xfrm>
                            <a:off x="0" y="0"/>
                            <a:ext cx="2762250" cy="2071687"/>
                          </a:xfrm>
                          <a:prstGeom prst="rect">
                            <a:avLst/>
                          </a:prstGeom>
                          <a:noFill/>
                          <a:ln>
                            <a:noFill/>
                          </a:ln>
                        </pic:spPr>
                      </pic:pic>
                    </a:graphicData>
                  </a:graphic>
                </wp:inline>
              </w:drawing>
            </w:r>
          </w:p>
        </w:tc>
      </w:tr>
      <w:tr w:rsidR="000A6ED0" w:rsidRPr="00AC1EDF" w:rsidTr="000A6ED0">
        <w:tc>
          <w:tcPr>
            <w:tcW w:w="5000" w:type="pct"/>
            <w:gridSpan w:val="2"/>
          </w:tcPr>
          <w:p w:rsidR="000A6ED0" w:rsidRPr="00AC1EDF" w:rsidRDefault="000A6ED0" w:rsidP="004C4CC5">
            <w:pPr>
              <w:pStyle w:val="Legenda"/>
              <w:jc w:val="center"/>
              <w:rPr>
                <w:rFonts w:ascii="Arial Negrito" w:eastAsia="Arial Unicode MS" w:hAnsi="Arial Negrito" w:cs="Times New Roman"/>
                <w:smallCaps/>
                <w:snapToGrid w:val="0"/>
                <w:szCs w:val="24"/>
                <w:lang w:eastAsia="pt-BR"/>
              </w:rPr>
            </w:pPr>
            <w:bookmarkStart w:id="126" w:name="_Ref401320558"/>
            <w:r w:rsidRPr="00AC1EDF">
              <w:rPr>
                <w:rFonts w:ascii="Arial Negrito" w:eastAsia="Arial Unicode MS" w:hAnsi="Arial Negrito" w:cs="Times New Roman"/>
                <w:smallCaps/>
                <w:snapToGrid w:val="0"/>
                <w:szCs w:val="24"/>
              </w:rPr>
              <w:lastRenderedPageBreak/>
              <w:t>Figura</w:t>
            </w:r>
            <w:bookmarkEnd w:id="126"/>
            <w:r w:rsidR="00AC1EDF" w:rsidRPr="00AC1EDF">
              <w:rPr>
                <w:rFonts w:ascii="Arial Negrito" w:eastAsia="Arial Unicode MS" w:hAnsi="Arial Negrito" w:cs="Times New Roman"/>
                <w:smallCaps/>
                <w:snapToGrid w:val="0"/>
                <w:szCs w:val="24"/>
              </w:rPr>
              <w:t xml:space="preserve"> 6.4.</w:t>
            </w:r>
            <w:r w:rsidR="004C4CC5">
              <w:rPr>
                <w:rFonts w:ascii="Arial Negrito" w:eastAsia="Arial Unicode MS" w:hAnsi="Arial Negrito" w:cs="Times New Roman"/>
                <w:smallCaps/>
                <w:snapToGrid w:val="0"/>
                <w:szCs w:val="24"/>
              </w:rPr>
              <w:t>4-13.</w:t>
            </w:r>
            <w:r w:rsidRPr="00AC1EDF">
              <w:rPr>
                <w:rFonts w:ascii="Arial Negrito" w:eastAsia="Arial Unicode MS" w:hAnsi="Arial Negrito" w:cs="Times New Roman"/>
                <w:smallCaps/>
                <w:snapToGrid w:val="0"/>
                <w:szCs w:val="24"/>
              </w:rPr>
              <w:t xml:space="preserve"> Localização geográfica das armadilhas fotográficas 1 e 2 utilizadas para o Levantamento da Mastofauna nas áreas de Influência direta. </w:t>
            </w:r>
          </w:p>
        </w:tc>
      </w:tr>
      <w:tr w:rsidR="00B53F21" w:rsidRPr="00AE2A0D" w:rsidTr="003F2023">
        <w:tc>
          <w:tcPr>
            <w:tcW w:w="5000" w:type="pct"/>
            <w:gridSpan w:val="2"/>
            <w:vAlign w:val="center"/>
          </w:tcPr>
          <w:p w:rsidR="00B53F21" w:rsidRPr="00AE2A0D" w:rsidRDefault="00B53F21" w:rsidP="003F2023">
            <w:pPr>
              <w:tabs>
                <w:tab w:val="left" w:pos="1380"/>
              </w:tabs>
              <w:jc w:val="center"/>
              <w:rPr>
                <w:rFonts w:eastAsia="Calibri" w:cs="Arial"/>
                <w:i/>
                <w:szCs w:val="24"/>
                <w:u w:val="single"/>
              </w:rPr>
            </w:pPr>
            <w:r w:rsidRPr="00AE2A0D">
              <w:rPr>
                <w:rFonts w:eastAsia="Calibri" w:cs="Arial"/>
                <w:i/>
                <w:noProof/>
                <w:szCs w:val="24"/>
                <w:u w:val="single"/>
                <w:lang w:eastAsia="pt-BR"/>
              </w:rPr>
              <w:drawing>
                <wp:inline distT="0" distB="0" distL="0" distR="0" wp14:anchorId="50762E9B" wp14:editId="60E6DC81">
                  <wp:extent cx="5555102" cy="3960000"/>
                  <wp:effectExtent l="0" t="0" r="7620" b="2540"/>
                  <wp:docPr id="162" name="Imagem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55102" cy="3960000"/>
                          </a:xfrm>
                          <a:prstGeom prst="rect">
                            <a:avLst/>
                          </a:prstGeom>
                          <a:noFill/>
                        </pic:spPr>
                      </pic:pic>
                    </a:graphicData>
                  </a:graphic>
                </wp:inline>
              </w:drawing>
            </w:r>
          </w:p>
        </w:tc>
      </w:tr>
    </w:tbl>
    <w:p w:rsidR="00B53F21" w:rsidRDefault="000A6ED0" w:rsidP="000A6ED0">
      <w:pPr>
        <w:ind w:firstLine="708"/>
        <w:rPr>
          <w:rFonts w:cs="Arial"/>
          <w:sz w:val="18"/>
          <w:szCs w:val="18"/>
        </w:rPr>
      </w:pPr>
      <w:r w:rsidRPr="00AE2A0D">
        <w:rPr>
          <w:rFonts w:cs="Arial"/>
          <w:sz w:val="18"/>
          <w:szCs w:val="18"/>
        </w:rPr>
        <w:t>Fonte: Digital Globe/Google Earth (modificado).</w:t>
      </w:r>
    </w:p>
    <w:tbl>
      <w:tblPr>
        <w:tblW w:w="5000" w:type="pct"/>
        <w:tblLook w:val="04A0" w:firstRow="1" w:lastRow="0" w:firstColumn="1" w:lastColumn="0" w:noHBand="0" w:noVBand="1"/>
      </w:tblPr>
      <w:tblGrid>
        <w:gridCol w:w="9354"/>
      </w:tblGrid>
      <w:tr w:rsidR="000A6ED0" w:rsidRPr="00AC1EDF" w:rsidTr="000A6ED0">
        <w:tc>
          <w:tcPr>
            <w:tcW w:w="5000" w:type="pct"/>
            <w:vAlign w:val="center"/>
          </w:tcPr>
          <w:p w:rsidR="000A6ED0" w:rsidRPr="00AC1EDF" w:rsidRDefault="000A6ED0" w:rsidP="004C4CC5">
            <w:pPr>
              <w:pStyle w:val="Legenda"/>
              <w:jc w:val="center"/>
              <w:rPr>
                <w:rFonts w:ascii="Arial Negrito" w:eastAsia="Arial Unicode MS" w:hAnsi="Arial Negrito" w:cs="Times New Roman"/>
                <w:smallCaps/>
                <w:snapToGrid w:val="0"/>
                <w:szCs w:val="24"/>
              </w:rPr>
            </w:pPr>
            <w:bookmarkStart w:id="127" w:name="_Ref401320618"/>
            <w:r w:rsidRPr="00AC1EDF">
              <w:rPr>
                <w:rFonts w:ascii="Arial Negrito" w:eastAsia="Arial Unicode MS" w:hAnsi="Arial Negrito" w:cs="Times New Roman"/>
                <w:smallCaps/>
                <w:snapToGrid w:val="0"/>
                <w:szCs w:val="24"/>
              </w:rPr>
              <w:lastRenderedPageBreak/>
              <w:t xml:space="preserve">Figura </w:t>
            </w:r>
            <w:bookmarkEnd w:id="127"/>
            <w:r w:rsidR="00AC1EDF">
              <w:rPr>
                <w:rFonts w:ascii="Arial Negrito" w:eastAsia="Arial Unicode MS" w:hAnsi="Arial Negrito" w:cs="Times New Roman"/>
                <w:smallCaps/>
                <w:snapToGrid w:val="0"/>
                <w:szCs w:val="24"/>
              </w:rPr>
              <w:t>6.4.</w:t>
            </w:r>
            <w:r w:rsidR="004C4CC5">
              <w:rPr>
                <w:rFonts w:ascii="Arial Negrito" w:eastAsia="Arial Unicode MS" w:hAnsi="Arial Negrito" w:cs="Times New Roman"/>
                <w:smallCaps/>
                <w:snapToGrid w:val="0"/>
                <w:szCs w:val="24"/>
              </w:rPr>
              <w:t>4-14.</w:t>
            </w:r>
            <w:r w:rsidRPr="00AC1EDF">
              <w:rPr>
                <w:rFonts w:ascii="Arial Negrito" w:eastAsia="Arial Unicode MS" w:hAnsi="Arial Negrito" w:cs="Times New Roman"/>
                <w:smallCaps/>
                <w:snapToGrid w:val="0"/>
                <w:szCs w:val="24"/>
              </w:rPr>
              <w:t xml:space="preserve"> Localização geográfica das armadilhas fotográficas 3, 4, 5 e 6 utilizadas para o Levantamento da Mastofauna nas áreas de Influência direta </w:t>
            </w:r>
          </w:p>
        </w:tc>
      </w:tr>
      <w:tr w:rsidR="00B53F21" w:rsidRPr="00AE2A0D" w:rsidTr="003F2023">
        <w:tc>
          <w:tcPr>
            <w:tcW w:w="5000" w:type="pct"/>
            <w:vAlign w:val="center"/>
          </w:tcPr>
          <w:p w:rsidR="00B53F21" w:rsidRDefault="00B53F21" w:rsidP="003F2023">
            <w:pPr>
              <w:pStyle w:val="Legenda"/>
              <w:jc w:val="center"/>
            </w:pPr>
            <w:r w:rsidRPr="00AE2A0D">
              <w:rPr>
                <w:noProof/>
                <w:lang w:eastAsia="pt-BR"/>
              </w:rPr>
              <w:drawing>
                <wp:inline distT="0" distB="0" distL="0" distR="0" wp14:anchorId="13A625CB" wp14:editId="6804A9EC">
                  <wp:extent cx="5117341" cy="3600000"/>
                  <wp:effectExtent l="0" t="0" r="7620" b="635"/>
                  <wp:docPr id="163" name="Imagem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117341" cy="3600000"/>
                          </a:xfrm>
                          <a:prstGeom prst="rect">
                            <a:avLst/>
                          </a:prstGeom>
                          <a:noFill/>
                        </pic:spPr>
                      </pic:pic>
                    </a:graphicData>
                  </a:graphic>
                </wp:inline>
              </w:drawing>
            </w:r>
          </w:p>
          <w:p w:rsidR="000A6ED0" w:rsidRDefault="000A6ED0" w:rsidP="000A6ED0">
            <w:pPr>
              <w:rPr>
                <w:noProof/>
                <w:sz w:val="20"/>
                <w:lang w:eastAsia="pt-BR"/>
              </w:rPr>
            </w:pPr>
            <w:r w:rsidRPr="000A6ED0">
              <w:rPr>
                <w:noProof/>
                <w:sz w:val="20"/>
                <w:lang w:eastAsia="pt-BR"/>
              </w:rPr>
              <w:t>Fonte: Digital Globe/Google Earth (modificado).</w:t>
            </w:r>
          </w:p>
          <w:p w:rsidR="000A6ED0" w:rsidRPr="00AC1EDF" w:rsidRDefault="000A6ED0" w:rsidP="00AC1EDF">
            <w:pPr>
              <w:pStyle w:val="Legenda"/>
              <w:jc w:val="center"/>
              <w:rPr>
                <w:rFonts w:ascii="Arial Negrito" w:eastAsia="Arial Unicode MS" w:hAnsi="Arial Negrito" w:cs="Times New Roman"/>
                <w:smallCaps/>
                <w:snapToGrid w:val="0"/>
                <w:szCs w:val="24"/>
              </w:rPr>
            </w:pPr>
            <w:bookmarkStart w:id="128" w:name="_Ref386018566"/>
            <w:bookmarkStart w:id="129" w:name="_Toc386179679"/>
            <w:r w:rsidRPr="00AC1EDF">
              <w:rPr>
                <w:rFonts w:ascii="Arial Negrito" w:eastAsia="Arial Unicode MS" w:hAnsi="Arial Negrito" w:cs="Times New Roman"/>
                <w:smallCaps/>
                <w:snapToGrid w:val="0"/>
                <w:szCs w:val="24"/>
              </w:rPr>
              <w:t xml:space="preserve">Figura </w:t>
            </w:r>
            <w:r w:rsidR="00B5232B" w:rsidRPr="00AC1EDF">
              <w:rPr>
                <w:rFonts w:ascii="Arial Negrito" w:eastAsia="Arial Unicode MS" w:hAnsi="Arial Negrito" w:cs="Times New Roman"/>
                <w:smallCaps/>
                <w:snapToGrid w:val="0"/>
                <w:szCs w:val="24"/>
              </w:rPr>
              <w:fldChar w:fldCharType="begin"/>
            </w:r>
            <w:r w:rsidRPr="00AC1EDF">
              <w:rPr>
                <w:rFonts w:ascii="Arial Negrito" w:eastAsia="Arial Unicode MS" w:hAnsi="Arial Negrito" w:cs="Times New Roman"/>
                <w:smallCaps/>
                <w:snapToGrid w:val="0"/>
                <w:szCs w:val="24"/>
              </w:rPr>
              <w:instrText xml:space="preserve"> SEQ Figura \* ARABIC </w:instrText>
            </w:r>
            <w:r w:rsidR="00B5232B" w:rsidRPr="00AC1EDF">
              <w:rPr>
                <w:rFonts w:ascii="Arial Negrito" w:eastAsia="Arial Unicode MS" w:hAnsi="Arial Negrito" w:cs="Times New Roman"/>
                <w:smallCaps/>
                <w:snapToGrid w:val="0"/>
                <w:szCs w:val="24"/>
              </w:rPr>
              <w:fldChar w:fldCharType="separate"/>
            </w:r>
            <w:r w:rsidR="00AC1EDF" w:rsidRPr="00AC1EDF">
              <w:rPr>
                <w:rFonts w:ascii="Arial Negrito" w:eastAsia="Arial Unicode MS" w:hAnsi="Arial Negrito" w:cs="Times New Roman"/>
                <w:smallCaps/>
                <w:snapToGrid w:val="0"/>
                <w:szCs w:val="24"/>
              </w:rPr>
              <w:t>6.4.</w:t>
            </w:r>
            <w:r w:rsidR="004C4CC5">
              <w:rPr>
                <w:rFonts w:ascii="Arial Negrito" w:eastAsia="Arial Unicode MS" w:hAnsi="Arial Negrito" w:cs="Times New Roman"/>
                <w:smallCaps/>
                <w:snapToGrid w:val="0"/>
                <w:szCs w:val="24"/>
              </w:rPr>
              <w:t>4-15</w:t>
            </w:r>
            <w:r w:rsidR="00B5232B" w:rsidRPr="00AC1EDF">
              <w:rPr>
                <w:rFonts w:ascii="Arial Negrito" w:eastAsia="Arial Unicode MS" w:hAnsi="Arial Negrito" w:cs="Times New Roman"/>
                <w:smallCaps/>
                <w:snapToGrid w:val="0"/>
                <w:szCs w:val="24"/>
              </w:rPr>
              <w:fldChar w:fldCharType="end"/>
            </w:r>
            <w:bookmarkEnd w:id="128"/>
            <w:r w:rsidRPr="00AC1EDF">
              <w:rPr>
                <w:rFonts w:ascii="Arial Negrito" w:eastAsia="Arial Unicode MS" w:hAnsi="Arial Negrito" w:cs="Times New Roman"/>
                <w:smallCaps/>
                <w:snapToGrid w:val="0"/>
                <w:szCs w:val="24"/>
              </w:rPr>
              <w:t>. Localização geográfica das armadilhas fotográficas 7, 8, 9 e 10 utilizadas para o Levantamento da Mastofauna nas áreas de Influência direta</w:t>
            </w:r>
            <w:bookmarkEnd w:id="129"/>
          </w:p>
          <w:p w:rsidR="000A6ED0" w:rsidRPr="000A6ED0" w:rsidRDefault="000A6ED0" w:rsidP="000A6ED0"/>
        </w:tc>
      </w:tr>
      <w:tr w:rsidR="00B53F21" w:rsidRPr="00AE2A0D" w:rsidTr="003F2023">
        <w:tc>
          <w:tcPr>
            <w:tcW w:w="5000" w:type="pct"/>
            <w:vAlign w:val="center"/>
          </w:tcPr>
          <w:p w:rsidR="00B53F21" w:rsidRPr="00AE2A0D" w:rsidRDefault="00B53F21" w:rsidP="003F2023">
            <w:pPr>
              <w:pStyle w:val="Legenda"/>
              <w:jc w:val="center"/>
              <w:rPr>
                <w:b/>
              </w:rPr>
            </w:pPr>
            <w:r w:rsidRPr="00AE2A0D">
              <w:rPr>
                <w:b/>
                <w:noProof/>
                <w:lang w:eastAsia="pt-BR"/>
              </w:rPr>
              <w:drawing>
                <wp:inline distT="0" distB="0" distL="0" distR="0" wp14:anchorId="15F7A006" wp14:editId="57C2BF20">
                  <wp:extent cx="4885545" cy="3600000"/>
                  <wp:effectExtent l="0" t="0" r="0" b="635"/>
                  <wp:docPr id="164" name="Imagem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85545" cy="3600000"/>
                          </a:xfrm>
                          <a:prstGeom prst="rect">
                            <a:avLst/>
                          </a:prstGeom>
                          <a:noFill/>
                        </pic:spPr>
                      </pic:pic>
                    </a:graphicData>
                  </a:graphic>
                </wp:inline>
              </w:drawing>
            </w:r>
          </w:p>
        </w:tc>
      </w:tr>
      <w:tr w:rsidR="00B53F21" w:rsidRPr="00AE2A0D" w:rsidTr="003F2023">
        <w:tc>
          <w:tcPr>
            <w:tcW w:w="5000" w:type="pct"/>
            <w:vAlign w:val="center"/>
          </w:tcPr>
          <w:p w:rsidR="00B53F21" w:rsidRPr="00AE2A0D" w:rsidRDefault="00B53F21" w:rsidP="003F2023">
            <w:pPr>
              <w:pStyle w:val="Legenda"/>
              <w:jc w:val="center"/>
              <w:rPr>
                <w:b/>
              </w:rPr>
            </w:pPr>
            <w:r w:rsidRPr="00AE2A0D">
              <w:rPr>
                <w:b/>
                <w:noProof/>
                <w:lang w:eastAsia="pt-BR"/>
              </w:rPr>
              <w:lastRenderedPageBreak/>
              <w:drawing>
                <wp:inline distT="0" distB="0" distL="0" distR="0" wp14:anchorId="652B0A43" wp14:editId="3F358BCD">
                  <wp:extent cx="5117341" cy="3600000"/>
                  <wp:effectExtent l="0" t="0" r="7620" b="635"/>
                  <wp:docPr id="165" name="Imagem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17341" cy="3600000"/>
                          </a:xfrm>
                          <a:prstGeom prst="rect">
                            <a:avLst/>
                          </a:prstGeom>
                          <a:noFill/>
                        </pic:spPr>
                      </pic:pic>
                    </a:graphicData>
                  </a:graphic>
                </wp:inline>
              </w:drawing>
            </w:r>
          </w:p>
        </w:tc>
      </w:tr>
      <w:tr w:rsidR="00B53F21" w:rsidRPr="00AE2A0D" w:rsidTr="003F2023">
        <w:tc>
          <w:tcPr>
            <w:tcW w:w="5000" w:type="pct"/>
            <w:vAlign w:val="center"/>
          </w:tcPr>
          <w:p w:rsidR="00B53F21" w:rsidRPr="00AE2A0D" w:rsidRDefault="00B53F21" w:rsidP="003F2023">
            <w:pPr>
              <w:pStyle w:val="Legenda"/>
              <w:jc w:val="center"/>
              <w:rPr>
                <w:b/>
              </w:rPr>
            </w:pPr>
            <w:r w:rsidRPr="00AE2A0D">
              <w:rPr>
                <w:b/>
                <w:noProof/>
                <w:lang w:eastAsia="pt-BR"/>
              </w:rPr>
              <w:drawing>
                <wp:inline distT="0" distB="0" distL="0" distR="0" wp14:anchorId="0440FAB0" wp14:editId="4BDDE2CA">
                  <wp:extent cx="5117341" cy="3600000"/>
                  <wp:effectExtent l="0" t="0" r="7620" b="635"/>
                  <wp:docPr id="166" name="Imagem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117341" cy="3600000"/>
                          </a:xfrm>
                          <a:prstGeom prst="rect">
                            <a:avLst/>
                          </a:prstGeom>
                          <a:noFill/>
                        </pic:spPr>
                      </pic:pic>
                    </a:graphicData>
                  </a:graphic>
                </wp:inline>
              </w:drawing>
            </w:r>
          </w:p>
        </w:tc>
      </w:tr>
    </w:tbl>
    <w:p w:rsidR="00AC1EDF" w:rsidRDefault="00AC1EDF" w:rsidP="00B53F21">
      <w:pPr>
        <w:rPr>
          <w:sz w:val="18"/>
        </w:rPr>
      </w:pPr>
      <w:r w:rsidRPr="00AE2A0D">
        <w:rPr>
          <w:sz w:val="18"/>
        </w:rPr>
        <w:t>Fonte: Digital Globe/Google Earth (modificado)</w:t>
      </w:r>
    </w:p>
    <w:p w:rsidR="00B53F21" w:rsidRPr="00AE2A0D" w:rsidRDefault="00B53F21" w:rsidP="00B53F21">
      <w:r w:rsidRPr="00AE2A0D">
        <w:rPr>
          <w:u w:val="single"/>
        </w:rPr>
        <w:t>Procura Ativa</w:t>
      </w:r>
      <w:r w:rsidRPr="00AE2A0D">
        <w:t xml:space="preserve">: foram realizadas observações diretas e indiretas (vestígios) de mamíferos de hábitos diurnos e noturnos em horários variados. O esforço foi medido em horas de observação (busca direta a pé e\ou de carro). Os mamíferos de médio-grande porte também foram amostrados por meio de registro de vestígios. As pegadas constituem indicadores importantes da presença de espécies visualmente difíceis de serem registradas (Pardini </w:t>
      </w:r>
      <w:r w:rsidRPr="00AE2A0D">
        <w:rPr>
          <w:i/>
        </w:rPr>
        <w:t>et al.</w:t>
      </w:r>
      <w:r w:rsidRPr="00AE2A0D">
        <w:t>, 2003). Rastros, fezes e demais vestígios encontrados foram registrados como indicativo da presença das espécies</w:t>
      </w:r>
      <w:r>
        <w:t>.</w:t>
      </w:r>
      <w:r w:rsidRPr="00AE2A0D">
        <w:t xml:space="preserve"> Os manuais de </w:t>
      </w:r>
      <w:r w:rsidRPr="00AE2A0D">
        <w:rPr>
          <w:bCs/>
        </w:rPr>
        <w:t>Becker &amp; Dalponte</w:t>
      </w:r>
      <w:r w:rsidRPr="00AE2A0D">
        <w:t xml:space="preserve"> (2013) e Mamede &amp; Alho (2008) foram utilizados para auxiliar nas identifi</w:t>
      </w:r>
      <w:r>
        <w:t>cações dos vestígios e pegadas.</w:t>
      </w:r>
    </w:p>
    <w:tbl>
      <w:tblPr>
        <w:tblW w:w="0" w:type="auto"/>
        <w:tblLook w:val="00A0" w:firstRow="1" w:lastRow="0" w:firstColumn="1" w:lastColumn="0" w:noHBand="0" w:noVBand="0"/>
      </w:tblPr>
      <w:tblGrid>
        <w:gridCol w:w="9004"/>
      </w:tblGrid>
      <w:tr w:rsidR="00B53F21" w:rsidRPr="00AE2A0D" w:rsidTr="003F2023">
        <w:trPr>
          <w:trHeight w:val="392"/>
        </w:trPr>
        <w:tc>
          <w:tcPr>
            <w:tcW w:w="9004" w:type="dxa"/>
          </w:tcPr>
          <w:p w:rsidR="00B53F21" w:rsidRPr="00AE2A0D" w:rsidRDefault="00B53F21" w:rsidP="00AC1EDF">
            <w:pPr>
              <w:tabs>
                <w:tab w:val="num" w:pos="720"/>
              </w:tabs>
              <w:spacing w:after="0"/>
              <w:jc w:val="center"/>
              <w:rPr>
                <w:rFonts w:cs="Arial"/>
                <w:sz w:val="18"/>
                <w:szCs w:val="18"/>
              </w:rPr>
            </w:pPr>
            <w:r w:rsidRPr="00AE2A0D">
              <w:rPr>
                <w:rFonts w:cs="Arial"/>
                <w:noProof/>
                <w:sz w:val="18"/>
                <w:szCs w:val="18"/>
                <w:lang w:eastAsia="pt-BR"/>
              </w:rPr>
              <w:lastRenderedPageBreak/>
              <w:drawing>
                <wp:inline distT="0" distB="0" distL="0" distR="0" wp14:anchorId="1A5249B5" wp14:editId="61E274ED">
                  <wp:extent cx="3840142" cy="2880000"/>
                  <wp:effectExtent l="0" t="0" r="8255" b="0"/>
                  <wp:docPr id="167" name="Imagem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4382.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840142" cy="2880000"/>
                          </a:xfrm>
                          <a:prstGeom prst="rect">
                            <a:avLst/>
                          </a:prstGeom>
                        </pic:spPr>
                      </pic:pic>
                    </a:graphicData>
                  </a:graphic>
                </wp:inline>
              </w:drawing>
            </w:r>
          </w:p>
        </w:tc>
      </w:tr>
      <w:tr w:rsidR="00B53F21" w:rsidRPr="00AE2A0D" w:rsidTr="003F2023">
        <w:trPr>
          <w:trHeight w:val="392"/>
        </w:trPr>
        <w:tc>
          <w:tcPr>
            <w:tcW w:w="9004" w:type="dxa"/>
          </w:tcPr>
          <w:p w:rsidR="00B53F21" w:rsidRPr="00AE2A0D" w:rsidRDefault="00AC1EDF" w:rsidP="00AC1EDF">
            <w:pPr>
              <w:keepNext/>
              <w:tabs>
                <w:tab w:val="num" w:pos="720"/>
              </w:tabs>
              <w:jc w:val="center"/>
              <w:rPr>
                <w:rFonts w:cs="Arial"/>
                <w:sz w:val="18"/>
                <w:szCs w:val="18"/>
              </w:rPr>
            </w:pPr>
            <w:r>
              <w:rPr>
                <w:rFonts w:cs="Arial"/>
                <w:b/>
                <w:sz w:val="18"/>
                <w:szCs w:val="18"/>
              </w:rPr>
              <w:t xml:space="preserve">Foto - </w:t>
            </w:r>
            <w:r w:rsidR="00B53F21" w:rsidRPr="00AE2A0D">
              <w:rPr>
                <w:rFonts w:cs="Arial"/>
                <w:sz w:val="18"/>
                <w:szCs w:val="18"/>
              </w:rPr>
              <w:t>Biólogo realizando busca ativa</w:t>
            </w:r>
          </w:p>
        </w:tc>
      </w:tr>
    </w:tbl>
    <w:p w:rsidR="00B53F21" w:rsidRPr="00AE2A0D" w:rsidRDefault="00B53F21" w:rsidP="00B53F21">
      <w:r w:rsidRPr="00AE2A0D">
        <w:rPr>
          <w:u w:val="single"/>
        </w:rPr>
        <w:t>Entrevistas</w:t>
      </w:r>
      <w:r w:rsidRPr="00AE2A0D">
        <w:t xml:space="preserve">: moradores locais, residentes há alguns anos na área e conhecedores do ambiente, foram entrevistados sobre a presença de mamíferos na região para auxiliar a elaboração de uma lista de fauna presente na AID. Os manuais de Emmons &amp; </w:t>
      </w:r>
      <w:r w:rsidRPr="00AE2A0D">
        <w:rPr>
          <w:bCs/>
        </w:rPr>
        <w:t>Feer</w:t>
      </w:r>
      <w:r w:rsidRPr="00AE2A0D">
        <w:t xml:space="preserve"> (1999) e Mamede &amp; Alho (2008) foram utilizados para auxiliar nas identificações. A análise dos resultados oriundos das entrevistas foi sempre cautelosa e levou em consideração a experiência do entrevistador com esse método.</w:t>
      </w:r>
    </w:p>
    <w:p w:rsidR="00B53F21" w:rsidRPr="00AE2A0D" w:rsidRDefault="00B53F21" w:rsidP="00B53F21">
      <w:pPr>
        <w:pStyle w:val="Ttulo7"/>
      </w:pPr>
      <w:r>
        <w:t>B.2.2.</w:t>
      </w:r>
      <w:r>
        <w:tab/>
      </w:r>
      <w:r w:rsidRPr="00AE2A0D">
        <w:t>Áreas Amostrais</w:t>
      </w:r>
    </w:p>
    <w:p w:rsidR="00B53F21" w:rsidRPr="00AE2A0D" w:rsidRDefault="00B53F21" w:rsidP="00B53F21">
      <w:r w:rsidRPr="00AE2A0D">
        <w:t>Dentro de cada uma das áreas pré-selecionadas para o levantamento da fauna, os pontos de instalação das câmeras assim como os locais para procura ativas foram selecionados em campo. P</w:t>
      </w:r>
      <w:r w:rsidRPr="00AE2A0D">
        <w:rPr>
          <w:szCs w:val="20"/>
        </w:rPr>
        <w:t>ara amostragem dos médios e grandes mamíferos foi empregado um esforço de 50 câmeras noite, de 35 h/homem de busca por vestígios e cerca de 4 h de procura em estradas. Uma síntese do esforço amostral para cada método (armadilha fotográfica, procura ativa e procura em estradas) por área encontra-se na</w:t>
      </w:r>
      <w:r w:rsidR="00AC1EDF">
        <w:t xml:space="preserve"> </w:t>
      </w:r>
      <w:r w:rsidR="00AC1EDF" w:rsidRPr="00AC1EDF">
        <w:rPr>
          <w:b/>
        </w:rPr>
        <w:t>Tabela 6.4.</w:t>
      </w:r>
      <w:r w:rsidR="002F5F14">
        <w:rPr>
          <w:b/>
        </w:rPr>
        <w:t>4-11</w:t>
      </w:r>
      <w:r w:rsidRPr="00AE2A0D">
        <w:t>. Nas</w:t>
      </w:r>
      <w:r w:rsidRPr="00AE2A0D">
        <w:rPr>
          <w:b/>
        </w:rPr>
        <w:t xml:space="preserve"> </w:t>
      </w:r>
      <w:r w:rsidR="00CF17BD">
        <w:rPr>
          <w:b/>
        </w:rPr>
        <w:t xml:space="preserve">Fotos </w:t>
      </w:r>
      <w:r w:rsidR="00CF17BD" w:rsidRPr="00CF17BD">
        <w:t xml:space="preserve">na sequência </w:t>
      </w:r>
      <w:r w:rsidRPr="00AE2A0D">
        <w:t xml:space="preserve">é possível observar parcialmente cada área de amostragem e na </w:t>
      </w:r>
      <w:r w:rsidR="0023044E">
        <w:fldChar w:fldCharType="begin"/>
      </w:r>
      <w:r w:rsidR="0023044E">
        <w:instrText xml:space="preserve"> REF _Ref401845553 \h  \* MERGEFORMAT </w:instrText>
      </w:r>
      <w:r w:rsidR="0023044E">
        <w:fldChar w:fldCharType="separate"/>
      </w:r>
      <w:r w:rsidR="00AC1EDF" w:rsidRPr="00AC1EDF">
        <w:rPr>
          <w:b/>
        </w:rPr>
        <w:t>Tabela</w:t>
      </w:r>
      <w:r w:rsidR="0023044E">
        <w:fldChar w:fldCharType="end"/>
      </w:r>
      <w:r w:rsidR="00AC1EDF" w:rsidRPr="00AC1EDF">
        <w:rPr>
          <w:b/>
        </w:rPr>
        <w:t xml:space="preserve"> 6.4.</w:t>
      </w:r>
      <w:r w:rsidR="002F5F14">
        <w:rPr>
          <w:b/>
        </w:rPr>
        <w:t>4-12</w:t>
      </w:r>
      <w:r w:rsidRPr="00AE2A0D">
        <w:t xml:space="preserve"> há uma breve descrição das áreas de amostragem. </w:t>
      </w:r>
    </w:p>
    <w:p w:rsidR="00B53F21" w:rsidRPr="00AE2A0D" w:rsidRDefault="00B53F21" w:rsidP="0089349D">
      <w:pPr>
        <w:pStyle w:val="Quadro"/>
        <w:rPr>
          <w:rFonts w:cs="Arial"/>
          <w:szCs w:val="20"/>
        </w:rPr>
      </w:pPr>
      <w:bookmarkStart w:id="130" w:name="_Ref401320671"/>
      <w:r w:rsidRPr="00CF17BD">
        <w:t xml:space="preserve">Tabela </w:t>
      </w:r>
      <w:bookmarkEnd w:id="130"/>
      <w:r w:rsidR="00AC1EDF" w:rsidRPr="00CF17BD">
        <w:t>6.4.</w:t>
      </w:r>
      <w:r w:rsidR="002F5F14">
        <w:t>4-11.</w:t>
      </w:r>
      <w:r w:rsidRPr="00CF17BD">
        <w:t xml:space="preserve"> </w:t>
      </w:r>
      <w:r w:rsidR="0089349D">
        <w:rPr>
          <w:rFonts w:eastAsia="SimSun" w:cs="Arial"/>
        </w:rPr>
        <w:t xml:space="preserve">Mastofauna. </w:t>
      </w:r>
      <w:r w:rsidRPr="00CF17BD">
        <w:t>Esforço empregado em cada método por área de amostragem</w:t>
      </w:r>
    </w:p>
    <w:tbl>
      <w:tblPr>
        <w:tblW w:w="500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1E0" w:firstRow="1" w:lastRow="1" w:firstColumn="1" w:lastColumn="1" w:noHBand="0" w:noVBand="0"/>
      </w:tblPr>
      <w:tblGrid>
        <w:gridCol w:w="2006"/>
        <w:gridCol w:w="2427"/>
        <w:gridCol w:w="1277"/>
        <w:gridCol w:w="1100"/>
        <w:gridCol w:w="1262"/>
        <w:gridCol w:w="1262"/>
      </w:tblGrid>
      <w:tr w:rsidR="00B53F21" w:rsidRPr="00AE2A0D" w:rsidTr="003F2023">
        <w:trPr>
          <w:cantSplit/>
          <w:trHeight w:val="284"/>
          <w:tblHeader/>
        </w:trPr>
        <w:tc>
          <w:tcPr>
            <w:tcW w:w="1075" w:type="pct"/>
            <w:shd w:val="clear" w:color="auto" w:fill="D9D9D9"/>
            <w:vAlign w:val="center"/>
          </w:tcPr>
          <w:p w:rsidR="00B53F21" w:rsidRPr="00AE2A0D" w:rsidRDefault="00B53F21" w:rsidP="003F2023">
            <w:pPr>
              <w:spacing w:after="0"/>
              <w:jc w:val="center"/>
              <w:rPr>
                <w:rFonts w:cs="Arial"/>
                <w:b/>
                <w:sz w:val="18"/>
                <w:szCs w:val="18"/>
              </w:rPr>
            </w:pPr>
            <w:r w:rsidRPr="00AE2A0D">
              <w:rPr>
                <w:rFonts w:cs="Arial"/>
                <w:b/>
                <w:sz w:val="18"/>
                <w:szCs w:val="18"/>
              </w:rPr>
              <w:t>Áreas</w:t>
            </w:r>
          </w:p>
        </w:tc>
        <w:tc>
          <w:tcPr>
            <w:tcW w:w="1300" w:type="pct"/>
            <w:shd w:val="clear" w:color="auto" w:fill="D9D9D9"/>
            <w:vAlign w:val="center"/>
          </w:tcPr>
          <w:p w:rsidR="00B53F21" w:rsidRPr="00AE2A0D" w:rsidRDefault="00B53F21" w:rsidP="003F2023">
            <w:pPr>
              <w:spacing w:after="0"/>
              <w:jc w:val="center"/>
              <w:rPr>
                <w:rFonts w:cs="Arial"/>
                <w:b/>
                <w:sz w:val="18"/>
                <w:szCs w:val="18"/>
              </w:rPr>
            </w:pPr>
            <w:r w:rsidRPr="00AE2A0D">
              <w:rPr>
                <w:rFonts w:cs="Arial"/>
                <w:b/>
                <w:sz w:val="18"/>
                <w:szCs w:val="18"/>
              </w:rPr>
              <w:t>Santa Isabel, SP</w:t>
            </w:r>
          </w:p>
        </w:tc>
        <w:tc>
          <w:tcPr>
            <w:tcW w:w="1273" w:type="pct"/>
            <w:gridSpan w:val="2"/>
            <w:shd w:val="clear" w:color="auto" w:fill="D9D9D9"/>
            <w:vAlign w:val="center"/>
          </w:tcPr>
          <w:p w:rsidR="00B53F21" w:rsidRPr="00AE2A0D" w:rsidRDefault="00B53F21" w:rsidP="003F2023">
            <w:pPr>
              <w:spacing w:after="0"/>
              <w:jc w:val="center"/>
              <w:rPr>
                <w:rFonts w:cs="Arial"/>
                <w:b/>
                <w:sz w:val="18"/>
                <w:szCs w:val="18"/>
              </w:rPr>
            </w:pPr>
            <w:r w:rsidRPr="00AE2A0D">
              <w:rPr>
                <w:rFonts w:cs="Arial"/>
                <w:b/>
                <w:sz w:val="18"/>
                <w:szCs w:val="18"/>
              </w:rPr>
              <w:t>Igaratá, SP</w:t>
            </w:r>
          </w:p>
        </w:tc>
        <w:tc>
          <w:tcPr>
            <w:tcW w:w="1353" w:type="pct"/>
            <w:gridSpan w:val="2"/>
            <w:shd w:val="clear" w:color="auto" w:fill="D9D9D9"/>
            <w:vAlign w:val="center"/>
          </w:tcPr>
          <w:p w:rsidR="00B53F21" w:rsidRPr="00AE2A0D" w:rsidRDefault="00B53F21" w:rsidP="003F2023">
            <w:pPr>
              <w:spacing w:after="0"/>
              <w:jc w:val="center"/>
              <w:rPr>
                <w:rFonts w:cs="Arial"/>
                <w:b/>
                <w:sz w:val="18"/>
                <w:szCs w:val="18"/>
              </w:rPr>
            </w:pPr>
            <w:r w:rsidRPr="00AE2A0D">
              <w:rPr>
                <w:rFonts w:cs="Arial"/>
                <w:b/>
                <w:sz w:val="18"/>
                <w:szCs w:val="18"/>
              </w:rPr>
              <w:t>Nazaré Paulista, SP</w:t>
            </w:r>
          </w:p>
        </w:tc>
      </w:tr>
      <w:tr w:rsidR="00B53F21" w:rsidRPr="00AE2A0D" w:rsidTr="003F2023">
        <w:trPr>
          <w:cantSplit/>
          <w:trHeight w:val="284"/>
        </w:trPr>
        <w:tc>
          <w:tcPr>
            <w:tcW w:w="1075" w:type="pct"/>
            <w:vAlign w:val="center"/>
          </w:tcPr>
          <w:p w:rsidR="00B53F21" w:rsidRPr="00AE2A0D" w:rsidRDefault="00B53F21" w:rsidP="003F2023">
            <w:pPr>
              <w:spacing w:after="0"/>
              <w:rPr>
                <w:rFonts w:cs="Arial"/>
                <w:sz w:val="18"/>
                <w:szCs w:val="18"/>
              </w:rPr>
            </w:pPr>
            <w:r w:rsidRPr="00AE2A0D">
              <w:rPr>
                <w:rFonts w:cs="Arial"/>
                <w:b/>
                <w:sz w:val="18"/>
                <w:szCs w:val="18"/>
              </w:rPr>
              <w:t>Esforço / Metodologia</w:t>
            </w:r>
          </w:p>
        </w:tc>
        <w:tc>
          <w:tcPr>
            <w:tcW w:w="1300" w:type="pct"/>
            <w:vAlign w:val="center"/>
          </w:tcPr>
          <w:p w:rsidR="00B53F21" w:rsidRPr="00AE2A0D" w:rsidRDefault="00B53F21" w:rsidP="003F2023">
            <w:pPr>
              <w:spacing w:after="0"/>
              <w:ind w:firstLine="21"/>
              <w:jc w:val="center"/>
              <w:rPr>
                <w:rFonts w:cs="Arial"/>
                <w:sz w:val="18"/>
                <w:szCs w:val="18"/>
              </w:rPr>
            </w:pPr>
            <w:r w:rsidRPr="00AE2A0D">
              <w:rPr>
                <w:rFonts w:cs="Arial"/>
                <w:sz w:val="18"/>
                <w:szCs w:val="18"/>
              </w:rPr>
              <w:t>Área 1</w:t>
            </w:r>
          </w:p>
        </w:tc>
        <w:tc>
          <w:tcPr>
            <w:tcW w:w="684" w:type="pct"/>
            <w:vAlign w:val="center"/>
          </w:tcPr>
          <w:p w:rsidR="00B53F21" w:rsidRPr="00AE2A0D" w:rsidRDefault="00B53F21" w:rsidP="003F2023">
            <w:pPr>
              <w:spacing w:after="0"/>
              <w:ind w:firstLine="21"/>
              <w:jc w:val="center"/>
              <w:rPr>
                <w:rFonts w:cs="Arial"/>
                <w:sz w:val="18"/>
                <w:szCs w:val="18"/>
              </w:rPr>
            </w:pPr>
            <w:r w:rsidRPr="00AE2A0D">
              <w:rPr>
                <w:rFonts w:cs="Arial"/>
                <w:sz w:val="18"/>
                <w:szCs w:val="18"/>
              </w:rPr>
              <w:t>Área 2</w:t>
            </w:r>
          </w:p>
        </w:tc>
        <w:tc>
          <w:tcPr>
            <w:tcW w:w="588" w:type="pct"/>
            <w:vAlign w:val="center"/>
          </w:tcPr>
          <w:p w:rsidR="00B53F21" w:rsidRPr="00AE2A0D" w:rsidRDefault="00B53F21" w:rsidP="003F2023">
            <w:pPr>
              <w:spacing w:after="0"/>
              <w:ind w:firstLine="21"/>
              <w:jc w:val="center"/>
              <w:rPr>
                <w:rFonts w:cs="Arial"/>
                <w:sz w:val="18"/>
                <w:szCs w:val="18"/>
              </w:rPr>
            </w:pPr>
            <w:r w:rsidRPr="00AE2A0D">
              <w:rPr>
                <w:rFonts w:cs="Arial"/>
                <w:sz w:val="18"/>
                <w:szCs w:val="18"/>
              </w:rPr>
              <w:t>Área 3</w:t>
            </w:r>
          </w:p>
        </w:tc>
        <w:tc>
          <w:tcPr>
            <w:tcW w:w="676" w:type="pct"/>
            <w:vAlign w:val="center"/>
          </w:tcPr>
          <w:p w:rsidR="00B53F21" w:rsidRPr="00AE2A0D" w:rsidRDefault="00B53F21" w:rsidP="003F2023">
            <w:pPr>
              <w:spacing w:after="0"/>
              <w:ind w:firstLine="21"/>
              <w:jc w:val="center"/>
              <w:rPr>
                <w:rFonts w:cs="Arial"/>
                <w:sz w:val="18"/>
                <w:szCs w:val="18"/>
              </w:rPr>
            </w:pPr>
            <w:r w:rsidRPr="00AE2A0D">
              <w:rPr>
                <w:rFonts w:cs="Arial"/>
                <w:sz w:val="18"/>
                <w:szCs w:val="18"/>
              </w:rPr>
              <w:t>Área 4</w:t>
            </w:r>
          </w:p>
        </w:tc>
        <w:tc>
          <w:tcPr>
            <w:tcW w:w="677" w:type="pct"/>
            <w:vAlign w:val="center"/>
          </w:tcPr>
          <w:p w:rsidR="00B53F21" w:rsidRPr="00AE2A0D" w:rsidRDefault="00B53F21" w:rsidP="003F2023">
            <w:pPr>
              <w:spacing w:after="0"/>
              <w:ind w:firstLine="21"/>
              <w:jc w:val="center"/>
              <w:rPr>
                <w:rFonts w:cs="Arial"/>
                <w:sz w:val="18"/>
                <w:szCs w:val="18"/>
              </w:rPr>
            </w:pPr>
            <w:r w:rsidRPr="00AE2A0D">
              <w:rPr>
                <w:rFonts w:cs="Arial"/>
                <w:sz w:val="18"/>
                <w:szCs w:val="18"/>
              </w:rPr>
              <w:t>Área 5</w:t>
            </w:r>
          </w:p>
        </w:tc>
      </w:tr>
      <w:tr w:rsidR="00B53F21" w:rsidRPr="00AE2A0D" w:rsidTr="003F2023">
        <w:trPr>
          <w:cantSplit/>
          <w:trHeight w:val="284"/>
        </w:trPr>
        <w:tc>
          <w:tcPr>
            <w:tcW w:w="1075" w:type="pct"/>
            <w:vAlign w:val="center"/>
          </w:tcPr>
          <w:p w:rsidR="00B53F21" w:rsidRPr="00AE2A0D" w:rsidRDefault="00B53F21" w:rsidP="003F2023">
            <w:pPr>
              <w:spacing w:after="0"/>
              <w:rPr>
                <w:rFonts w:cs="Arial"/>
                <w:sz w:val="18"/>
                <w:szCs w:val="18"/>
              </w:rPr>
            </w:pPr>
            <w:r w:rsidRPr="00AE2A0D">
              <w:rPr>
                <w:rFonts w:cs="Arial"/>
                <w:sz w:val="18"/>
                <w:szCs w:val="18"/>
              </w:rPr>
              <w:t>Armadilha fotográfica (câmeras/noite)</w:t>
            </w:r>
          </w:p>
        </w:tc>
        <w:tc>
          <w:tcPr>
            <w:tcW w:w="1300" w:type="pct"/>
            <w:vAlign w:val="center"/>
          </w:tcPr>
          <w:p w:rsidR="00B53F21" w:rsidRPr="00AE2A0D" w:rsidRDefault="00B53F21" w:rsidP="003F2023">
            <w:pPr>
              <w:spacing w:after="0"/>
              <w:ind w:firstLine="21"/>
              <w:jc w:val="center"/>
              <w:rPr>
                <w:rFonts w:cs="Arial"/>
                <w:sz w:val="18"/>
                <w:szCs w:val="18"/>
              </w:rPr>
            </w:pPr>
            <w:r w:rsidRPr="00AE2A0D">
              <w:rPr>
                <w:rFonts w:cs="Arial"/>
                <w:sz w:val="18"/>
                <w:szCs w:val="18"/>
              </w:rPr>
              <w:t>10</w:t>
            </w:r>
          </w:p>
        </w:tc>
        <w:tc>
          <w:tcPr>
            <w:tcW w:w="684" w:type="pct"/>
            <w:vAlign w:val="center"/>
          </w:tcPr>
          <w:p w:rsidR="00B53F21" w:rsidRPr="00AE2A0D" w:rsidRDefault="00B53F21" w:rsidP="003F2023">
            <w:pPr>
              <w:spacing w:after="0"/>
              <w:ind w:firstLine="21"/>
              <w:jc w:val="center"/>
              <w:rPr>
                <w:rFonts w:cs="Arial"/>
                <w:sz w:val="18"/>
                <w:szCs w:val="18"/>
              </w:rPr>
            </w:pPr>
            <w:r w:rsidRPr="00AE2A0D">
              <w:rPr>
                <w:rFonts w:cs="Arial"/>
                <w:sz w:val="18"/>
                <w:szCs w:val="18"/>
              </w:rPr>
              <w:t>10</w:t>
            </w:r>
          </w:p>
        </w:tc>
        <w:tc>
          <w:tcPr>
            <w:tcW w:w="588" w:type="pct"/>
            <w:vAlign w:val="center"/>
          </w:tcPr>
          <w:p w:rsidR="00B53F21" w:rsidRPr="00AE2A0D" w:rsidRDefault="00B53F21" w:rsidP="003F2023">
            <w:pPr>
              <w:spacing w:after="0"/>
              <w:jc w:val="center"/>
              <w:rPr>
                <w:rFonts w:cs="Arial"/>
                <w:sz w:val="18"/>
                <w:szCs w:val="18"/>
              </w:rPr>
            </w:pPr>
            <w:r w:rsidRPr="00AE2A0D">
              <w:rPr>
                <w:rFonts w:cs="Arial"/>
                <w:sz w:val="18"/>
                <w:szCs w:val="18"/>
              </w:rPr>
              <w:t>10</w:t>
            </w:r>
          </w:p>
        </w:tc>
        <w:tc>
          <w:tcPr>
            <w:tcW w:w="676" w:type="pct"/>
            <w:vAlign w:val="center"/>
          </w:tcPr>
          <w:p w:rsidR="00B53F21" w:rsidRPr="00AE2A0D" w:rsidRDefault="00B53F21" w:rsidP="003F2023">
            <w:pPr>
              <w:spacing w:after="0"/>
              <w:jc w:val="center"/>
              <w:rPr>
                <w:rFonts w:cs="Arial"/>
                <w:sz w:val="18"/>
                <w:szCs w:val="18"/>
              </w:rPr>
            </w:pPr>
            <w:r w:rsidRPr="00AE2A0D">
              <w:rPr>
                <w:rFonts w:cs="Arial"/>
                <w:sz w:val="18"/>
                <w:szCs w:val="18"/>
              </w:rPr>
              <w:t>10</w:t>
            </w:r>
          </w:p>
        </w:tc>
        <w:tc>
          <w:tcPr>
            <w:tcW w:w="677" w:type="pct"/>
            <w:vAlign w:val="center"/>
          </w:tcPr>
          <w:p w:rsidR="00B53F21" w:rsidRPr="00AE2A0D" w:rsidRDefault="00B53F21" w:rsidP="003F2023">
            <w:pPr>
              <w:spacing w:after="0"/>
              <w:jc w:val="center"/>
              <w:rPr>
                <w:rFonts w:cs="Arial"/>
                <w:sz w:val="18"/>
                <w:szCs w:val="18"/>
              </w:rPr>
            </w:pPr>
            <w:r w:rsidRPr="00AE2A0D">
              <w:rPr>
                <w:rFonts w:cs="Arial"/>
                <w:sz w:val="18"/>
                <w:szCs w:val="18"/>
              </w:rPr>
              <w:t>10</w:t>
            </w:r>
          </w:p>
        </w:tc>
      </w:tr>
      <w:tr w:rsidR="00B53F21" w:rsidRPr="00AE2A0D" w:rsidTr="003F2023">
        <w:trPr>
          <w:cantSplit/>
          <w:trHeight w:val="284"/>
        </w:trPr>
        <w:tc>
          <w:tcPr>
            <w:tcW w:w="1075" w:type="pct"/>
            <w:vAlign w:val="center"/>
          </w:tcPr>
          <w:p w:rsidR="00B53F21" w:rsidRPr="00AE2A0D" w:rsidRDefault="00B53F21" w:rsidP="003F2023">
            <w:pPr>
              <w:spacing w:after="0"/>
              <w:rPr>
                <w:rFonts w:cs="Arial"/>
                <w:sz w:val="18"/>
                <w:szCs w:val="18"/>
              </w:rPr>
            </w:pPr>
            <w:r w:rsidRPr="00AE2A0D">
              <w:rPr>
                <w:rFonts w:cs="Arial"/>
                <w:sz w:val="18"/>
                <w:szCs w:val="18"/>
              </w:rPr>
              <w:t>Procura ativa (horas)</w:t>
            </w:r>
          </w:p>
        </w:tc>
        <w:tc>
          <w:tcPr>
            <w:tcW w:w="1300" w:type="pct"/>
            <w:vAlign w:val="center"/>
          </w:tcPr>
          <w:p w:rsidR="00B53F21" w:rsidRPr="00AE2A0D" w:rsidRDefault="00B53F21" w:rsidP="003F2023">
            <w:pPr>
              <w:spacing w:after="0"/>
              <w:ind w:firstLine="21"/>
              <w:jc w:val="center"/>
              <w:rPr>
                <w:rFonts w:cs="Arial"/>
                <w:sz w:val="18"/>
                <w:szCs w:val="18"/>
              </w:rPr>
            </w:pPr>
            <w:r w:rsidRPr="00AE2A0D">
              <w:rPr>
                <w:rFonts w:cs="Arial"/>
                <w:sz w:val="18"/>
                <w:szCs w:val="18"/>
              </w:rPr>
              <w:t>7h</w:t>
            </w:r>
          </w:p>
        </w:tc>
        <w:tc>
          <w:tcPr>
            <w:tcW w:w="684" w:type="pct"/>
            <w:vAlign w:val="center"/>
          </w:tcPr>
          <w:p w:rsidR="00B53F21" w:rsidRPr="00AE2A0D" w:rsidRDefault="00B53F21" w:rsidP="003F2023">
            <w:pPr>
              <w:spacing w:after="0"/>
              <w:ind w:firstLine="21"/>
              <w:jc w:val="center"/>
              <w:rPr>
                <w:rFonts w:cs="Arial"/>
                <w:sz w:val="18"/>
                <w:szCs w:val="18"/>
              </w:rPr>
            </w:pPr>
            <w:r w:rsidRPr="00AE2A0D">
              <w:rPr>
                <w:rFonts w:cs="Arial"/>
                <w:sz w:val="18"/>
                <w:szCs w:val="18"/>
              </w:rPr>
              <w:t>7h</w:t>
            </w:r>
          </w:p>
        </w:tc>
        <w:tc>
          <w:tcPr>
            <w:tcW w:w="588" w:type="pct"/>
            <w:vAlign w:val="center"/>
          </w:tcPr>
          <w:p w:rsidR="00B53F21" w:rsidRPr="00AE2A0D" w:rsidRDefault="00B53F21" w:rsidP="003F2023">
            <w:pPr>
              <w:spacing w:after="0"/>
              <w:jc w:val="center"/>
              <w:rPr>
                <w:rFonts w:cs="Arial"/>
                <w:sz w:val="18"/>
                <w:szCs w:val="18"/>
              </w:rPr>
            </w:pPr>
            <w:r w:rsidRPr="00AE2A0D">
              <w:rPr>
                <w:rFonts w:cs="Arial"/>
                <w:sz w:val="18"/>
                <w:szCs w:val="18"/>
              </w:rPr>
              <w:t>7h</w:t>
            </w:r>
          </w:p>
        </w:tc>
        <w:tc>
          <w:tcPr>
            <w:tcW w:w="676" w:type="pct"/>
            <w:vAlign w:val="center"/>
          </w:tcPr>
          <w:p w:rsidR="00B53F21" w:rsidRPr="00AE2A0D" w:rsidRDefault="00B53F21" w:rsidP="003F2023">
            <w:pPr>
              <w:spacing w:after="0"/>
              <w:jc w:val="center"/>
              <w:rPr>
                <w:rFonts w:cs="Arial"/>
                <w:sz w:val="18"/>
                <w:szCs w:val="18"/>
              </w:rPr>
            </w:pPr>
            <w:r w:rsidRPr="00AE2A0D">
              <w:rPr>
                <w:rFonts w:cs="Arial"/>
                <w:sz w:val="18"/>
                <w:szCs w:val="18"/>
              </w:rPr>
              <w:t>7h</w:t>
            </w:r>
          </w:p>
        </w:tc>
        <w:tc>
          <w:tcPr>
            <w:tcW w:w="677" w:type="pct"/>
            <w:vAlign w:val="center"/>
          </w:tcPr>
          <w:p w:rsidR="00B53F21" w:rsidRPr="00AE2A0D" w:rsidRDefault="00B53F21" w:rsidP="003F2023">
            <w:pPr>
              <w:spacing w:after="0"/>
              <w:jc w:val="center"/>
              <w:rPr>
                <w:rFonts w:cs="Arial"/>
                <w:sz w:val="18"/>
                <w:szCs w:val="18"/>
              </w:rPr>
            </w:pPr>
            <w:r w:rsidRPr="00AE2A0D">
              <w:rPr>
                <w:rFonts w:cs="Arial"/>
                <w:sz w:val="18"/>
                <w:szCs w:val="18"/>
              </w:rPr>
              <w:t xml:space="preserve">7h </w:t>
            </w:r>
          </w:p>
        </w:tc>
      </w:tr>
      <w:tr w:rsidR="00B53F21" w:rsidRPr="00AE2A0D" w:rsidTr="003F2023">
        <w:trPr>
          <w:cantSplit/>
          <w:trHeight w:val="284"/>
        </w:trPr>
        <w:tc>
          <w:tcPr>
            <w:tcW w:w="1075" w:type="pct"/>
            <w:vAlign w:val="center"/>
          </w:tcPr>
          <w:p w:rsidR="00B53F21" w:rsidRPr="00AE2A0D" w:rsidRDefault="00B53F21" w:rsidP="003F2023">
            <w:pPr>
              <w:spacing w:after="0"/>
              <w:rPr>
                <w:rFonts w:cs="Arial"/>
                <w:sz w:val="18"/>
                <w:szCs w:val="18"/>
              </w:rPr>
            </w:pPr>
            <w:r w:rsidRPr="00AE2A0D">
              <w:rPr>
                <w:rFonts w:cs="Arial"/>
                <w:sz w:val="18"/>
                <w:szCs w:val="18"/>
              </w:rPr>
              <w:t>Estradas (horas)</w:t>
            </w:r>
          </w:p>
        </w:tc>
        <w:tc>
          <w:tcPr>
            <w:tcW w:w="1300" w:type="pct"/>
            <w:vAlign w:val="center"/>
          </w:tcPr>
          <w:p w:rsidR="00B53F21" w:rsidRPr="00AE2A0D" w:rsidRDefault="00B53F21" w:rsidP="003F2023">
            <w:pPr>
              <w:spacing w:after="0"/>
              <w:ind w:firstLine="21"/>
              <w:jc w:val="center"/>
              <w:rPr>
                <w:rFonts w:cs="Arial"/>
                <w:sz w:val="18"/>
                <w:szCs w:val="18"/>
              </w:rPr>
            </w:pPr>
            <w:r w:rsidRPr="00AE2A0D">
              <w:rPr>
                <w:rFonts w:cs="Arial"/>
                <w:sz w:val="18"/>
                <w:szCs w:val="18"/>
              </w:rPr>
              <w:t>1h 30min-</w:t>
            </w:r>
          </w:p>
        </w:tc>
        <w:tc>
          <w:tcPr>
            <w:tcW w:w="684" w:type="pct"/>
            <w:vAlign w:val="center"/>
          </w:tcPr>
          <w:p w:rsidR="00B53F21" w:rsidRPr="00AE2A0D" w:rsidRDefault="00B53F21" w:rsidP="003F2023">
            <w:pPr>
              <w:spacing w:after="0"/>
              <w:ind w:firstLine="21"/>
              <w:jc w:val="center"/>
              <w:rPr>
                <w:rFonts w:cs="Arial"/>
                <w:sz w:val="18"/>
                <w:szCs w:val="18"/>
              </w:rPr>
            </w:pPr>
          </w:p>
        </w:tc>
        <w:tc>
          <w:tcPr>
            <w:tcW w:w="588" w:type="pct"/>
            <w:vAlign w:val="center"/>
          </w:tcPr>
          <w:p w:rsidR="00B53F21" w:rsidRPr="00AE2A0D" w:rsidRDefault="00B53F21" w:rsidP="003F2023">
            <w:pPr>
              <w:spacing w:after="0"/>
              <w:jc w:val="center"/>
              <w:rPr>
                <w:rFonts w:cs="Arial"/>
                <w:sz w:val="18"/>
                <w:szCs w:val="18"/>
              </w:rPr>
            </w:pPr>
            <w:r w:rsidRPr="00AE2A0D">
              <w:rPr>
                <w:rFonts w:cs="Arial"/>
                <w:sz w:val="18"/>
                <w:szCs w:val="18"/>
              </w:rPr>
              <w:t>1h 30min</w:t>
            </w:r>
          </w:p>
        </w:tc>
        <w:tc>
          <w:tcPr>
            <w:tcW w:w="676" w:type="pct"/>
            <w:vAlign w:val="center"/>
          </w:tcPr>
          <w:p w:rsidR="00B53F21" w:rsidRPr="00AE2A0D" w:rsidRDefault="00B53F21" w:rsidP="003F2023">
            <w:pPr>
              <w:spacing w:after="0"/>
              <w:jc w:val="center"/>
              <w:rPr>
                <w:rFonts w:cs="Arial"/>
                <w:sz w:val="18"/>
                <w:szCs w:val="18"/>
              </w:rPr>
            </w:pPr>
          </w:p>
        </w:tc>
        <w:tc>
          <w:tcPr>
            <w:tcW w:w="677" w:type="pct"/>
            <w:vAlign w:val="center"/>
          </w:tcPr>
          <w:p w:rsidR="00B53F21" w:rsidRPr="00AE2A0D" w:rsidRDefault="00B53F21" w:rsidP="003F2023">
            <w:pPr>
              <w:spacing w:after="0"/>
              <w:jc w:val="center"/>
              <w:rPr>
                <w:rFonts w:cs="Arial"/>
                <w:sz w:val="18"/>
                <w:szCs w:val="18"/>
              </w:rPr>
            </w:pPr>
            <w:r w:rsidRPr="00AE2A0D">
              <w:rPr>
                <w:rFonts w:cs="Arial"/>
                <w:sz w:val="18"/>
                <w:szCs w:val="18"/>
              </w:rPr>
              <w:t>1h 30min</w:t>
            </w:r>
          </w:p>
        </w:tc>
      </w:tr>
    </w:tbl>
    <w:p w:rsidR="00B53F21" w:rsidRDefault="00B53F21" w:rsidP="00B53F21">
      <w:bookmarkStart w:id="131" w:name="_Ref401845553"/>
    </w:p>
    <w:p w:rsidR="00B53F21" w:rsidRPr="00CF17BD" w:rsidRDefault="00B53F21" w:rsidP="00CF17BD">
      <w:pPr>
        <w:tabs>
          <w:tab w:val="left" w:pos="9000"/>
        </w:tabs>
        <w:spacing w:before="120"/>
        <w:jc w:val="center"/>
        <w:rPr>
          <w:rFonts w:ascii="Arial Negrito" w:eastAsia="Arial Unicode MS" w:hAnsi="Arial Negrito" w:cs="Times New Roman"/>
          <w:bCs/>
          <w:smallCaps/>
          <w:snapToGrid w:val="0"/>
          <w:sz w:val="20"/>
          <w:szCs w:val="24"/>
        </w:rPr>
      </w:pPr>
      <w:r w:rsidRPr="00CF17BD">
        <w:rPr>
          <w:rFonts w:ascii="Arial Negrito" w:eastAsia="Arial Unicode MS" w:hAnsi="Arial Negrito" w:cs="Times New Roman"/>
          <w:bCs/>
          <w:smallCaps/>
          <w:snapToGrid w:val="0"/>
          <w:sz w:val="20"/>
          <w:szCs w:val="24"/>
        </w:rPr>
        <w:t xml:space="preserve">Tabela </w:t>
      </w:r>
      <w:bookmarkEnd w:id="131"/>
      <w:r w:rsidR="00AC1EDF" w:rsidRPr="00CF17BD">
        <w:rPr>
          <w:rFonts w:ascii="Arial Negrito" w:eastAsia="Arial Unicode MS" w:hAnsi="Arial Negrito" w:cs="Times New Roman"/>
          <w:bCs/>
          <w:smallCaps/>
          <w:snapToGrid w:val="0"/>
          <w:sz w:val="20"/>
          <w:szCs w:val="24"/>
        </w:rPr>
        <w:t>6.4.</w:t>
      </w:r>
      <w:r w:rsidR="002F5F14">
        <w:rPr>
          <w:rFonts w:ascii="Arial Negrito" w:eastAsia="Arial Unicode MS" w:hAnsi="Arial Negrito" w:cs="Times New Roman"/>
          <w:bCs/>
          <w:smallCaps/>
          <w:snapToGrid w:val="0"/>
          <w:sz w:val="20"/>
          <w:szCs w:val="24"/>
        </w:rPr>
        <w:t>4-12.</w:t>
      </w:r>
      <w:r w:rsidRPr="00CF17BD">
        <w:rPr>
          <w:rFonts w:ascii="Arial Negrito" w:eastAsia="Arial Unicode MS" w:hAnsi="Arial Negrito" w:cs="Times New Roman"/>
          <w:bCs/>
          <w:smallCaps/>
          <w:snapToGrid w:val="0"/>
          <w:sz w:val="20"/>
          <w:szCs w:val="24"/>
        </w:rPr>
        <w:t xml:space="preserve"> Breve descrição das áreas de amostragem da mastofauna </w:t>
      </w:r>
    </w:p>
    <w:tbl>
      <w:tblPr>
        <w:tblW w:w="5000" w:type="pct"/>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0A0" w:firstRow="1" w:lastRow="0" w:firstColumn="1" w:lastColumn="0" w:noHBand="0" w:noVBand="0"/>
      </w:tblPr>
      <w:tblGrid>
        <w:gridCol w:w="2244"/>
        <w:gridCol w:w="1006"/>
        <w:gridCol w:w="991"/>
        <w:gridCol w:w="5093"/>
      </w:tblGrid>
      <w:tr w:rsidR="00B53F21" w:rsidRPr="00AE2A0D" w:rsidTr="00CF17BD">
        <w:trPr>
          <w:cantSplit/>
          <w:trHeight w:val="284"/>
          <w:tblHeader/>
          <w:jc w:val="center"/>
        </w:trPr>
        <w:tc>
          <w:tcPr>
            <w:tcW w:w="1202" w:type="pct"/>
            <w:vMerge w:val="restart"/>
            <w:shd w:val="clear" w:color="auto" w:fill="D9D9D9"/>
            <w:vAlign w:val="center"/>
          </w:tcPr>
          <w:p w:rsidR="00B53F21" w:rsidRPr="00AE2A0D" w:rsidRDefault="00B53F21" w:rsidP="003F2023">
            <w:pPr>
              <w:spacing w:after="0"/>
              <w:rPr>
                <w:b/>
                <w:sz w:val="18"/>
                <w:szCs w:val="18"/>
              </w:rPr>
            </w:pPr>
            <w:r w:rsidRPr="00AE2A0D">
              <w:rPr>
                <w:b/>
                <w:sz w:val="18"/>
                <w:szCs w:val="18"/>
              </w:rPr>
              <w:t>Local</w:t>
            </w:r>
          </w:p>
        </w:tc>
        <w:tc>
          <w:tcPr>
            <w:tcW w:w="1070" w:type="pct"/>
            <w:gridSpan w:val="2"/>
            <w:shd w:val="clear" w:color="auto" w:fill="D9D9D9"/>
            <w:vAlign w:val="center"/>
          </w:tcPr>
          <w:p w:rsidR="00B53F21" w:rsidRPr="00AE2A0D" w:rsidRDefault="00B53F21" w:rsidP="002F5F14">
            <w:pPr>
              <w:spacing w:after="0"/>
              <w:jc w:val="center"/>
              <w:rPr>
                <w:b/>
                <w:bCs/>
                <w:sz w:val="18"/>
                <w:szCs w:val="18"/>
              </w:rPr>
            </w:pPr>
            <w:r w:rsidRPr="00AE2A0D">
              <w:rPr>
                <w:b/>
                <w:bCs/>
                <w:sz w:val="18"/>
                <w:szCs w:val="18"/>
              </w:rPr>
              <w:t>Coordenadas (UTM)</w:t>
            </w:r>
          </w:p>
        </w:tc>
        <w:tc>
          <w:tcPr>
            <w:tcW w:w="2727" w:type="pct"/>
            <w:vMerge w:val="restart"/>
            <w:shd w:val="clear" w:color="auto" w:fill="D9D9D9"/>
            <w:vAlign w:val="center"/>
          </w:tcPr>
          <w:p w:rsidR="00B53F21" w:rsidRPr="00AE2A0D" w:rsidRDefault="00B53F21" w:rsidP="003F2023">
            <w:pPr>
              <w:spacing w:after="0"/>
              <w:jc w:val="center"/>
              <w:rPr>
                <w:b/>
                <w:sz w:val="18"/>
                <w:szCs w:val="18"/>
              </w:rPr>
            </w:pPr>
            <w:r w:rsidRPr="00AE2A0D">
              <w:rPr>
                <w:b/>
                <w:sz w:val="18"/>
                <w:szCs w:val="18"/>
              </w:rPr>
              <w:t>Vegetação</w:t>
            </w:r>
          </w:p>
        </w:tc>
      </w:tr>
      <w:tr w:rsidR="00B53F21" w:rsidRPr="00AE2A0D" w:rsidTr="00CF17BD">
        <w:trPr>
          <w:cantSplit/>
          <w:trHeight w:val="284"/>
          <w:tblHeader/>
          <w:jc w:val="center"/>
        </w:trPr>
        <w:tc>
          <w:tcPr>
            <w:tcW w:w="1202" w:type="pct"/>
            <w:vMerge/>
            <w:shd w:val="clear" w:color="auto" w:fill="D9D9D9"/>
            <w:vAlign w:val="center"/>
          </w:tcPr>
          <w:p w:rsidR="00B53F21" w:rsidRPr="00AE2A0D" w:rsidRDefault="00B53F21" w:rsidP="003F2023">
            <w:pPr>
              <w:spacing w:after="0"/>
              <w:rPr>
                <w:b/>
                <w:sz w:val="18"/>
                <w:szCs w:val="18"/>
              </w:rPr>
            </w:pPr>
          </w:p>
        </w:tc>
        <w:tc>
          <w:tcPr>
            <w:tcW w:w="539" w:type="pct"/>
            <w:shd w:val="clear" w:color="auto" w:fill="D9D9D9"/>
            <w:vAlign w:val="center"/>
          </w:tcPr>
          <w:p w:rsidR="00B53F21" w:rsidRPr="00AE2A0D" w:rsidRDefault="00B53F21" w:rsidP="003F2023">
            <w:pPr>
              <w:spacing w:after="0"/>
              <w:jc w:val="center"/>
              <w:rPr>
                <w:b/>
                <w:bCs/>
                <w:sz w:val="18"/>
                <w:szCs w:val="18"/>
              </w:rPr>
            </w:pPr>
            <w:r w:rsidRPr="00AE2A0D">
              <w:rPr>
                <w:b/>
                <w:bCs/>
                <w:sz w:val="18"/>
                <w:szCs w:val="18"/>
              </w:rPr>
              <w:t>Este</w:t>
            </w:r>
          </w:p>
        </w:tc>
        <w:tc>
          <w:tcPr>
            <w:tcW w:w="531" w:type="pct"/>
            <w:shd w:val="clear" w:color="auto" w:fill="D9D9D9"/>
            <w:vAlign w:val="center"/>
          </w:tcPr>
          <w:p w:rsidR="00B53F21" w:rsidRPr="00AE2A0D" w:rsidRDefault="00B53F21" w:rsidP="003F2023">
            <w:pPr>
              <w:spacing w:after="0"/>
              <w:jc w:val="center"/>
              <w:rPr>
                <w:b/>
                <w:bCs/>
                <w:sz w:val="18"/>
                <w:szCs w:val="18"/>
              </w:rPr>
            </w:pPr>
            <w:r w:rsidRPr="00AE2A0D">
              <w:rPr>
                <w:b/>
                <w:bCs/>
                <w:sz w:val="18"/>
                <w:szCs w:val="18"/>
              </w:rPr>
              <w:t>Sul</w:t>
            </w:r>
          </w:p>
        </w:tc>
        <w:tc>
          <w:tcPr>
            <w:tcW w:w="2727" w:type="pct"/>
            <w:vMerge/>
            <w:shd w:val="clear" w:color="auto" w:fill="D9D9D9"/>
            <w:vAlign w:val="center"/>
          </w:tcPr>
          <w:p w:rsidR="00B53F21" w:rsidRPr="00AE2A0D" w:rsidRDefault="00B53F21" w:rsidP="003F2023">
            <w:pPr>
              <w:spacing w:after="0"/>
              <w:rPr>
                <w:b/>
                <w:sz w:val="18"/>
                <w:szCs w:val="18"/>
              </w:rPr>
            </w:pPr>
          </w:p>
        </w:tc>
      </w:tr>
      <w:tr w:rsidR="00B53F21" w:rsidRPr="00AE2A0D" w:rsidTr="00CF17BD">
        <w:trPr>
          <w:cantSplit/>
          <w:trHeight w:val="284"/>
          <w:jc w:val="center"/>
        </w:trPr>
        <w:tc>
          <w:tcPr>
            <w:tcW w:w="1202" w:type="pct"/>
            <w:vAlign w:val="center"/>
          </w:tcPr>
          <w:p w:rsidR="00B53F21" w:rsidRPr="00872D76" w:rsidRDefault="00B53F21" w:rsidP="003F2023">
            <w:pPr>
              <w:spacing w:after="0"/>
              <w:rPr>
                <w:sz w:val="18"/>
                <w:szCs w:val="18"/>
              </w:rPr>
            </w:pPr>
            <w:r w:rsidRPr="00872D76">
              <w:rPr>
                <w:sz w:val="18"/>
                <w:szCs w:val="18"/>
              </w:rPr>
              <w:t>Área 1 (Santa Isabel, SP)</w:t>
            </w:r>
          </w:p>
        </w:tc>
        <w:tc>
          <w:tcPr>
            <w:tcW w:w="539" w:type="pct"/>
            <w:vAlign w:val="center"/>
          </w:tcPr>
          <w:p w:rsidR="00B53F21" w:rsidRPr="00AE2A0D" w:rsidRDefault="00B53F21" w:rsidP="003F2023">
            <w:pPr>
              <w:spacing w:after="0"/>
              <w:jc w:val="center"/>
              <w:rPr>
                <w:sz w:val="18"/>
                <w:szCs w:val="18"/>
              </w:rPr>
            </w:pPr>
            <w:r w:rsidRPr="00AE2A0D">
              <w:rPr>
                <w:sz w:val="18"/>
                <w:szCs w:val="18"/>
              </w:rPr>
              <w:t>379628</w:t>
            </w:r>
          </w:p>
        </w:tc>
        <w:tc>
          <w:tcPr>
            <w:tcW w:w="531" w:type="pct"/>
            <w:vAlign w:val="center"/>
          </w:tcPr>
          <w:p w:rsidR="00B53F21" w:rsidRPr="00AE2A0D" w:rsidRDefault="00B53F21" w:rsidP="003F2023">
            <w:pPr>
              <w:spacing w:after="0"/>
              <w:jc w:val="center"/>
              <w:rPr>
                <w:sz w:val="18"/>
                <w:szCs w:val="18"/>
              </w:rPr>
            </w:pPr>
            <w:r w:rsidRPr="00AE2A0D">
              <w:rPr>
                <w:sz w:val="18"/>
                <w:szCs w:val="18"/>
              </w:rPr>
              <w:t>7429711</w:t>
            </w:r>
          </w:p>
        </w:tc>
        <w:tc>
          <w:tcPr>
            <w:tcW w:w="2727" w:type="pct"/>
            <w:vAlign w:val="center"/>
          </w:tcPr>
          <w:p w:rsidR="00B53F21" w:rsidRPr="00AE2A0D" w:rsidRDefault="00B53F21" w:rsidP="003F2023">
            <w:pPr>
              <w:spacing w:after="0"/>
              <w:rPr>
                <w:sz w:val="18"/>
                <w:szCs w:val="18"/>
              </w:rPr>
            </w:pPr>
            <w:r w:rsidRPr="00AE2A0D">
              <w:rPr>
                <w:sz w:val="18"/>
                <w:szCs w:val="18"/>
              </w:rPr>
              <w:t>Área de mata pequena, com sub-bosque escasso, limitada ao vale de duas nascentes, sendo a porção Leste em matriz de pasto e a porção Oeste entre pasto e eucaliptal.</w:t>
            </w:r>
          </w:p>
        </w:tc>
      </w:tr>
      <w:tr w:rsidR="00B53F21" w:rsidRPr="00AE2A0D" w:rsidTr="00CF17BD">
        <w:trPr>
          <w:cantSplit/>
          <w:trHeight w:val="284"/>
          <w:jc w:val="center"/>
        </w:trPr>
        <w:tc>
          <w:tcPr>
            <w:tcW w:w="1202" w:type="pct"/>
            <w:vAlign w:val="center"/>
          </w:tcPr>
          <w:p w:rsidR="00B53F21" w:rsidRPr="00872D76" w:rsidRDefault="00B53F21" w:rsidP="003F2023">
            <w:pPr>
              <w:spacing w:after="0"/>
              <w:rPr>
                <w:sz w:val="18"/>
                <w:szCs w:val="18"/>
              </w:rPr>
            </w:pPr>
            <w:r w:rsidRPr="00872D76">
              <w:rPr>
                <w:sz w:val="18"/>
                <w:szCs w:val="18"/>
              </w:rPr>
              <w:t>Área 2 (Igaratá, SP)</w:t>
            </w:r>
          </w:p>
        </w:tc>
        <w:tc>
          <w:tcPr>
            <w:tcW w:w="539" w:type="pct"/>
            <w:vAlign w:val="center"/>
          </w:tcPr>
          <w:p w:rsidR="00B53F21" w:rsidRPr="00AE2A0D" w:rsidRDefault="00B53F21" w:rsidP="003F2023">
            <w:pPr>
              <w:spacing w:after="0"/>
              <w:jc w:val="center"/>
              <w:rPr>
                <w:sz w:val="18"/>
                <w:szCs w:val="18"/>
              </w:rPr>
            </w:pPr>
            <w:r w:rsidRPr="00AE2A0D">
              <w:rPr>
                <w:sz w:val="18"/>
                <w:szCs w:val="18"/>
              </w:rPr>
              <w:t>375692</w:t>
            </w:r>
          </w:p>
        </w:tc>
        <w:tc>
          <w:tcPr>
            <w:tcW w:w="531" w:type="pct"/>
            <w:vAlign w:val="center"/>
          </w:tcPr>
          <w:p w:rsidR="00B53F21" w:rsidRPr="00AE2A0D" w:rsidRDefault="00B53F21" w:rsidP="003F2023">
            <w:pPr>
              <w:spacing w:after="0"/>
              <w:jc w:val="center"/>
              <w:rPr>
                <w:sz w:val="18"/>
                <w:szCs w:val="18"/>
              </w:rPr>
            </w:pPr>
            <w:r w:rsidRPr="00AE2A0D">
              <w:rPr>
                <w:sz w:val="18"/>
                <w:szCs w:val="18"/>
              </w:rPr>
              <w:t>7434188</w:t>
            </w:r>
          </w:p>
        </w:tc>
        <w:tc>
          <w:tcPr>
            <w:tcW w:w="2727" w:type="pct"/>
            <w:vAlign w:val="center"/>
          </w:tcPr>
          <w:p w:rsidR="00B53F21" w:rsidRPr="00AE2A0D" w:rsidRDefault="00B53F21" w:rsidP="003F2023">
            <w:pPr>
              <w:spacing w:after="0"/>
              <w:rPr>
                <w:sz w:val="18"/>
                <w:szCs w:val="18"/>
              </w:rPr>
            </w:pPr>
            <w:r w:rsidRPr="00AE2A0D">
              <w:rPr>
                <w:sz w:val="18"/>
                <w:szCs w:val="18"/>
              </w:rPr>
              <w:t>Fragmento de mata em matriz de eucaliptal ladeado por tanques de piscicultura.</w:t>
            </w:r>
          </w:p>
        </w:tc>
      </w:tr>
      <w:tr w:rsidR="00B53F21" w:rsidRPr="00AE2A0D" w:rsidTr="00CF17BD">
        <w:trPr>
          <w:cantSplit/>
          <w:trHeight w:val="284"/>
          <w:jc w:val="center"/>
        </w:trPr>
        <w:tc>
          <w:tcPr>
            <w:tcW w:w="1202" w:type="pct"/>
            <w:vAlign w:val="center"/>
          </w:tcPr>
          <w:p w:rsidR="00B53F21" w:rsidRPr="00872D76" w:rsidRDefault="00B53F21" w:rsidP="003F2023">
            <w:pPr>
              <w:spacing w:after="0"/>
              <w:rPr>
                <w:sz w:val="18"/>
                <w:szCs w:val="18"/>
              </w:rPr>
            </w:pPr>
            <w:r w:rsidRPr="00872D76">
              <w:rPr>
                <w:sz w:val="18"/>
                <w:szCs w:val="18"/>
              </w:rPr>
              <w:lastRenderedPageBreak/>
              <w:t>Área 3</w:t>
            </w:r>
          </w:p>
          <w:p w:rsidR="00B53F21" w:rsidRPr="00872D76" w:rsidRDefault="00B53F21" w:rsidP="003F2023">
            <w:pPr>
              <w:spacing w:after="0"/>
              <w:rPr>
                <w:sz w:val="18"/>
                <w:szCs w:val="18"/>
              </w:rPr>
            </w:pPr>
            <w:r w:rsidRPr="00872D76">
              <w:rPr>
                <w:sz w:val="18"/>
                <w:szCs w:val="18"/>
              </w:rPr>
              <w:t>(Igaratá, SP)</w:t>
            </w:r>
          </w:p>
        </w:tc>
        <w:tc>
          <w:tcPr>
            <w:tcW w:w="539" w:type="pct"/>
            <w:vAlign w:val="center"/>
          </w:tcPr>
          <w:p w:rsidR="00B53F21" w:rsidRPr="00AE2A0D" w:rsidRDefault="00B53F21" w:rsidP="003F2023">
            <w:pPr>
              <w:spacing w:after="0"/>
              <w:jc w:val="center"/>
              <w:rPr>
                <w:sz w:val="18"/>
                <w:szCs w:val="18"/>
              </w:rPr>
            </w:pPr>
            <w:r w:rsidRPr="00AE2A0D">
              <w:rPr>
                <w:sz w:val="18"/>
                <w:szCs w:val="18"/>
              </w:rPr>
              <w:t>374221</w:t>
            </w:r>
          </w:p>
        </w:tc>
        <w:tc>
          <w:tcPr>
            <w:tcW w:w="531" w:type="pct"/>
            <w:vAlign w:val="center"/>
          </w:tcPr>
          <w:p w:rsidR="00B53F21" w:rsidRPr="00AE2A0D" w:rsidRDefault="00B53F21" w:rsidP="003F2023">
            <w:pPr>
              <w:spacing w:after="0"/>
              <w:jc w:val="center"/>
              <w:rPr>
                <w:sz w:val="18"/>
                <w:szCs w:val="18"/>
              </w:rPr>
            </w:pPr>
            <w:r w:rsidRPr="00AE2A0D">
              <w:rPr>
                <w:sz w:val="18"/>
                <w:szCs w:val="18"/>
              </w:rPr>
              <w:t>7438836</w:t>
            </w:r>
          </w:p>
        </w:tc>
        <w:tc>
          <w:tcPr>
            <w:tcW w:w="2727" w:type="pct"/>
            <w:vAlign w:val="center"/>
          </w:tcPr>
          <w:p w:rsidR="00B53F21" w:rsidRPr="00AE2A0D" w:rsidRDefault="00B53F21" w:rsidP="003F2023">
            <w:pPr>
              <w:spacing w:after="0"/>
              <w:rPr>
                <w:sz w:val="18"/>
                <w:szCs w:val="18"/>
              </w:rPr>
            </w:pPr>
            <w:r w:rsidRPr="00AE2A0D">
              <w:rPr>
                <w:sz w:val="18"/>
                <w:szCs w:val="18"/>
              </w:rPr>
              <w:t>Fragmento heterogêneo, formado basicamente por três fisionomias, sendo aproximadamente 1/3 de eucaliptal, 1/3 de brejo e 1/3 de área de mata praticamente sem sub-bosque.</w:t>
            </w:r>
          </w:p>
        </w:tc>
      </w:tr>
      <w:tr w:rsidR="00B53F21" w:rsidRPr="00AE2A0D" w:rsidTr="00CF17BD">
        <w:trPr>
          <w:cantSplit/>
          <w:trHeight w:val="284"/>
          <w:jc w:val="center"/>
        </w:trPr>
        <w:tc>
          <w:tcPr>
            <w:tcW w:w="1202" w:type="pct"/>
            <w:vAlign w:val="center"/>
          </w:tcPr>
          <w:p w:rsidR="00B53F21" w:rsidRPr="00872D76" w:rsidRDefault="00B53F21" w:rsidP="003F2023">
            <w:pPr>
              <w:spacing w:after="0"/>
              <w:rPr>
                <w:sz w:val="18"/>
                <w:szCs w:val="18"/>
              </w:rPr>
            </w:pPr>
            <w:r w:rsidRPr="00872D76">
              <w:rPr>
                <w:sz w:val="18"/>
                <w:szCs w:val="18"/>
              </w:rPr>
              <w:t>Área 4</w:t>
            </w:r>
          </w:p>
          <w:p w:rsidR="00B53F21" w:rsidRPr="00872D76" w:rsidRDefault="00B53F21" w:rsidP="003F2023">
            <w:pPr>
              <w:spacing w:after="0"/>
              <w:rPr>
                <w:sz w:val="18"/>
                <w:szCs w:val="18"/>
              </w:rPr>
            </w:pPr>
            <w:r w:rsidRPr="00872D76">
              <w:rPr>
                <w:sz w:val="18"/>
                <w:szCs w:val="18"/>
              </w:rPr>
              <w:t>(Igaratá e Nazaré Paulista, SP)</w:t>
            </w:r>
          </w:p>
        </w:tc>
        <w:tc>
          <w:tcPr>
            <w:tcW w:w="539" w:type="pct"/>
            <w:vAlign w:val="center"/>
          </w:tcPr>
          <w:p w:rsidR="00B53F21" w:rsidRPr="00AE2A0D" w:rsidRDefault="00B53F21" w:rsidP="003F2023">
            <w:pPr>
              <w:spacing w:after="0"/>
              <w:jc w:val="center"/>
              <w:rPr>
                <w:sz w:val="18"/>
                <w:szCs w:val="18"/>
              </w:rPr>
            </w:pPr>
            <w:r w:rsidRPr="00AE2A0D">
              <w:rPr>
                <w:sz w:val="18"/>
                <w:szCs w:val="18"/>
              </w:rPr>
              <w:t>372825</w:t>
            </w:r>
          </w:p>
        </w:tc>
        <w:tc>
          <w:tcPr>
            <w:tcW w:w="531" w:type="pct"/>
            <w:vAlign w:val="center"/>
          </w:tcPr>
          <w:p w:rsidR="00B53F21" w:rsidRPr="00AE2A0D" w:rsidRDefault="00B53F21" w:rsidP="003F2023">
            <w:pPr>
              <w:spacing w:after="0"/>
              <w:jc w:val="center"/>
              <w:rPr>
                <w:sz w:val="18"/>
                <w:szCs w:val="18"/>
              </w:rPr>
            </w:pPr>
            <w:r w:rsidRPr="00AE2A0D">
              <w:rPr>
                <w:sz w:val="18"/>
                <w:szCs w:val="18"/>
              </w:rPr>
              <w:t>7439747</w:t>
            </w:r>
          </w:p>
        </w:tc>
        <w:tc>
          <w:tcPr>
            <w:tcW w:w="2727" w:type="pct"/>
            <w:vAlign w:val="center"/>
          </w:tcPr>
          <w:p w:rsidR="00B53F21" w:rsidRPr="00AE2A0D" w:rsidRDefault="00B53F21" w:rsidP="003F2023">
            <w:pPr>
              <w:spacing w:after="0"/>
              <w:rPr>
                <w:sz w:val="18"/>
                <w:szCs w:val="18"/>
              </w:rPr>
            </w:pPr>
            <w:r w:rsidRPr="00AE2A0D">
              <w:rPr>
                <w:sz w:val="18"/>
                <w:szCs w:val="18"/>
              </w:rPr>
              <w:t>Fragmento de mata em melhor estado de conservação do que as demais, com muitas nascentes e sub-bosque denso. Presença maciça de palmitos.</w:t>
            </w:r>
          </w:p>
        </w:tc>
      </w:tr>
      <w:tr w:rsidR="00B53F21" w:rsidRPr="00AE2A0D" w:rsidTr="00CF17BD">
        <w:trPr>
          <w:cantSplit/>
          <w:trHeight w:val="284"/>
          <w:jc w:val="center"/>
        </w:trPr>
        <w:tc>
          <w:tcPr>
            <w:tcW w:w="1202" w:type="pct"/>
            <w:vAlign w:val="center"/>
          </w:tcPr>
          <w:p w:rsidR="00B53F21" w:rsidRPr="00872D76" w:rsidRDefault="00B53F21" w:rsidP="003F2023">
            <w:pPr>
              <w:spacing w:after="0"/>
              <w:rPr>
                <w:sz w:val="18"/>
                <w:szCs w:val="18"/>
              </w:rPr>
            </w:pPr>
            <w:r w:rsidRPr="00872D76">
              <w:rPr>
                <w:sz w:val="18"/>
                <w:szCs w:val="18"/>
              </w:rPr>
              <w:t>Área 5</w:t>
            </w:r>
          </w:p>
          <w:p w:rsidR="00B53F21" w:rsidRPr="00872D76" w:rsidRDefault="00B53F21" w:rsidP="003F2023">
            <w:pPr>
              <w:spacing w:after="0"/>
              <w:rPr>
                <w:sz w:val="18"/>
                <w:szCs w:val="18"/>
              </w:rPr>
            </w:pPr>
            <w:r w:rsidRPr="00872D76">
              <w:rPr>
                <w:sz w:val="18"/>
                <w:szCs w:val="18"/>
              </w:rPr>
              <w:t>(Nazaré Paulista, SP)</w:t>
            </w:r>
          </w:p>
        </w:tc>
        <w:tc>
          <w:tcPr>
            <w:tcW w:w="539" w:type="pct"/>
            <w:vAlign w:val="center"/>
          </w:tcPr>
          <w:p w:rsidR="00B53F21" w:rsidRPr="00AE2A0D" w:rsidRDefault="00B53F21" w:rsidP="003F2023">
            <w:pPr>
              <w:spacing w:after="0"/>
              <w:jc w:val="center"/>
              <w:rPr>
                <w:sz w:val="18"/>
                <w:szCs w:val="18"/>
              </w:rPr>
            </w:pPr>
            <w:r w:rsidRPr="00AE2A0D">
              <w:rPr>
                <w:sz w:val="18"/>
                <w:szCs w:val="18"/>
              </w:rPr>
              <w:t>369416</w:t>
            </w:r>
          </w:p>
        </w:tc>
        <w:tc>
          <w:tcPr>
            <w:tcW w:w="531" w:type="pct"/>
            <w:vAlign w:val="center"/>
          </w:tcPr>
          <w:p w:rsidR="00B53F21" w:rsidRPr="00AE2A0D" w:rsidRDefault="00B53F21" w:rsidP="003F2023">
            <w:pPr>
              <w:spacing w:after="0"/>
              <w:jc w:val="center"/>
              <w:rPr>
                <w:sz w:val="18"/>
                <w:szCs w:val="18"/>
              </w:rPr>
            </w:pPr>
            <w:r w:rsidRPr="00AE2A0D">
              <w:rPr>
                <w:sz w:val="18"/>
                <w:szCs w:val="18"/>
              </w:rPr>
              <w:t>7442985</w:t>
            </w:r>
          </w:p>
        </w:tc>
        <w:tc>
          <w:tcPr>
            <w:tcW w:w="2727" w:type="pct"/>
            <w:vAlign w:val="center"/>
          </w:tcPr>
          <w:p w:rsidR="00B53F21" w:rsidRPr="00AE2A0D" w:rsidRDefault="00B53F21" w:rsidP="003F2023">
            <w:pPr>
              <w:spacing w:after="0"/>
              <w:rPr>
                <w:sz w:val="18"/>
                <w:szCs w:val="18"/>
              </w:rPr>
            </w:pPr>
            <w:r w:rsidRPr="00AE2A0D">
              <w:rPr>
                <w:sz w:val="18"/>
                <w:szCs w:val="18"/>
              </w:rPr>
              <w:t>Área heterogênea composta por um fragmento de mata em bom estado de conservação, com muitas nascentes e sub-bosque denso em parte e presença de gramíneas e samambaias em uma porção mais a Oeste, e uma grande área de brejo ao sul.</w:t>
            </w:r>
          </w:p>
        </w:tc>
      </w:tr>
    </w:tbl>
    <w:p w:rsidR="00B53F21" w:rsidRPr="003B21B8" w:rsidRDefault="00CF17BD" w:rsidP="00CF17BD">
      <w:pPr>
        <w:rPr>
          <w:sz w:val="14"/>
          <w:szCs w:val="14"/>
        </w:rPr>
      </w:pPr>
      <w:r w:rsidRPr="003B21B8">
        <w:rPr>
          <w:sz w:val="14"/>
          <w:szCs w:val="14"/>
        </w:rPr>
        <w:t>Nota – levantamento para elaboração do EIA/RIMA das obras da Interligação das represas Jaguari e Atibainha, entre os dias 30/09 e 05/10/2014.</w:t>
      </w:r>
    </w:p>
    <w:tbl>
      <w:tblPr>
        <w:tblW w:w="5000" w:type="pct"/>
        <w:jc w:val="center"/>
        <w:tblLook w:val="00A0" w:firstRow="1" w:lastRow="0" w:firstColumn="1" w:lastColumn="0" w:noHBand="0" w:noVBand="0"/>
      </w:tblPr>
      <w:tblGrid>
        <w:gridCol w:w="4677"/>
        <w:gridCol w:w="4677"/>
      </w:tblGrid>
      <w:tr w:rsidR="00CF17BD" w:rsidRPr="00AE2A0D" w:rsidTr="003B21B8">
        <w:trPr>
          <w:jc w:val="center"/>
        </w:trPr>
        <w:tc>
          <w:tcPr>
            <w:tcW w:w="2500" w:type="pct"/>
          </w:tcPr>
          <w:p w:rsidR="00CF17BD" w:rsidRPr="00CF17BD" w:rsidRDefault="00CF17BD" w:rsidP="00CF17BD">
            <w:pPr>
              <w:keepNext/>
              <w:spacing w:after="0"/>
              <w:jc w:val="center"/>
              <w:rPr>
                <w:rFonts w:cs="Arial"/>
                <w:noProof/>
                <w:color w:val="0000FF"/>
                <w:sz w:val="18"/>
                <w:szCs w:val="18"/>
                <w:lang w:eastAsia="pt-BR"/>
              </w:rPr>
            </w:pPr>
            <w:r w:rsidRPr="00AE2A0D">
              <w:rPr>
                <w:rFonts w:cs="Arial"/>
                <w:noProof/>
                <w:color w:val="0000FF"/>
                <w:sz w:val="18"/>
                <w:szCs w:val="18"/>
                <w:lang w:eastAsia="pt-BR"/>
              </w:rPr>
              <w:drawing>
                <wp:inline distT="0" distB="0" distL="0" distR="0" wp14:anchorId="47AC8F93" wp14:editId="420CCE52">
                  <wp:extent cx="2819400" cy="2114550"/>
                  <wp:effectExtent l="19050" t="0" r="0" b="0"/>
                  <wp:docPr id="1" name="Imagem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2819400" cy="2114550"/>
                          </a:xfrm>
                          <a:prstGeom prst="rect">
                            <a:avLst/>
                          </a:prstGeom>
                          <a:noFill/>
                          <a:ln>
                            <a:noFill/>
                          </a:ln>
                        </pic:spPr>
                      </pic:pic>
                    </a:graphicData>
                  </a:graphic>
                </wp:inline>
              </w:drawing>
            </w:r>
          </w:p>
        </w:tc>
        <w:tc>
          <w:tcPr>
            <w:tcW w:w="2500" w:type="pct"/>
          </w:tcPr>
          <w:p w:rsidR="00CF17BD" w:rsidRPr="00CF17BD" w:rsidRDefault="00CF17BD" w:rsidP="00CF17BD">
            <w:pPr>
              <w:keepNext/>
              <w:spacing w:after="0"/>
              <w:jc w:val="center"/>
              <w:rPr>
                <w:rFonts w:cs="Arial"/>
                <w:noProof/>
                <w:color w:val="0000FF"/>
                <w:sz w:val="18"/>
                <w:szCs w:val="18"/>
                <w:lang w:eastAsia="pt-BR"/>
              </w:rPr>
            </w:pPr>
            <w:r w:rsidRPr="00AE2A0D">
              <w:rPr>
                <w:rFonts w:cs="Arial"/>
                <w:noProof/>
                <w:color w:val="0000FF"/>
                <w:sz w:val="18"/>
                <w:szCs w:val="18"/>
                <w:lang w:eastAsia="pt-BR"/>
              </w:rPr>
              <w:drawing>
                <wp:inline distT="0" distB="0" distL="0" distR="0" wp14:anchorId="00540A6B" wp14:editId="33204A31">
                  <wp:extent cx="2819400" cy="2114550"/>
                  <wp:effectExtent l="19050" t="0" r="0" b="0"/>
                  <wp:docPr id="2" name="Imagem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cstate="print">
                            <a:extLst>
                              <a:ext uri="{28A0092B-C50C-407E-A947-70E740481C1C}">
                                <a14:useLocalDpi xmlns:a14="http://schemas.microsoft.com/office/drawing/2010/main" val="0"/>
                              </a:ext>
                            </a:extLst>
                          </a:blip>
                          <a:stretch>
                            <a:fillRect/>
                          </a:stretch>
                        </pic:blipFill>
                        <pic:spPr bwMode="auto">
                          <a:xfrm>
                            <a:off x="0" y="0"/>
                            <a:ext cx="2819400" cy="2114550"/>
                          </a:xfrm>
                          <a:prstGeom prst="rect">
                            <a:avLst/>
                          </a:prstGeom>
                          <a:noFill/>
                          <a:ln>
                            <a:noFill/>
                          </a:ln>
                        </pic:spPr>
                      </pic:pic>
                    </a:graphicData>
                  </a:graphic>
                </wp:inline>
              </w:drawing>
            </w:r>
          </w:p>
        </w:tc>
      </w:tr>
      <w:tr w:rsidR="00CF17BD" w:rsidRPr="00CF17BD" w:rsidTr="003B21B8">
        <w:trPr>
          <w:jc w:val="center"/>
        </w:trPr>
        <w:tc>
          <w:tcPr>
            <w:tcW w:w="2500" w:type="pct"/>
          </w:tcPr>
          <w:p w:rsidR="00CF17BD" w:rsidRPr="00CF17BD" w:rsidRDefault="00CF17BD" w:rsidP="00CF17BD">
            <w:pPr>
              <w:spacing w:after="0"/>
              <w:jc w:val="center"/>
              <w:rPr>
                <w:rFonts w:cs="Arial"/>
                <w:noProof/>
                <w:sz w:val="18"/>
                <w:szCs w:val="18"/>
                <w:lang w:eastAsia="pt-BR"/>
              </w:rPr>
            </w:pPr>
            <w:r w:rsidRPr="00CF17BD">
              <w:rPr>
                <w:rFonts w:cs="Arial"/>
                <w:noProof/>
                <w:sz w:val="18"/>
                <w:szCs w:val="18"/>
                <w:lang w:eastAsia="pt-BR"/>
              </w:rPr>
              <w:t>Área 1, Santa Isabel - SP.</w:t>
            </w:r>
          </w:p>
        </w:tc>
        <w:tc>
          <w:tcPr>
            <w:tcW w:w="2500" w:type="pct"/>
          </w:tcPr>
          <w:p w:rsidR="00CF17BD" w:rsidRPr="00CF17BD" w:rsidRDefault="00CF17BD" w:rsidP="00CF17BD">
            <w:pPr>
              <w:keepNext/>
              <w:spacing w:after="0"/>
              <w:jc w:val="center"/>
              <w:rPr>
                <w:rFonts w:cs="Arial"/>
                <w:noProof/>
                <w:sz w:val="18"/>
                <w:szCs w:val="18"/>
                <w:lang w:eastAsia="pt-BR"/>
              </w:rPr>
            </w:pPr>
            <w:r w:rsidRPr="00CF17BD">
              <w:rPr>
                <w:rFonts w:cs="Arial"/>
                <w:noProof/>
                <w:sz w:val="18"/>
                <w:szCs w:val="18"/>
                <w:lang w:eastAsia="pt-BR"/>
              </w:rPr>
              <w:t>Área 2, Igaratá - SP.</w:t>
            </w:r>
          </w:p>
        </w:tc>
      </w:tr>
      <w:tr w:rsidR="003B21B8" w:rsidRPr="00CF17BD" w:rsidTr="003B21B8">
        <w:trPr>
          <w:jc w:val="center"/>
        </w:trPr>
        <w:tc>
          <w:tcPr>
            <w:tcW w:w="2500" w:type="pct"/>
          </w:tcPr>
          <w:p w:rsidR="003B21B8" w:rsidRDefault="003B21B8" w:rsidP="00CF17BD">
            <w:pPr>
              <w:spacing w:after="0"/>
              <w:jc w:val="center"/>
              <w:rPr>
                <w:rFonts w:cs="Arial"/>
                <w:noProof/>
                <w:sz w:val="18"/>
                <w:szCs w:val="18"/>
                <w:lang w:eastAsia="pt-BR"/>
              </w:rPr>
            </w:pPr>
            <w:r w:rsidRPr="00AE2A0D">
              <w:rPr>
                <w:rFonts w:cs="Arial"/>
                <w:noProof/>
                <w:color w:val="0000FF"/>
                <w:sz w:val="18"/>
                <w:szCs w:val="18"/>
                <w:lang w:eastAsia="pt-BR"/>
              </w:rPr>
              <w:drawing>
                <wp:inline distT="0" distB="0" distL="0" distR="0" wp14:anchorId="78CB10CA" wp14:editId="21501F8E">
                  <wp:extent cx="2762250" cy="2071688"/>
                  <wp:effectExtent l="19050" t="0" r="0" b="0"/>
                  <wp:docPr id="6" name="Imagem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cstate="print">
                            <a:extLst>
                              <a:ext uri="{28A0092B-C50C-407E-A947-70E740481C1C}">
                                <a14:useLocalDpi xmlns:a14="http://schemas.microsoft.com/office/drawing/2010/main" val="0"/>
                              </a:ext>
                            </a:extLst>
                          </a:blip>
                          <a:stretch>
                            <a:fillRect/>
                          </a:stretch>
                        </pic:blipFill>
                        <pic:spPr bwMode="auto">
                          <a:xfrm>
                            <a:off x="0" y="0"/>
                            <a:ext cx="2762858" cy="2072144"/>
                          </a:xfrm>
                          <a:prstGeom prst="rect">
                            <a:avLst/>
                          </a:prstGeom>
                          <a:noFill/>
                          <a:ln>
                            <a:noFill/>
                          </a:ln>
                        </pic:spPr>
                      </pic:pic>
                    </a:graphicData>
                  </a:graphic>
                </wp:inline>
              </w:drawing>
            </w:r>
          </w:p>
          <w:p w:rsidR="003B21B8" w:rsidRPr="00CF17BD" w:rsidRDefault="003B21B8" w:rsidP="003B21B8">
            <w:pPr>
              <w:spacing w:after="0"/>
              <w:jc w:val="center"/>
              <w:rPr>
                <w:rFonts w:cs="Arial"/>
                <w:noProof/>
                <w:sz w:val="18"/>
                <w:szCs w:val="18"/>
                <w:lang w:eastAsia="pt-BR"/>
              </w:rPr>
            </w:pPr>
            <w:r w:rsidRPr="00AE2A0D">
              <w:rPr>
                <w:rFonts w:cs="Arial"/>
                <w:sz w:val="18"/>
                <w:szCs w:val="18"/>
              </w:rPr>
              <w:t xml:space="preserve">Área 3, Igaratá </w:t>
            </w:r>
            <w:r>
              <w:rPr>
                <w:rFonts w:cs="Arial"/>
                <w:sz w:val="18"/>
                <w:szCs w:val="18"/>
              </w:rPr>
              <w:t>–</w:t>
            </w:r>
            <w:r w:rsidRPr="00AE2A0D">
              <w:rPr>
                <w:rFonts w:cs="Arial"/>
                <w:sz w:val="18"/>
                <w:szCs w:val="18"/>
              </w:rPr>
              <w:t xml:space="preserve"> SP</w:t>
            </w:r>
            <w:r w:rsidRPr="00AE2A0D">
              <w:rPr>
                <w:rFonts w:cs="Arial"/>
                <w:noProof/>
                <w:color w:val="0000FF"/>
                <w:sz w:val="18"/>
                <w:szCs w:val="18"/>
                <w:lang w:eastAsia="pt-BR"/>
              </w:rPr>
              <w:drawing>
                <wp:inline distT="0" distB="0" distL="0" distR="0" wp14:anchorId="19D73BF7" wp14:editId="7124411A">
                  <wp:extent cx="2794000" cy="2095500"/>
                  <wp:effectExtent l="19050" t="0" r="6350" b="0"/>
                  <wp:docPr id="14" name="Imagem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cstate="print">
                            <a:extLst>
                              <a:ext uri="{28A0092B-C50C-407E-A947-70E740481C1C}">
                                <a14:useLocalDpi xmlns:a14="http://schemas.microsoft.com/office/drawing/2010/main" val="0"/>
                              </a:ext>
                            </a:extLst>
                          </a:blip>
                          <a:stretch>
                            <a:fillRect/>
                          </a:stretch>
                        </pic:blipFill>
                        <pic:spPr bwMode="auto">
                          <a:xfrm>
                            <a:off x="0" y="0"/>
                            <a:ext cx="2797155" cy="2097866"/>
                          </a:xfrm>
                          <a:prstGeom prst="rect">
                            <a:avLst/>
                          </a:prstGeom>
                          <a:noFill/>
                          <a:ln>
                            <a:noFill/>
                          </a:ln>
                        </pic:spPr>
                      </pic:pic>
                    </a:graphicData>
                  </a:graphic>
                </wp:inline>
              </w:drawing>
            </w:r>
          </w:p>
        </w:tc>
        <w:tc>
          <w:tcPr>
            <w:tcW w:w="2500" w:type="pct"/>
          </w:tcPr>
          <w:p w:rsidR="003B21B8" w:rsidRDefault="003B21B8" w:rsidP="00CF17BD">
            <w:pPr>
              <w:keepNext/>
              <w:spacing w:after="0"/>
              <w:jc w:val="center"/>
              <w:rPr>
                <w:rFonts w:cs="Arial"/>
                <w:noProof/>
                <w:sz w:val="18"/>
                <w:szCs w:val="18"/>
                <w:lang w:eastAsia="pt-BR"/>
              </w:rPr>
            </w:pPr>
            <w:r w:rsidRPr="00AE2A0D">
              <w:rPr>
                <w:rFonts w:cs="Arial"/>
                <w:noProof/>
                <w:color w:val="0000FF"/>
                <w:sz w:val="18"/>
                <w:szCs w:val="18"/>
                <w:lang w:eastAsia="pt-BR"/>
              </w:rPr>
              <w:drawing>
                <wp:inline distT="0" distB="0" distL="0" distR="0" wp14:anchorId="16E28280" wp14:editId="0AB52C50">
                  <wp:extent cx="2781300" cy="2085975"/>
                  <wp:effectExtent l="19050" t="0" r="0" b="0"/>
                  <wp:docPr id="7" name="Imagem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cstate="print">
                            <a:extLst>
                              <a:ext uri="{28A0092B-C50C-407E-A947-70E740481C1C}">
                                <a14:useLocalDpi xmlns:a14="http://schemas.microsoft.com/office/drawing/2010/main" val="0"/>
                              </a:ext>
                            </a:extLst>
                          </a:blip>
                          <a:stretch>
                            <a:fillRect/>
                          </a:stretch>
                        </pic:blipFill>
                        <pic:spPr bwMode="auto">
                          <a:xfrm>
                            <a:off x="0" y="0"/>
                            <a:ext cx="2781912" cy="2086434"/>
                          </a:xfrm>
                          <a:prstGeom prst="rect">
                            <a:avLst/>
                          </a:prstGeom>
                          <a:noFill/>
                          <a:ln>
                            <a:noFill/>
                          </a:ln>
                        </pic:spPr>
                      </pic:pic>
                    </a:graphicData>
                  </a:graphic>
                </wp:inline>
              </w:drawing>
            </w:r>
          </w:p>
          <w:p w:rsidR="003B21B8" w:rsidRPr="00CF17BD" w:rsidRDefault="003B21B8" w:rsidP="003B21B8">
            <w:pPr>
              <w:keepNext/>
              <w:spacing w:after="0"/>
              <w:jc w:val="center"/>
              <w:rPr>
                <w:rFonts w:cs="Arial"/>
                <w:noProof/>
                <w:sz w:val="18"/>
                <w:szCs w:val="18"/>
                <w:lang w:eastAsia="pt-BR"/>
              </w:rPr>
            </w:pPr>
            <w:r w:rsidRPr="00AE2A0D">
              <w:rPr>
                <w:rFonts w:cs="Arial"/>
                <w:sz w:val="18"/>
                <w:szCs w:val="18"/>
              </w:rPr>
              <w:t xml:space="preserve">Área 4, Igaratá e Nazaré Paulista </w:t>
            </w:r>
            <w:r>
              <w:rPr>
                <w:rFonts w:cs="Arial"/>
                <w:sz w:val="18"/>
                <w:szCs w:val="18"/>
              </w:rPr>
              <w:t>–</w:t>
            </w:r>
            <w:r w:rsidRPr="00AE2A0D">
              <w:rPr>
                <w:rFonts w:cs="Arial"/>
                <w:sz w:val="18"/>
                <w:szCs w:val="18"/>
              </w:rPr>
              <w:t xml:space="preserve"> SP</w:t>
            </w:r>
          </w:p>
        </w:tc>
      </w:tr>
      <w:tr w:rsidR="003B21B8" w:rsidRPr="00CF17BD" w:rsidTr="003B21B8">
        <w:trPr>
          <w:jc w:val="center"/>
        </w:trPr>
        <w:tc>
          <w:tcPr>
            <w:tcW w:w="2500" w:type="pct"/>
          </w:tcPr>
          <w:p w:rsidR="003B21B8" w:rsidRPr="00AE2A0D" w:rsidRDefault="003B21B8" w:rsidP="00CF17BD">
            <w:pPr>
              <w:spacing w:after="0"/>
              <w:jc w:val="center"/>
              <w:rPr>
                <w:rFonts w:cs="Arial"/>
                <w:noProof/>
                <w:color w:val="0000FF"/>
                <w:sz w:val="18"/>
                <w:szCs w:val="18"/>
                <w:lang w:eastAsia="pt-BR"/>
              </w:rPr>
            </w:pPr>
            <w:r w:rsidRPr="00AE2A0D">
              <w:rPr>
                <w:rFonts w:cs="Arial"/>
                <w:sz w:val="18"/>
                <w:szCs w:val="18"/>
              </w:rPr>
              <w:t>Área 5, Nazaré Paulista - SP</w:t>
            </w:r>
          </w:p>
        </w:tc>
        <w:tc>
          <w:tcPr>
            <w:tcW w:w="2500" w:type="pct"/>
          </w:tcPr>
          <w:p w:rsidR="003B21B8" w:rsidRPr="00AE2A0D" w:rsidRDefault="003B21B8" w:rsidP="00CF17BD">
            <w:pPr>
              <w:keepNext/>
              <w:spacing w:after="0"/>
              <w:jc w:val="center"/>
              <w:rPr>
                <w:rFonts w:cs="Arial"/>
                <w:noProof/>
                <w:color w:val="0000FF"/>
                <w:sz w:val="18"/>
                <w:szCs w:val="18"/>
                <w:lang w:eastAsia="pt-BR"/>
              </w:rPr>
            </w:pPr>
          </w:p>
        </w:tc>
      </w:tr>
    </w:tbl>
    <w:p w:rsidR="00B53F21" w:rsidRPr="00AE2A0D" w:rsidRDefault="00B53F21" w:rsidP="00B53F21">
      <w:pPr>
        <w:pStyle w:val="Ttulo6"/>
      </w:pPr>
      <w:bookmarkStart w:id="132" w:name="_Toc402254404"/>
      <w:r>
        <w:lastRenderedPageBreak/>
        <w:t>B.3.</w:t>
      </w:r>
      <w:r>
        <w:tab/>
      </w:r>
      <w:r w:rsidRPr="00AE2A0D">
        <w:t>Análise dos Dados Primários</w:t>
      </w:r>
      <w:bookmarkEnd w:id="132"/>
    </w:p>
    <w:p w:rsidR="00B53F21" w:rsidRPr="00AE2A0D" w:rsidRDefault="00B53F21" w:rsidP="00B53F21">
      <w:r w:rsidRPr="00AE2A0D">
        <w:t>A característica dos dados coletados para médios e grandes mamíferos permite que sejam realizadas apenas análises qualitativas. Dessa forma, os mamíferos foram analisados quanto ao número de espécie</w:t>
      </w:r>
      <w:r>
        <w:t>s</w:t>
      </w:r>
      <w:r w:rsidRPr="00AE2A0D">
        <w:t xml:space="preserve"> e número de registros por área de amostragem e por método utilizado, assim como para a área de amostragem como um todo. As espécies amostradas foram caracterizadas por seu endemismo quanto aos biomas brasileiros (Reis et al., 2011; Paglia et al., 2012) e à presença em listas oficiais de espécies ameaçadas de extinção (SMA, 2014; IUCN, 2014; MMA, 2008). A classificação taxonômica e nomenclatura das espécies seguiram Wilson e Reeder (2005), Reis et al. (2011), Gardner (2008) e Paglia et al. (2012). </w:t>
      </w:r>
    </w:p>
    <w:p w:rsidR="00B53F21" w:rsidRPr="00B53F21" w:rsidRDefault="00B53F21" w:rsidP="000C50CE">
      <w:pPr>
        <w:pStyle w:val="Ttulo5"/>
        <w:numPr>
          <w:ilvl w:val="0"/>
          <w:numId w:val="14"/>
        </w:numPr>
      </w:pPr>
      <w:bookmarkStart w:id="133" w:name="_Toc402254405"/>
      <w:r w:rsidRPr="00B53F21">
        <w:t>Mastofauna de provável ocorrência na AII</w:t>
      </w:r>
      <w:bookmarkEnd w:id="133"/>
    </w:p>
    <w:p w:rsidR="00B53F21" w:rsidRPr="00AE2A0D" w:rsidRDefault="00B53F21" w:rsidP="00B53F21">
      <w:r w:rsidRPr="005A3F39">
        <w:t>Segundo o levantamento de dados secundários (</w:t>
      </w:r>
      <w:r w:rsidRPr="005A3F39">
        <w:rPr>
          <w:b/>
        </w:rPr>
        <w:t xml:space="preserve">Anexo </w:t>
      </w:r>
      <w:r w:rsidR="008603E1" w:rsidRPr="005A3F39">
        <w:rPr>
          <w:b/>
        </w:rPr>
        <w:t>2.4</w:t>
      </w:r>
      <w:r w:rsidRPr="005A3F39">
        <w:t>) existem 95 espécies de mamíferos</w:t>
      </w:r>
      <w:r w:rsidRPr="00AE2A0D">
        <w:t xml:space="preserve"> de provável ocorrência na AII com representantes de 26 famílias em oito Ordens, sendo 11 espécies de marsupiais (Didelphideos), uma espécie de Pilosa, duas espécies de Cingulata, 33 espécies de morcegos (Chiroptera), seis espécies de Primatas, dez espécies de Carnívoros, três espécies de Artiodactyla e 25 espécies de roedores (Rodentia).</w:t>
      </w:r>
    </w:p>
    <w:p w:rsidR="00B53F21" w:rsidRPr="00AE2A0D" w:rsidRDefault="00B53F21" w:rsidP="00B53F21">
      <w:r w:rsidRPr="00AE2A0D">
        <w:t xml:space="preserve">Dentre as espécies listadas, 28 (29,4%) sofre algum grau de ameaça, onde 15 são categorizadas como “espécie ameaçada” de extinção para o estado de São Paulo, sete como “quase ameaçada” e cinco estão classificadas como “deficiente de dados” (SMA, 2014). Para a lista nacional de espécies ameaçadas de extinção foram observados 15 registros na categoria “ameaçado”, destes o bugio </w:t>
      </w:r>
      <w:r>
        <w:t>(</w:t>
      </w:r>
      <w:r w:rsidRPr="00AE2A0D">
        <w:rPr>
          <w:i/>
        </w:rPr>
        <w:t>Alouatta</w:t>
      </w:r>
      <w:r w:rsidRPr="00AE2A0D">
        <w:t xml:space="preserve"> </w:t>
      </w:r>
      <w:r w:rsidRPr="00AE2A0D">
        <w:rPr>
          <w:i/>
        </w:rPr>
        <w:t>guariba</w:t>
      </w:r>
      <w:r>
        <w:t xml:space="preserve">) </w:t>
      </w:r>
      <w:r w:rsidRPr="00AE2A0D">
        <w:t xml:space="preserve">consta como “criticamente em perigo”, o mono-carvoeiro </w:t>
      </w:r>
      <w:r>
        <w:t>(</w:t>
      </w:r>
      <w:r w:rsidRPr="00AE2A0D">
        <w:rPr>
          <w:i/>
        </w:rPr>
        <w:t>Brachyteles</w:t>
      </w:r>
      <w:r w:rsidRPr="00AE2A0D">
        <w:t xml:space="preserve"> </w:t>
      </w:r>
      <w:r w:rsidRPr="00AE2A0D">
        <w:rPr>
          <w:i/>
        </w:rPr>
        <w:t>arachnoides</w:t>
      </w:r>
      <w:r>
        <w:t>)</w:t>
      </w:r>
      <w:r w:rsidRPr="00AE2A0D">
        <w:t xml:space="preserve"> como “em perigo” e oito outros táxons como “vulnerável”, além de cinco espécies classificadas como “deficientes de dados” (MMA 2008). De acordo com a IUCN (2014), para a lista mundial, existem 12 espécies ameaçadas, sendo o mono-carvoreiro </w:t>
      </w:r>
      <w:r>
        <w:t>(</w:t>
      </w:r>
      <w:r w:rsidRPr="00AE2A0D">
        <w:rPr>
          <w:i/>
        </w:rPr>
        <w:t>Brachyteles</w:t>
      </w:r>
      <w:r w:rsidRPr="00AE2A0D">
        <w:t xml:space="preserve"> </w:t>
      </w:r>
      <w:r w:rsidRPr="00AE2A0D">
        <w:rPr>
          <w:i/>
        </w:rPr>
        <w:t>arachnoides</w:t>
      </w:r>
      <w:r>
        <w:t>)</w:t>
      </w:r>
      <w:r w:rsidRPr="00AE2A0D">
        <w:t xml:space="preserve"> classificado como “em perigo” e outros quatro táxons como “vulnerável”, além de três espécies classificadas como “quase ameaçadas” e quatro como “deficientes de dados”.</w:t>
      </w:r>
    </w:p>
    <w:p w:rsidR="00B53F21" w:rsidRPr="00AE2A0D" w:rsidRDefault="00B53F21" w:rsidP="00B53F21">
      <w:r w:rsidRPr="00AE2A0D">
        <w:t>Dentre as espécies de mamíferos possíveis de ocorrer na área de estudo, 13 espécies são endêmicas do Brasil e/ou da Mata Atlântica, representando 13,7% das espécies ocorrentes. Dessas, duas são marsupiais, três primatas e oito roedores de pequeno porte.</w:t>
      </w:r>
    </w:p>
    <w:p w:rsidR="00B53F21" w:rsidRPr="00AE2A0D" w:rsidRDefault="00B53F21" w:rsidP="00B53F21">
      <w:r w:rsidRPr="00AE2A0D">
        <w:t>Com relação às espécies de pequenos mamíferos levantados como de provável ocorrência na AII pode-se dizer que a comunidade está bem representada, com a presença de grande parte das espécies ocorrentes na região e estado (Vivo et al., 2011; Umetsu et al., 2006; Pardini &amp; Umetsu, 2006; Pardini et al., 2005; Naxara &amp; Marcili, 2005). Nota-se que, entre as 13 espécies levantadas como endêmicas da Mata Atlântica para a AII, oito</w:t>
      </w:r>
      <w:r>
        <w:t xml:space="preserve"> espécies</w:t>
      </w:r>
      <w:r w:rsidRPr="00AE2A0D">
        <w:t xml:space="preserve"> são de pequenos mamíferos. De fato, espera-se que animais de menor porte, com baixa capacidade de deslocamento e pequenas áreas de vida sejam mais restritos a determinados tipos de florestas, ou seja, possuem maiores taxas de endemismos (Costa et al., 2005). </w:t>
      </w:r>
    </w:p>
    <w:p w:rsidR="00B53F21" w:rsidRPr="00AE2A0D" w:rsidRDefault="00B53F21" w:rsidP="00B53F21">
      <w:r w:rsidRPr="00AE2A0D">
        <w:t xml:space="preserve">Para o grupo dos primatas foram levantadas seis espécies na AII sendo que três são endêmicas da Mata Atlântica e duas ameaçadas no Estado (São Paulo, 2009). Os primatas, assim como os pequenos mamíferos, também possuem altas taxas de endemismos e são espécies com restrições de habitat (Costa et al., 2005), devido </w:t>
      </w:r>
      <w:r>
        <w:t>a</w:t>
      </w:r>
      <w:r w:rsidRPr="00AE2A0D">
        <w:t>o habito estritamente florestal.</w:t>
      </w:r>
    </w:p>
    <w:p w:rsidR="00B53F21" w:rsidRPr="00AE2A0D" w:rsidRDefault="00B53F21" w:rsidP="00B53F21">
      <w:r w:rsidRPr="00AE2A0D">
        <w:t>Por outro lado, ao contrário dos primatas e dos pequenos mamíferos, os mamíferos de médio e grande porte</w:t>
      </w:r>
      <w:r>
        <w:t>, e grande parte dos morcegos</w:t>
      </w:r>
      <w:r w:rsidRPr="00AE2A0D">
        <w:t xml:space="preserve"> possuem amplas distribuições geográficas e ocupam uma grande variedade de habitats, de florestas úmidas a vegetações abertas</w:t>
      </w:r>
      <w:r>
        <w:t>,</w:t>
      </w:r>
      <w:r w:rsidRPr="00AE2A0D">
        <w:t xml:space="preserve"> ocorrendo na maioria dos casos por todo o Brasil. Para essas espécies, a importância ecológica não está relacionada com distribuições geográficas restritas, mas sim com a função ecológica que desempenham no ambiente. Dessa forma, pode-se dizer que a comunidade de mamíferos de maior porte levantada como de provável ocorrência na AII possui boa representatividade ecológica, já que contempla os diversos grupos que desempenham suas respectivas funções para o equilíbrio ambiental e funcionamento da floresta. As espécies frugívoras e/ou herbívoras, como a preguiça (</w:t>
      </w:r>
      <w:r w:rsidRPr="00AE2A0D">
        <w:rPr>
          <w:i/>
        </w:rPr>
        <w:t>Bradypus variegatus</w:t>
      </w:r>
      <w:r w:rsidRPr="00AE2A0D">
        <w:t>), a capivara (</w:t>
      </w:r>
      <w:r w:rsidRPr="00AE2A0D">
        <w:rPr>
          <w:i/>
        </w:rPr>
        <w:t>Hydrochoerus hydrochaeris</w:t>
      </w:r>
      <w:r w:rsidRPr="00AE2A0D">
        <w:t xml:space="preserve">), a paca </w:t>
      </w:r>
      <w:r w:rsidRPr="00AE2A0D">
        <w:lastRenderedPageBreak/>
        <w:t>(</w:t>
      </w:r>
      <w:r w:rsidRPr="00AE2A0D">
        <w:rPr>
          <w:i/>
        </w:rPr>
        <w:t>Cuniculus paca</w:t>
      </w:r>
      <w:r w:rsidRPr="00AE2A0D">
        <w:t>) entre outras, tem papel importante na dispersão de sementes e na predação de sementes e plântulas e sua exclusão causa profundas modificações no recrutamento de plantas, levando à perda de diversidade das árvores em florestas tropicais (De Steven &amp; Putz, 1984; Dirzo &amp; Miranda, 1991). Por outro lado, os mamíferos carnívoros, principalmente os predadores de topo de cadeia como a onça-parda (</w:t>
      </w:r>
      <w:r w:rsidRPr="00AE2A0D">
        <w:rPr>
          <w:i/>
        </w:rPr>
        <w:t>Puma concolor</w:t>
      </w:r>
      <w:r w:rsidRPr="00AE2A0D">
        <w:t xml:space="preserve">), controlam as populações de herbívoros e frugívoros (Terborgh, 1992). </w:t>
      </w:r>
    </w:p>
    <w:p w:rsidR="00B53F21" w:rsidRPr="00AE2A0D" w:rsidRDefault="00B53F21" w:rsidP="00B53F21">
      <w:pPr>
        <w:rPr>
          <w:iCs/>
        </w:rPr>
      </w:pPr>
      <w:r w:rsidRPr="00AE2A0D">
        <w:rPr>
          <w:iCs/>
        </w:rPr>
        <w:t>A mastofauna vivente na região de estudo está relativamente íntegra e deve-se ressaltar que uma boa parte das espécies levantadas é sensível a perturbações antrópicas como a perda, fragmentação e degradação do habitat. Portanto, grandes supressões florestais, além de diminuir o habitat disponível para as espécies, podem causar perdas irreversíveis, principalmente para as espécies de pequenos mamíferos florestais que não conseguem atravessar e ocupar áreas abertas e degradadas.</w:t>
      </w:r>
    </w:p>
    <w:p w:rsidR="00B53F21" w:rsidRPr="00B53F21" w:rsidRDefault="00B53F21" w:rsidP="000C50CE">
      <w:pPr>
        <w:pStyle w:val="Ttulo5"/>
        <w:numPr>
          <w:ilvl w:val="0"/>
          <w:numId w:val="14"/>
        </w:numPr>
      </w:pPr>
      <w:bookmarkStart w:id="134" w:name="_Toc402254406"/>
      <w:r w:rsidRPr="00B53F21">
        <w:t>Mastofauna da AID</w:t>
      </w:r>
      <w:bookmarkEnd w:id="134"/>
      <w:r w:rsidRPr="00B53F21">
        <w:t xml:space="preserve"> </w:t>
      </w:r>
    </w:p>
    <w:p w:rsidR="00B53F21" w:rsidRPr="00AE2A0D" w:rsidRDefault="00B53F21" w:rsidP="00B53F21">
      <w:pPr>
        <w:rPr>
          <w:rFonts w:eastAsia="Arial"/>
        </w:rPr>
      </w:pPr>
      <w:r w:rsidRPr="00AE2A0D">
        <w:t>Durante o trabalho de campo foram registradas diretamente (busca ativa e armadilhas fotográficas) 11 espécies de médios e grandes mamíferos silvestres, no entanto, somando-se os relatos obtidos por meio de entrevistas esse número sobe para 18 espécies. Estas são distribuídas da seguinte forma:</w:t>
      </w:r>
      <w:r w:rsidRPr="00AE2A0D">
        <w:rPr>
          <w:rFonts w:eastAsia="Arial"/>
        </w:rPr>
        <w:t xml:space="preserve"> duas espécies </w:t>
      </w:r>
      <w:r w:rsidRPr="00AE2A0D">
        <w:t>da</w:t>
      </w:r>
      <w:r w:rsidRPr="00AE2A0D">
        <w:rPr>
          <w:rFonts w:eastAsia="Arial"/>
        </w:rPr>
        <w:t xml:space="preserve"> </w:t>
      </w:r>
      <w:r w:rsidRPr="00AE2A0D">
        <w:t>Ordem</w:t>
      </w:r>
      <w:r w:rsidRPr="00AE2A0D">
        <w:rPr>
          <w:rFonts w:eastAsia="Arial"/>
        </w:rPr>
        <w:t xml:space="preserve"> Didelphimorphia, uma espécie </w:t>
      </w:r>
      <w:r w:rsidRPr="00AE2A0D">
        <w:t>da</w:t>
      </w:r>
      <w:r w:rsidRPr="00AE2A0D">
        <w:rPr>
          <w:rFonts w:eastAsia="Arial"/>
        </w:rPr>
        <w:t xml:space="preserve"> </w:t>
      </w:r>
      <w:r w:rsidRPr="00AE2A0D">
        <w:t>Ordem</w:t>
      </w:r>
      <w:r w:rsidRPr="00AE2A0D">
        <w:rPr>
          <w:rFonts w:eastAsia="Arial"/>
        </w:rPr>
        <w:t xml:space="preserve"> </w:t>
      </w:r>
      <w:r w:rsidRPr="00AE2A0D">
        <w:t>Cingulata,</w:t>
      </w:r>
      <w:r w:rsidRPr="00AE2A0D">
        <w:rPr>
          <w:rFonts w:eastAsia="Arial"/>
        </w:rPr>
        <w:t xml:space="preserve"> três </w:t>
      </w:r>
      <w:r w:rsidRPr="00AE2A0D">
        <w:t>espécies</w:t>
      </w:r>
      <w:r w:rsidRPr="00AE2A0D">
        <w:rPr>
          <w:rFonts w:eastAsia="Arial"/>
        </w:rPr>
        <w:t xml:space="preserve"> </w:t>
      </w:r>
      <w:r w:rsidRPr="00AE2A0D">
        <w:t>da</w:t>
      </w:r>
      <w:r w:rsidRPr="00AE2A0D">
        <w:rPr>
          <w:rFonts w:eastAsia="Arial"/>
        </w:rPr>
        <w:t xml:space="preserve"> </w:t>
      </w:r>
      <w:r w:rsidRPr="00AE2A0D">
        <w:t>Ordem</w:t>
      </w:r>
      <w:r w:rsidRPr="00AE2A0D">
        <w:rPr>
          <w:rFonts w:eastAsia="Arial"/>
        </w:rPr>
        <w:t xml:space="preserve"> Primates, quatro espécies da Ordem </w:t>
      </w:r>
      <w:r w:rsidRPr="00AE2A0D">
        <w:t xml:space="preserve">Rodentia e </w:t>
      </w:r>
      <w:r w:rsidRPr="00AE2A0D">
        <w:rPr>
          <w:rFonts w:eastAsia="Arial"/>
        </w:rPr>
        <w:t xml:space="preserve">oito espécies da Ordem </w:t>
      </w:r>
      <w:r w:rsidRPr="00AE2A0D">
        <w:t>Carnívora</w:t>
      </w:r>
      <w:r w:rsidRPr="00AE2A0D">
        <w:rPr>
          <w:rFonts w:eastAsia="Arial"/>
        </w:rPr>
        <w:t xml:space="preserve"> </w:t>
      </w:r>
      <w:r w:rsidRPr="00AE2A0D">
        <w:t>(</w:t>
      </w:r>
      <w:r w:rsidR="00CF17BD" w:rsidRPr="00CF17BD">
        <w:rPr>
          <w:b/>
        </w:rPr>
        <w:t>Tabela 6.4.</w:t>
      </w:r>
      <w:r w:rsidR="002F5F14">
        <w:rPr>
          <w:b/>
        </w:rPr>
        <w:t>4-13</w:t>
      </w:r>
      <w:r w:rsidR="00CF17BD">
        <w:t xml:space="preserve"> e </w:t>
      </w:r>
      <w:r w:rsidR="00CF17BD" w:rsidRPr="00CF17BD">
        <w:rPr>
          <w:b/>
        </w:rPr>
        <w:t>Fotos</w:t>
      </w:r>
      <w:r w:rsidR="00CF17BD">
        <w:t xml:space="preserve"> na sequência</w:t>
      </w:r>
      <w:r w:rsidRPr="00AE2A0D">
        <w:t xml:space="preserve">). </w:t>
      </w:r>
      <w:r w:rsidRPr="00AE2A0D">
        <w:rPr>
          <w:rFonts w:eastAsia="Arial"/>
        </w:rPr>
        <w:t xml:space="preserve">No entorno das áreas também foram encontrados mamíferos domésticos, </w:t>
      </w:r>
      <w:r w:rsidRPr="00AE2A0D">
        <w:rPr>
          <w:rFonts w:eastAsia="Arial"/>
          <w:i/>
        </w:rPr>
        <w:t>Felis catus</w:t>
      </w:r>
      <w:r w:rsidRPr="00AE2A0D">
        <w:rPr>
          <w:rFonts w:eastAsia="Arial"/>
        </w:rPr>
        <w:t xml:space="preserve"> (gato-domestico) e </w:t>
      </w:r>
      <w:r w:rsidRPr="00AE2A0D">
        <w:rPr>
          <w:rFonts w:eastAsia="Arial"/>
          <w:i/>
        </w:rPr>
        <w:t>Canis familiaris</w:t>
      </w:r>
      <w:r w:rsidRPr="00AE2A0D">
        <w:rPr>
          <w:rFonts w:eastAsia="Arial"/>
        </w:rPr>
        <w:t xml:space="preserve"> (cachorro-dom</w:t>
      </w:r>
      <w:r>
        <w:rPr>
          <w:rFonts w:eastAsia="Arial"/>
        </w:rPr>
        <w:t>é</w:t>
      </w:r>
      <w:r w:rsidRPr="00AE2A0D">
        <w:rPr>
          <w:rFonts w:eastAsia="Arial"/>
        </w:rPr>
        <w:t>stico).</w:t>
      </w:r>
    </w:p>
    <w:tbl>
      <w:tblPr>
        <w:tblW w:w="5000" w:type="pct"/>
        <w:tblLook w:val="00A0" w:firstRow="1" w:lastRow="0" w:firstColumn="1" w:lastColumn="0" w:noHBand="0" w:noVBand="0"/>
      </w:tblPr>
      <w:tblGrid>
        <w:gridCol w:w="4677"/>
        <w:gridCol w:w="4677"/>
      </w:tblGrid>
      <w:tr w:rsidR="00B53F21" w:rsidRPr="00AE2A0D" w:rsidTr="003F2023">
        <w:trPr>
          <w:trHeight w:val="340"/>
        </w:trPr>
        <w:tc>
          <w:tcPr>
            <w:tcW w:w="2500" w:type="pct"/>
            <w:vAlign w:val="center"/>
          </w:tcPr>
          <w:p w:rsidR="00B53F21" w:rsidRPr="00AE2A0D" w:rsidRDefault="00B53F21" w:rsidP="003F2023">
            <w:pPr>
              <w:spacing w:after="0"/>
              <w:jc w:val="center"/>
              <w:rPr>
                <w:rFonts w:cs="Arial"/>
                <w:sz w:val="18"/>
                <w:szCs w:val="18"/>
              </w:rPr>
            </w:pPr>
            <w:r w:rsidRPr="00AE2A0D">
              <w:rPr>
                <w:rFonts w:cs="Arial"/>
                <w:noProof/>
                <w:sz w:val="18"/>
                <w:szCs w:val="18"/>
                <w:lang w:eastAsia="pt-BR"/>
              </w:rPr>
              <w:drawing>
                <wp:inline distT="0" distB="0" distL="0" distR="0" wp14:anchorId="6371BB4C" wp14:editId="1D2B4254">
                  <wp:extent cx="2438400" cy="1828800"/>
                  <wp:effectExtent l="0" t="0" r="0" b="0"/>
                  <wp:docPr id="173" name="Imagem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6" cstate="print">
                            <a:extLst>
                              <a:ext uri="{28A0092B-C50C-407E-A947-70E740481C1C}">
                                <a14:useLocalDpi xmlns:a14="http://schemas.microsoft.com/office/drawing/2010/main" val="0"/>
                              </a:ext>
                            </a:extLst>
                          </a:blip>
                          <a:stretch>
                            <a:fillRect/>
                          </a:stretch>
                        </pic:blipFill>
                        <pic:spPr bwMode="auto">
                          <a:xfrm>
                            <a:off x="0" y="0"/>
                            <a:ext cx="2438400" cy="1828800"/>
                          </a:xfrm>
                          <a:prstGeom prst="rect">
                            <a:avLst/>
                          </a:prstGeom>
                          <a:noFill/>
                          <a:ln>
                            <a:noFill/>
                          </a:ln>
                        </pic:spPr>
                      </pic:pic>
                    </a:graphicData>
                  </a:graphic>
                </wp:inline>
              </w:drawing>
            </w:r>
          </w:p>
        </w:tc>
        <w:tc>
          <w:tcPr>
            <w:tcW w:w="2500" w:type="pct"/>
            <w:vAlign w:val="center"/>
          </w:tcPr>
          <w:p w:rsidR="00B53F21" w:rsidRPr="00AE2A0D" w:rsidRDefault="00B53F21" w:rsidP="003F2023">
            <w:pPr>
              <w:spacing w:after="0"/>
              <w:jc w:val="center"/>
              <w:rPr>
                <w:rFonts w:cs="Arial"/>
                <w:sz w:val="18"/>
                <w:szCs w:val="18"/>
              </w:rPr>
            </w:pPr>
            <w:r w:rsidRPr="00AE2A0D">
              <w:rPr>
                <w:rFonts w:cs="Arial"/>
                <w:noProof/>
                <w:sz w:val="18"/>
                <w:szCs w:val="18"/>
                <w:lang w:eastAsia="pt-BR"/>
              </w:rPr>
              <w:drawing>
                <wp:inline distT="0" distB="0" distL="0" distR="0" wp14:anchorId="1F9C63B0" wp14:editId="4DA9223D">
                  <wp:extent cx="2438400" cy="1828800"/>
                  <wp:effectExtent l="0" t="0" r="0" b="0"/>
                  <wp:docPr id="174" name="Imagem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7" cstate="print">
                            <a:extLst>
                              <a:ext uri="{28A0092B-C50C-407E-A947-70E740481C1C}">
                                <a14:useLocalDpi xmlns:a14="http://schemas.microsoft.com/office/drawing/2010/main" val="0"/>
                              </a:ext>
                            </a:extLst>
                          </a:blip>
                          <a:stretch>
                            <a:fillRect/>
                          </a:stretch>
                        </pic:blipFill>
                        <pic:spPr bwMode="auto">
                          <a:xfrm>
                            <a:off x="0" y="0"/>
                            <a:ext cx="2438400" cy="1828800"/>
                          </a:xfrm>
                          <a:prstGeom prst="rect">
                            <a:avLst/>
                          </a:prstGeom>
                          <a:noFill/>
                          <a:ln>
                            <a:noFill/>
                          </a:ln>
                        </pic:spPr>
                      </pic:pic>
                    </a:graphicData>
                  </a:graphic>
                </wp:inline>
              </w:drawing>
            </w:r>
          </w:p>
        </w:tc>
      </w:tr>
      <w:tr w:rsidR="00B53F21" w:rsidRPr="00AE2A0D" w:rsidTr="003F2023">
        <w:trPr>
          <w:trHeight w:val="340"/>
        </w:trPr>
        <w:tc>
          <w:tcPr>
            <w:tcW w:w="2500" w:type="pct"/>
            <w:vAlign w:val="center"/>
          </w:tcPr>
          <w:p w:rsidR="00B53F21" w:rsidRPr="00AE2A0D" w:rsidRDefault="00B53F21" w:rsidP="00CC29CE">
            <w:pPr>
              <w:pStyle w:val="Legenda"/>
              <w:keepNext w:val="0"/>
              <w:spacing w:after="0"/>
              <w:jc w:val="center"/>
              <w:rPr>
                <w:b/>
                <w:sz w:val="18"/>
              </w:rPr>
            </w:pPr>
            <w:r w:rsidRPr="00AE2A0D">
              <w:rPr>
                <w:sz w:val="18"/>
              </w:rPr>
              <w:t>Pegada de capivara – M-4</w:t>
            </w:r>
          </w:p>
        </w:tc>
        <w:tc>
          <w:tcPr>
            <w:tcW w:w="2500" w:type="pct"/>
            <w:vAlign w:val="center"/>
          </w:tcPr>
          <w:p w:rsidR="00B53F21" w:rsidRPr="00AE2A0D" w:rsidRDefault="00B53F21" w:rsidP="00CC29CE">
            <w:pPr>
              <w:pStyle w:val="Legenda"/>
              <w:keepNext w:val="0"/>
              <w:spacing w:after="0"/>
              <w:jc w:val="center"/>
              <w:rPr>
                <w:b/>
                <w:sz w:val="18"/>
              </w:rPr>
            </w:pPr>
            <w:r w:rsidRPr="00AE2A0D">
              <w:rPr>
                <w:sz w:val="18"/>
              </w:rPr>
              <w:t>Pegada de mão-pelada – M-5</w:t>
            </w:r>
          </w:p>
        </w:tc>
      </w:tr>
      <w:tr w:rsidR="00B53F21" w:rsidRPr="00AE2A0D" w:rsidTr="003F2023">
        <w:tc>
          <w:tcPr>
            <w:tcW w:w="2500" w:type="pct"/>
          </w:tcPr>
          <w:p w:rsidR="00B53F21" w:rsidRPr="00AE2A0D" w:rsidRDefault="00B53F21" w:rsidP="003F2023">
            <w:pPr>
              <w:spacing w:after="80"/>
              <w:jc w:val="center"/>
              <w:rPr>
                <w:rFonts w:cs="Arial"/>
                <w:sz w:val="18"/>
                <w:szCs w:val="18"/>
              </w:rPr>
            </w:pPr>
            <w:bookmarkStart w:id="135" w:name="_Hlk273696993"/>
            <w:r w:rsidRPr="00AE2A0D">
              <w:rPr>
                <w:rFonts w:cs="Arial"/>
                <w:noProof/>
                <w:sz w:val="18"/>
                <w:szCs w:val="18"/>
                <w:lang w:eastAsia="pt-BR"/>
              </w:rPr>
              <w:drawing>
                <wp:inline distT="0" distB="0" distL="0" distR="0" wp14:anchorId="6C936D0D" wp14:editId="6ECB8554">
                  <wp:extent cx="2438400" cy="1828800"/>
                  <wp:effectExtent l="0" t="0" r="0" b="0"/>
                  <wp:docPr id="175" name="Imagem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8" cstate="print">
                            <a:extLst>
                              <a:ext uri="{28A0092B-C50C-407E-A947-70E740481C1C}">
                                <a14:useLocalDpi xmlns:a14="http://schemas.microsoft.com/office/drawing/2010/main" val="0"/>
                              </a:ext>
                            </a:extLst>
                          </a:blip>
                          <a:stretch>
                            <a:fillRect/>
                          </a:stretch>
                        </pic:blipFill>
                        <pic:spPr bwMode="auto">
                          <a:xfrm>
                            <a:off x="0" y="0"/>
                            <a:ext cx="2438400" cy="1828800"/>
                          </a:xfrm>
                          <a:prstGeom prst="rect">
                            <a:avLst/>
                          </a:prstGeom>
                          <a:noFill/>
                          <a:ln>
                            <a:noFill/>
                          </a:ln>
                        </pic:spPr>
                      </pic:pic>
                    </a:graphicData>
                  </a:graphic>
                </wp:inline>
              </w:drawing>
            </w:r>
          </w:p>
        </w:tc>
        <w:tc>
          <w:tcPr>
            <w:tcW w:w="2500" w:type="pct"/>
          </w:tcPr>
          <w:p w:rsidR="00B53F21" w:rsidRPr="00AE2A0D" w:rsidRDefault="00B53F21" w:rsidP="003F2023">
            <w:pPr>
              <w:spacing w:after="80"/>
              <w:jc w:val="center"/>
              <w:rPr>
                <w:rFonts w:cs="Arial"/>
                <w:sz w:val="18"/>
                <w:szCs w:val="18"/>
              </w:rPr>
            </w:pPr>
            <w:r w:rsidRPr="00AE2A0D">
              <w:rPr>
                <w:rFonts w:cs="Arial"/>
                <w:noProof/>
                <w:sz w:val="18"/>
                <w:szCs w:val="18"/>
                <w:lang w:eastAsia="pt-BR"/>
              </w:rPr>
              <w:drawing>
                <wp:inline distT="0" distB="0" distL="0" distR="0" wp14:anchorId="10C6E03A" wp14:editId="3894DC86">
                  <wp:extent cx="2438400" cy="1828800"/>
                  <wp:effectExtent l="0" t="0" r="0" b="0"/>
                  <wp:docPr id="176" name="Imagem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9" cstate="print">
                            <a:extLst>
                              <a:ext uri="{28A0092B-C50C-407E-A947-70E740481C1C}">
                                <a14:useLocalDpi xmlns:a14="http://schemas.microsoft.com/office/drawing/2010/main" val="0"/>
                              </a:ext>
                            </a:extLst>
                          </a:blip>
                          <a:stretch>
                            <a:fillRect/>
                          </a:stretch>
                        </pic:blipFill>
                        <pic:spPr bwMode="auto">
                          <a:xfrm>
                            <a:off x="0" y="0"/>
                            <a:ext cx="2438400" cy="1828800"/>
                          </a:xfrm>
                          <a:prstGeom prst="rect">
                            <a:avLst/>
                          </a:prstGeom>
                          <a:noFill/>
                          <a:ln>
                            <a:noFill/>
                          </a:ln>
                        </pic:spPr>
                      </pic:pic>
                    </a:graphicData>
                  </a:graphic>
                </wp:inline>
              </w:drawing>
            </w:r>
          </w:p>
        </w:tc>
      </w:tr>
      <w:tr w:rsidR="00B53F21" w:rsidRPr="00AE2A0D" w:rsidTr="003F2023">
        <w:trPr>
          <w:trHeight w:val="340"/>
        </w:trPr>
        <w:tc>
          <w:tcPr>
            <w:tcW w:w="2500" w:type="pct"/>
            <w:vAlign w:val="center"/>
          </w:tcPr>
          <w:p w:rsidR="00B53F21" w:rsidRPr="00AE2A0D" w:rsidRDefault="00B53F21" w:rsidP="003F2023">
            <w:pPr>
              <w:pStyle w:val="Legenda"/>
              <w:spacing w:after="0"/>
              <w:jc w:val="center"/>
              <w:rPr>
                <w:b/>
                <w:sz w:val="18"/>
              </w:rPr>
            </w:pPr>
            <w:r w:rsidRPr="00AE2A0D">
              <w:rPr>
                <w:i/>
                <w:sz w:val="18"/>
              </w:rPr>
              <w:lastRenderedPageBreak/>
              <w:t>Callicebus nigrifons</w:t>
            </w:r>
            <w:r w:rsidRPr="00AE2A0D">
              <w:rPr>
                <w:sz w:val="18"/>
              </w:rPr>
              <w:t xml:space="preserve"> – M-4</w:t>
            </w:r>
          </w:p>
        </w:tc>
        <w:tc>
          <w:tcPr>
            <w:tcW w:w="2500" w:type="pct"/>
            <w:vAlign w:val="center"/>
          </w:tcPr>
          <w:p w:rsidR="00B53F21" w:rsidRPr="00AE2A0D" w:rsidRDefault="00B53F21" w:rsidP="003F2023">
            <w:pPr>
              <w:pStyle w:val="Legenda"/>
              <w:spacing w:after="0"/>
              <w:jc w:val="center"/>
              <w:rPr>
                <w:b/>
                <w:sz w:val="18"/>
              </w:rPr>
            </w:pPr>
            <w:r w:rsidRPr="00AE2A0D">
              <w:rPr>
                <w:i/>
                <w:sz w:val="18"/>
              </w:rPr>
              <w:t>Callithrix aurita</w:t>
            </w:r>
            <w:r w:rsidRPr="00AE2A0D">
              <w:rPr>
                <w:sz w:val="18"/>
              </w:rPr>
              <w:t xml:space="preserve"> – M-5</w:t>
            </w:r>
          </w:p>
        </w:tc>
      </w:tr>
      <w:bookmarkEnd w:id="135"/>
      <w:tr w:rsidR="00B53F21" w:rsidRPr="00AE2A0D" w:rsidTr="003F2023">
        <w:tc>
          <w:tcPr>
            <w:tcW w:w="2500" w:type="pct"/>
          </w:tcPr>
          <w:p w:rsidR="00B53F21" w:rsidRPr="00AE2A0D" w:rsidRDefault="00B53F21" w:rsidP="003F2023">
            <w:pPr>
              <w:spacing w:after="80"/>
              <w:jc w:val="center"/>
              <w:rPr>
                <w:rFonts w:cs="Arial"/>
                <w:sz w:val="18"/>
                <w:szCs w:val="18"/>
              </w:rPr>
            </w:pPr>
            <w:r w:rsidRPr="00AE2A0D">
              <w:rPr>
                <w:rFonts w:cs="Arial"/>
                <w:noProof/>
                <w:sz w:val="18"/>
                <w:szCs w:val="18"/>
                <w:lang w:eastAsia="pt-BR"/>
              </w:rPr>
              <w:drawing>
                <wp:inline distT="0" distB="0" distL="0" distR="0" wp14:anchorId="41DCD726" wp14:editId="503697CF">
                  <wp:extent cx="2437200" cy="1828800"/>
                  <wp:effectExtent l="0" t="0" r="1270" b="0"/>
                  <wp:docPr id="177" name="Imagem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0" cstate="print">
                            <a:extLst>
                              <a:ext uri="{28A0092B-C50C-407E-A947-70E740481C1C}">
                                <a14:useLocalDpi xmlns:a14="http://schemas.microsoft.com/office/drawing/2010/main" val="0"/>
                              </a:ext>
                            </a:extLst>
                          </a:blip>
                          <a:stretch>
                            <a:fillRect/>
                          </a:stretch>
                        </pic:blipFill>
                        <pic:spPr bwMode="auto">
                          <a:xfrm>
                            <a:off x="0" y="0"/>
                            <a:ext cx="2437200" cy="1828800"/>
                          </a:xfrm>
                          <a:prstGeom prst="rect">
                            <a:avLst/>
                          </a:prstGeom>
                          <a:noFill/>
                          <a:ln>
                            <a:noFill/>
                          </a:ln>
                        </pic:spPr>
                      </pic:pic>
                    </a:graphicData>
                  </a:graphic>
                </wp:inline>
              </w:drawing>
            </w:r>
          </w:p>
        </w:tc>
        <w:tc>
          <w:tcPr>
            <w:tcW w:w="2500" w:type="pct"/>
          </w:tcPr>
          <w:p w:rsidR="00B53F21" w:rsidRPr="00AE2A0D" w:rsidRDefault="00B53F21" w:rsidP="003F2023">
            <w:pPr>
              <w:spacing w:after="80"/>
              <w:jc w:val="center"/>
              <w:rPr>
                <w:rFonts w:cs="Arial"/>
                <w:sz w:val="18"/>
                <w:szCs w:val="18"/>
              </w:rPr>
            </w:pPr>
            <w:r w:rsidRPr="00AE2A0D">
              <w:rPr>
                <w:rFonts w:cs="Arial"/>
                <w:noProof/>
                <w:sz w:val="18"/>
                <w:szCs w:val="18"/>
                <w:lang w:eastAsia="pt-BR"/>
              </w:rPr>
              <w:drawing>
                <wp:inline distT="0" distB="0" distL="0" distR="0" wp14:anchorId="596AB338" wp14:editId="6D6A4F12">
                  <wp:extent cx="2437200" cy="1818000"/>
                  <wp:effectExtent l="0" t="0" r="1270" b="0"/>
                  <wp:docPr id="178" name="Imagem 1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1" cstate="print">
                            <a:extLst>
                              <a:ext uri="{28A0092B-C50C-407E-A947-70E740481C1C}">
                                <a14:useLocalDpi xmlns:a14="http://schemas.microsoft.com/office/drawing/2010/main" val="0"/>
                              </a:ext>
                            </a:extLst>
                          </a:blip>
                          <a:stretch>
                            <a:fillRect/>
                          </a:stretch>
                        </pic:blipFill>
                        <pic:spPr bwMode="auto">
                          <a:xfrm>
                            <a:off x="0" y="0"/>
                            <a:ext cx="2437200" cy="1818000"/>
                          </a:xfrm>
                          <a:prstGeom prst="rect">
                            <a:avLst/>
                          </a:prstGeom>
                          <a:noFill/>
                          <a:ln>
                            <a:noFill/>
                          </a:ln>
                        </pic:spPr>
                      </pic:pic>
                    </a:graphicData>
                  </a:graphic>
                </wp:inline>
              </w:drawing>
            </w:r>
          </w:p>
        </w:tc>
      </w:tr>
      <w:tr w:rsidR="00B53F21" w:rsidRPr="00AE2A0D" w:rsidTr="003F2023">
        <w:trPr>
          <w:trHeight w:val="340"/>
        </w:trPr>
        <w:tc>
          <w:tcPr>
            <w:tcW w:w="2500" w:type="pct"/>
            <w:vAlign w:val="center"/>
          </w:tcPr>
          <w:p w:rsidR="00B53F21" w:rsidRPr="00AE2A0D" w:rsidRDefault="00B53F21" w:rsidP="003F2023">
            <w:pPr>
              <w:pStyle w:val="Legenda"/>
              <w:spacing w:after="0"/>
              <w:jc w:val="center"/>
              <w:rPr>
                <w:b/>
                <w:sz w:val="18"/>
              </w:rPr>
            </w:pPr>
            <w:r w:rsidRPr="00AE2A0D">
              <w:rPr>
                <w:i/>
                <w:sz w:val="18"/>
              </w:rPr>
              <w:t>Didelphis aurita</w:t>
            </w:r>
            <w:r w:rsidRPr="00AE2A0D">
              <w:rPr>
                <w:sz w:val="18"/>
              </w:rPr>
              <w:t xml:space="preserve"> – M-3</w:t>
            </w:r>
          </w:p>
        </w:tc>
        <w:tc>
          <w:tcPr>
            <w:tcW w:w="2500" w:type="pct"/>
            <w:vAlign w:val="center"/>
          </w:tcPr>
          <w:p w:rsidR="00B53F21" w:rsidRPr="00AE2A0D" w:rsidRDefault="00B53F21" w:rsidP="003F2023">
            <w:pPr>
              <w:pStyle w:val="Legenda"/>
              <w:spacing w:after="0"/>
              <w:jc w:val="center"/>
              <w:rPr>
                <w:b/>
                <w:sz w:val="18"/>
              </w:rPr>
            </w:pPr>
            <w:r w:rsidRPr="00AE2A0D">
              <w:rPr>
                <w:i/>
                <w:sz w:val="18"/>
              </w:rPr>
              <w:t>Leopardus tigrinus</w:t>
            </w:r>
            <w:r w:rsidRPr="00AE2A0D">
              <w:rPr>
                <w:sz w:val="18"/>
              </w:rPr>
              <w:t xml:space="preserve"> – M-2</w:t>
            </w:r>
          </w:p>
        </w:tc>
      </w:tr>
      <w:tr w:rsidR="00B53F21" w:rsidRPr="00AE2A0D" w:rsidTr="003F2023">
        <w:tc>
          <w:tcPr>
            <w:tcW w:w="2500" w:type="pct"/>
          </w:tcPr>
          <w:p w:rsidR="00B53F21" w:rsidRPr="00AE2A0D" w:rsidRDefault="00B53F21" w:rsidP="003F2023">
            <w:pPr>
              <w:spacing w:after="80"/>
              <w:jc w:val="center"/>
              <w:rPr>
                <w:rFonts w:cs="Arial"/>
                <w:sz w:val="18"/>
                <w:szCs w:val="18"/>
              </w:rPr>
            </w:pPr>
            <w:r w:rsidRPr="00AE2A0D">
              <w:rPr>
                <w:rFonts w:cs="Arial"/>
                <w:noProof/>
                <w:sz w:val="18"/>
                <w:szCs w:val="18"/>
                <w:lang w:eastAsia="pt-BR"/>
              </w:rPr>
              <w:drawing>
                <wp:inline distT="0" distB="0" distL="0" distR="0" wp14:anchorId="22685CAD" wp14:editId="18B82B7F">
                  <wp:extent cx="2438400" cy="1717269"/>
                  <wp:effectExtent l="0" t="0" r="0" b="0"/>
                  <wp:docPr id="179" name="Imagem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2" cstate="print">
                            <a:extLst>
                              <a:ext uri="{28A0092B-C50C-407E-A947-70E740481C1C}">
                                <a14:useLocalDpi xmlns:a14="http://schemas.microsoft.com/office/drawing/2010/main" val="0"/>
                              </a:ext>
                            </a:extLst>
                          </a:blip>
                          <a:stretch>
                            <a:fillRect/>
                          </a:stretch>
                        </pic:blipFill>
                        <pic:spPr bwMode="auto">
                          <a:xfrm>
                            <a:off x="0" y="0"/>
                            <a:ext cx="2438400" cy="1717269"/>
                          </a:xfrm>
                          <a:prstGeom prst="rect">
                            <a:avLst/>
                          </a:prstGeom>
                          <a:noFill/>
                          <a:ln>
                            <a:noFill/>
                          </a:ln>
                        </pic:spPr>
                      </pic:pic>
                    </a:graphicData>
                  </a:graphic>
                </wp:inline>
              </w:drawing>
            </w:r>
          </w:p>
        </w:tc>
        <w:tc>
          <w:tcPr>
            <w:tcW w:w="2500" w:type="pct"/>
          </w:tcPr>
          <w:p w:rsidR="00B53F21" w:rsidRPr="00AE2A0D" w:rsidRDefault="00B53F21" w:rsidP="003F2023">
            <w:pPr>
              <w:spacing w:after="80"/>
              <w:jc w:val="center"/>
              <w:rPr>
                <w:rFonts w:cs="Arial"/>
                <w:sz w:val="18"/>
                <w:szCs w:val="18"/>
              </w:rPr>
            </w:pPr>
            <w:r w:rsidRPr="00AE2A0D">
              <w:rPr>
                <w:rFonts w:cs="Arial"/>
                <w:noProof/>
                <w:sz w:val="18"/>
                <w:szCs w:val="18"/>
                <w:lang w:eastAsia="pt-BR"/>
              </w:rPr>
              <w:drawing>
                <wp:inline distT="0" distB="0" distL="0" distR="0" wp14:anchorId="6C696806" wp14:editId="22C8938F">
                  <wp:extent cx="2437200" cy="1717200"/>
                  <wp:effectExtent l="0" t="0" r="1270" b="0"/>
                  <wp:docPr id="180" name="Imagem 1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3" cstate="print">
                            <a:extLst>
                              <a:ext uri="{28A0092B-C50C-407E-A947-70E740481C1C}">
                                <a14:useLocalDpi xmlns:a14="http://schemas.microsoft.com/office/drawing/2010/main" val="0"/>
                              </a:ext>
                            </a:extLst>
                          </a:blip>
                          <a:stretch>
                            <a:fillRect/>
                          </a:stretch>
                        </pic:blipFill>
                        <pic:spPr bwMode="auto">
                          <a:xfrm>
                            <a:off x="0" y="0"/>
                            <a:ext cx="2437200" cy="1717200"/>
                          </a:xfrm>
                          <a:prstGeom prst="rect">
                            <a:avLst/>
                          </a:prstGeom>
                          <a:noFill/>
                          <a:ln>
                            <a:noFill/>
                          </a:ln>
                        </pic:spPr>
                      </pic:pic>
                    </a:graphicData>
                  </a:graphic>
                </wp:inline>
              </w:drawing>
            </w:r>
          </w:p>
        </w:tc>
      </w:tr>
      <w:tr w:rsidR="00B53F21" w:rsidRPr="00AE2A0D" w:rsidTr="003F2023">
        <w:trPr>
          <w:trHeight w:val="340"/>
        </w:trPr>
        <w:tc>
          <w:tcPr>
            <w:tcW w:w="2500" w:type="pct"/>
            <w:vAlign w:val="center"/>
          </w:tcPr>
          <w:p w:rsidR="00B53F21" w:rsidRPr="00AE2A0D" w:rsidRDefault="00B53F21" w:rsidP="003F2023">
            <w:pPr>
              <w:pStyle w:val="Legenda"/>
              <w:spacing w:after="0"/>
              <w:jc w:val="center"/>
              <w:rPr>
                <w:b/>
                <w:sz w:val="18"/>
              </w:rPr>
            </w:pPr>
            <w:r w:rsidRPr="00AE2A0D">
              <w:rPr>
                <w:i/>
                <w:sz w:val="18"/>
              </w:rPr>
              <w:t>Eira barbara</w:t>
            </w:r>
            <w:r w:rsidRPr="00AE2A0D">
              <w:rPr>
                <w:sz w:val="18"/>
              </w:rPr>
              <w:t xml:space="preserve"> – M-2</w:t>
            </w:r>
          </w:p>
        </w:tc>
        <w:tc>
          <w:tcPr>
            <w:tcW w:w="2500" w:type="pct"/>
            <w:vAlign w:val="center"/>
          </w:tcPr>
          <w:p w:rsidR="00B53F21" w:rsidRPr="00AE2A0D" w:rsidRDefault="00B53F21" w:rsidP="003F2023">
            <w:pPr>
              <w:pStyle w:val="Legenda"/>
              <w:spacing w:after="0"/>
              <w:jc w:val="center"/>
              <w:rPr>
                <w:b/>
                <w:sz w:val="18"/>
              </w:rPr>
            </w:pPr>
            <w:r w:rsidRPr="00AE2A0D">
              <w:rPr>
                <w:i/>
                <w:sz w:val="18"/>
              </w:rPr>
              <w:t>Cerdocyon thous</w:t>
            </w:r>
            <w:r w:rsidRPr="00AE2A0D">
              <w:rPr>
                <w:sz w:val="18"/>
              </w:rPr>
              <w:t xml:space="preserve"> – M-1</w:t>
            </w:r>
          </w:p>
        </w:tc>
      </w:tr>
      <w:tr w:rsidR="00B53F21" w:rsidRPr="00AE2A0D" w:rsidTr="003F2023">
        <w:trPr>
          <w:trHeight w:val="340"/>
        </w:trPr>
        <w:tc>
          <w:tcPr>
            <w:tcW w:w="2500" w:type="pct"/>
            <w:vAlign w:val="center"/>
          </w:tcPr>
          <w:p w:rsidR="00B53F21" w:rsidRPr="00AE2A0D" w:rsidRDefault="00B53F21" w:rsidP="003F2023">
            <w:pPr>
              <w:pStyle w:val="Legenda"/>
              <w:spacing w:after="0"/>
              <w:jc w:val="center"/>
              <w:rPr>
                <w:b/>
              </w:rPr>
            </w:pPr>
            <w:r w:rsidRPr="00AE2A0D">
              <w:rPr>
                <w:b/>
                <w:noProof/>
                <w:lang w:eastAsia="pt-BR"/>
              </w:rPr>
              <w:drawing>
                <wp:inline distT="0" distB="0" distL="0" distR="0" wp14:anchorId="03D1A5A7" wp14:editId="1CCC9CD6">
                  <wp:extent cx="2437200" cy="1828800"/>
                  <wp:effectExtent l="0" t="0" r="1270" b="0"/>
                  <wp:docPr id="181" name="Imagem 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 ingrami.jp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2437200" cy="1828800"/>
                          </a:xfrm>
                          <a:prstGeom prst="rect">
                            <a:avLst/>
                          </a:prstGeom>
                        </pic:spPr>
                      </pic:pic>
                    </a:graphicData>
                  </a:graphic>
                </wp:inline>
              </w:drawing>
            </w:r>
          </w:p>
        </w:tc>
        <w:tc>
          <w:tcPr>
            <w:tcW w:w="2500" w:type="pct"/>
            <w:vAlign w:val="center"/>
          </w:tcPr>
          <w:p w:rsidR="00B53F21" w:rsidRPr="00AE2A0D" w:rsidRDefault="00B53F21" w:rsidP="003F2023">
            <w:pPr>
              <w:pStyle w:val="Legenda"/>
              <w:spacing w:after="0"/>
              <w:jc w:val="center"/>
              <w:rPr>
                <w:b/>
              </w:rPr>
            </w:pPr>
            <w:r w:rsidRPr="00AE2A0D">
              <w:rPr>
                <w:b/>
                <w:noProof/>
                <w:lang w:eastAsia="pt-BR"/>
              </w:rPr>
              <w:drawing>
                <wp:inline distT="0" distB="0" distL="0" distR="0" wp14:anchorId="70A974D0" wp14:editId="2FF33CCF">
                  <wp:extent cx="2437200" cy="1828800"/>
                  <wp:effectExtent l="0" t="0" r="1270" b="0"/>
                  <wp:docPr id="15" name="Imagem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M. paraguayanus.jp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2437200" cy="1828800"/>
                          </a:xfrm>
                          <a:prstGeom prst="rect">
                            <a:avLst/>
                          </a:prstGeom>
                        </pic:spPr>
                      </pic:pic>
                    </a:graphicData>
                  </a:graphic>
                </wp:inline>
              </w:drawing>
            </w:r>
          </w:p>
        </w:tc>
      </w:tr>
      <w:tr w:rsidR="00B53F21" w:rsidRPr="00AE2A0D" w:rsidTr="003F2023">
        <w:trPr>
          <w:trHeight w:val="340"/>
        </w:trPr>
        <w:tc>
          <w:tcPr>
            <w:tcW w:w="2500" w:type="pct"/>
            <w:vAlign w:val="center"/>
          </w:tcPr>
          <w:p w:rsidR="00B53F21" w:rsidRPr="00AE2A0D" w:rsidRDefault="00B53F21" w:rsidP="003F2023">
            <w:pPr>
              <w:pStyle w:val="Legenda"/>
              <w:spacing w:after="0"/>
              <w:jc w:val="center"/>
              <w:rPr>
                <w:b/>
                <w:sz w:val="18"/>
              </w:rPr>
            </w:pPr>
            <w:r w:rsidRPr="00AE2A0D">
              <w:rPr>
                <w:i/>
                <w:sz w:val="18"/>
              </w:rPr>
              <w:t>Guerlinguetus ingrami</w:t>
            </w:r>
            <w:r w:rsidRPr="00AE2A0D">
              <w:rPr>
                <w:sz w:val="18"/>
              </w:rPr>
              <w:t xml:space="preserve"> – M-1</w:t>
            </w:r>
          </w:p>
        </w:tc>
        <w:tc>
          <w:tcPr>
            <w:tcW w:w="2500" w:type="pct"/>
            <w:vAlign w:val="center"/>
          </w:tcPr>
          <w:p w:rsidR="00B53F21" w:rsidRPr="00AE2A0D" w:rsidRDefault="00B53F21" w:rsidP="003F2023">
            <w:pPr>
              <w:pStyle w:val="Legenda"/>
              <w:spacing w:after="0"/>
              <w:jc w:val="center"/>
              <w:rPr>
                <w:b/>
                <w:sz w:val="18"/>
              </w:rPr>
            </w:pPr>
            <w:r w:rsidRPr="00AE2A0D">
              <w:rPr>
                <w:i/>
                <w:sz w:val="18"/>
              </w:rPr>
              <w:t>Micoureus paraguayanus</w:t>
            </w:r>
            <w:r w:rsidRPr="00AE2A0D">
              <w:rPr>
                <w:sz w:val="18"/>
              </w:rPr>
              <w:t xml:space="preserve"> – M-1</w:t>
            </w:r>
          </w:p>
        </w:tc>
      </w:tr>
    </w:tbl>
    <w:p w:rsidR="00B53F21" w:rsidRPr="00CF17BD" w:rsidRDefault="00B53F21" w:rsidP="00CF17BD">
      <w:pPr>
        <w:tabs>
          <w:tab w:val="left" w:pos="9000"/>
        </w:tabs>
        <w:spacing w:before="120"/>
        <w:jc w:val="center"/>
        <w:rPr>
          <w:rFonts w:ascii="Arial Negrito" w:eastAsia="Arial Unicode MS" w:hAnsi="Arial Negrito" w:cs="Times New Roman"/>
          <w:bCs/>
          <w:smallCaps/>
          <w:snapToGrid w:val="0"/>
          <w:sz w:val="20"/>
          <w:szCs w:val="24"/>
        </w:rPr>
      </w:pPr>
      <w:bookmarkStart w:id="136" w:name="_Ref401320462"/>
      <w:r w:rsidRPr="00CF17BD">
        <w:rPr>
          <w:rFonts w:ascii="Arial Negrito" w:eastAsia="Arial Unicode MS" w:hAnsi="Arial Negrito" w:cs="Times New Roman"/>
          <w:bCs/>
          <w:smallCaps/>
          <w:snapToGrid w:val="0"/>
          <w:sz w:val="20"/>
          <w:szCs w:val="24"/>
        </w:rPr>
        <w:t xml:space="preserve">Tabela </w:t>
      </w:r>
      <w:bookmarkEnd w:id="136"/>
      <w:r w:rsidR="00CF17BD" w:rsidRPr="00CF17BD">
        <w:rPr>
          <w:rFonts w:ascii="Arial Negrito" w:eastAsia="Arial Unicode MS" w:hAnsi="Arial Negrito" w:cs="Times New Roman"/>
          <w:bCs/>
          <w:smallCaps/>
          <w:snapToGrid w:val="0"/>
          <w:sz w:val="20"/>
          <w:szCs w:val="24"/>
        </w:rPr>
        <w:t>6.4.</w:t>
      </w:r>
      <w:r w:rsidR="002F5F14">
        <w:rPr>
          <w:rFonts w:ascii="Arial Negrito" w:eastAsia="Arial Unicode MS" w:hAnsi="Arial Negrito" w:cs="Times New Roman"/>
          <w:bCs/>
          <w:smallCaps/>
          <w:snapToGrid w:val="0"/>
          <w:sz w:val="20"/>
          <w:szCs w:val="24"/>
        </w:rPr>
        <w:t>4-13.</w:t>
      </w:r>
      <w:r w:rsidRPr="00CF17BD">
        <w:rPr>
          <w:rFonts w:ascii="Arial Negrito" w:eastAsia="Arial Unicode MS" w:hAnsi="Arial Negrito" w:cs="Times New Roman"/>
          <w:bCs/>
          <w:smallCaps/>
          <w:snapToGrid w:val="0"/>
          <w:sz w:val="20"/>
          <w:szCs w:val="24"/>
        </w:rPr>
        <w:t xml:space="preserve"> Lista das espécies de mamíferos registradas em ca</w:t>
      </w:r>
      <w:r w:rsidR="00CF17BD">
        <w:rPr>
          <w:rFonts w:ascii="Arial Negrito" w:eastAsia="Arial Unicode MS" w:hAnsi="Arial Negrito" w:cs="Times New Roman"/>
          <w:bCs/>
          <w:smallCaps/>
          <w:snapToGrid w:val="0"/>
          <w:sz w:val="20"/>
          <w:szCs w:val="24"/>
        </w:rPr>
        <w:t>mpo e os métodos de amostragem</w:t>
      </w:r>
    </w:p>
    <w:tbl>
      <w:tblPr>
        <w:tblW w:w="500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566"/>
        <w:gridCol w:w="1999"/>
        <w:gridCol w:w="965"/>
        <w:gridCol w:w="1551"/>
        <w:gridCol w:w="538"/>
        <w:gridCol w:w="547"/>
        <w:gridCol w:w="582"/>
        <w:gridCol w:w="586"/>
      </w:tblGrid>
      <w:tr w:rsidR="00B53F21" w:rsidRPr="00AE2A0D" w:rsidTr="003F2023">
        <w:trPr>
          <w:cantSplit/>
          <w:trHeight w:val="300"/>
          <w:tblHeader/>
        </w:trPr>
        <w:tc>
          <w:tcPr>
            <w:tcW w:w="1374" w:type="pct"/>
            <w:vMerge w:val="restart"/>
            <w:shd w:val="clear" w:color="auto" w:fill="BFBFBF"/>
            <w:noWrap/>
            <w:vAlign w:val="center"/>
            <w:hideMark/>
          </w:tcPr>
          <w:p w:rsidR="00B53F21" w:rsidRPr="00AE2A0D" w:rsidRDefault="00B53F21" w:rsidP="003F2023">
            <w:pPr>
              <w:autoSpaceDE w:val="0"/>
              <w:autoSpaceDN w:val="0"/>
              <w:adjustRightInd w:val="0"/>
              <w:spacing w:after="0"/>
              <w:jc w:val="center"/>
              <w:rPr>
                <w:rFonts w:eastAsia="Cambria" w:cs="Arial"/>
                <w:b/>
                <w:color w:val="000000"/>
                <w:sz w:val="18"/>
                <w:szCs w:val="18"/>
              </w:rPr>
            </w:pPr>
            <w:r w:rsidRPr="00AE2A0D">
              <w:rPr>
                <w:rFonts w:eastAsia="Cambria" w:cs="Arial"/>
                <w:b/>
                <w:color w:val="000000"/>
                <w:sz w:val="18"/>
                <w:szCs w:val="18"/>
              </w:rPr>
              <w:t>Táxon</w:t>
            </w:r>
          </w:p>
        </w:tc>
        <w:tc>
          <w:tcPr>
            <w:tcW w:w="1071" w:type="pct"/>
            <w:vMerge w:val="restart"/>
            <w:shd w:val="clear" w:color="auto" w:fill="BFBFBF"/>
            <w:noWrap/>
            <w:vAlign w:val="center"/>
            <w:hideMark/>
          </w:tcPr>
          <w:p w:rsidR="00B53F21" w:rsidRPr="00AE2A0D" w:rsidRDefault="00B53F21" w:rsidP="003F2023">
            <w:pPr>
              <w:autoSpaceDE w:val="0"/>
              <w:autoSpaceDN w:val="0"/>
              <w:adjustRightInd w:val="0"/>
              <w:spacing w:after="0"/>
              <w:jc w:val="center"/>
              <w:rPr>
                <w:rFonts w:eastAsia="Cambria" w:cs="Arial"/>
                <w:b/>
                <w:color w:val="000000"/>
                <w:sz w:val="18"/>
                <w:szCs w:val="18"/>
              </w:rPr>
            </w:pPr>
            <w:r w:rsidRPr="00AE2A0D">
              <w:rPr>
                <w:rFonts w:eastAsia="Cambria" w:cs="Arial"/>
                <w:b/>
                <w:color w:val="000000"/>
                <w:sz w:val="18"/>
                <w:szCs w:val="18"/>
              </w:rPr>
              <w:t>Nome comum</w:t>
            </w:r>
          </w:p>
        </w:tc>
        <w:tc>
          <w:tcPr>
            <w:tcW w:w="517" w:type="pct"/>
            <w:vMerge w:val="restart"/>
            <w:shd w:val="clear" w:color="auto" w:fill="BFBFBF"/>
            <w:vAlign w:val="center"/>
            <w:hideMark/>
          </w:tcPr>
          <w:p w:rsidR="00B53F21" w:rsidRPr="00AE2A0D" w:rsidRDefault="00B53F21" w:rsidP="003F2023">
            <w:pPr>
              <w:autoSpaceDE w:val="0"/>
              <w:autoSpaceDN w:val="0"/>
              <w:adjustRightInd w:val="0"/>
              <w:spacing w:after="0"/>
              <w:jc w:val="center"/>
              <w:rPr>
                <w:rFonts w:eastAsia="Cambria" w:cs="Arial"/>
                <w:b/>
                <w:color w:val="000000"/>
                <w:sz w:val="18"/>
                <w:szCs w:val="18"/>
              </w:rPr>
            </w:pPr>
            <w:r w:rsidRPr="00AE2A0D">
              <w:rPr>
                <w:rFonts w:eastAsia="Cambria" w:cs="Arial"/>
                <w:b/>
                <w:color w:val="000000"/>
                <w:sz w:val="18"/>
                <w:szCs w:val="18"/>
              </w:rPr>
              <w:t>Método</w:t>
            </w:r>
          </w:p>
        </w:tc>
        <w:tc>
          <w:tcPr>
            <w:tcW w:w="831" w:type="pct"/>
            <w:vMerge w:val="restart"/>
            <w:shd w:val="clear" w:color="auto" w:fill="BFBFBF"/>
            <w:noWrap/>
            <w:vAlign w:val="center"/>
            <w:hideMark/>
          </w:tcPr>
          <w:p w:rsidR="00B53F21" w:rsidRPr="00AE2A0D" w:rsidRDefault="00B53F21" w:rsidP="003F2023">
            <w:pPr>
              <w:autoSpaceDE w:val="0"/>
              <w:autoSpaceDN w:val="0"/>
              <w:adjustRightInd w:val="0"/>
              <w:spacing w:after="0"/>
              <w:jc w:val="center"/>
              <w:rPr>
                <w:rFonts w:eastAsia="Cambria" w:cs="Arial"/>
                <w:b/>
                <w:color w:val="000000"/>
                <w:sz w:val="18"/>
                <w:szCs w:val="18"/>
              </w:rPr>
            </w:pPr>
            <w:r w:rsidRPr="00AE2A0D">
              <w:rPr>
                <w:rFonts w:eastAsia="Cambria" w:cs="Arial"/>
                <w:b/>
                <w:color w:val="000000"/>
                <w:sz w:val="18"/>
                <w:szCs w:val="18"/>
              </w:rPr>
              <w:t>Local</w:t>
            </w:r>
          </w:p>
        </w:tc>
        <w:tc>
          <w:tcPr>
            <w:tcW w:w="288" w:type="pct"/>
            <w:vMerge w:val="restart"/>
            <w:shd w:val="clear" w:color="auto" w:fill="BFBFBF"/>
            <w:vAlign w:val="center"/>
          </w:tcPr>
          <w:p w:rsidR="00B53F21" w:rsidRPr="00AE2A0D" w:rsidRDefault="00B53F21" w:rsidP="003F2023">
            <w:pPr>
              <w:autoSpaceDE w:val="0"/>
              <w:autoSpaceDN w:val="0"/>
              <w:adjustRightInd w:val="0"/>
              <w:spacing w:after="0"/>
              <w:jc w:val="center"/>
              <w:rPr>
                <w:rFonts w:eastAsia="Cambria" w:cs="Arial"/>
                <w:b/>
                <w:color w:val="000000"/>
                <w:sz w:val="18"/>
                <w:szCs w:val="18"/>
              </w:rPr>
            </w:pPr>
            <w:r w:rsidRPr="00AE2A0D">
              <w:rPr>
                <w:rFonts w:eastAsia="Cambria" w:cs="Arial"/>
                <w:b/>
                <w:color w:val="000000"/>
                <w:sz w:val="18"/>
                <w:szCs w:val="18"/>
              </w:rPr>
              <w:t>End.</w:t>
            </w:r>
          </w:p>
        </w:tc>
        <w:tc>
          <w:tcPr>
            <w:tcW w:w="920" w:type="pct"/>
            <w:gridSpan w:val="3"/>
            <w:shd w:val="clear" w:color="auto" w:fill="BFBFBF"/>
            <w:noWrap/>
            <w:vAlign w:val="center"/>
            <w:hideMark/>
          </w:tcPr>
          <w:p w:rsidR="00B53F21" w:rsidRPr="00AE2A0D" w:rsidRDefault="00B53F21" w:rsidP="003F2023">
            <w:pPr>
              <w:autoSpaceDE w:val="0"/>
              <w:autoSpaceDN w:val="0"/>
              <w:adjustRightInd w:val="0"/>
              <w:spacing w:after="0"/>
              <w:jc w:val="center"/>
              <w:rPr>
                <w:rFonts w:eastAsia="Cambria" w:cs="Arial"/>
                <w:b/>
                <w:color w:val="000000"/>
                <w:sz w:val="18"/>
                <w:szCs w:val="18"/>
              </w:rPr>
            </w:pPr>
            <w:r w:rsidRPr="00AE2A0D">
              <w:rPr>
                <w:rFonts w:eastAsia="Cambria" w:cs="Arial"/>
                <w:b/>
                <w:color w:val="000000"/>
                <w:sz w:val="18"/>
                <w:szCs w:val="18"/>
              </w:rPr>
              <w:t>Grau de ameaça</w:t>
            </w:r>
          </w:p>
        </w:tc>
      </w:tr>
      <w:tr w:rsidR="00B53F21" w:rsidRPr="00AE2A0D" w:rsidTr="003F2023">
        <w:trPr>
          <w:cantSplit/>
          <w:trHeight w:val="300"/>
          <w:tblHeader/>
        </w:trPr>
        <w:tc>
          <w:tcPr>
            <w:tcW w:w="1374" w:type="pct"/>
            <w:vMerge/>
            <w:vAlign w:val="center"/>
            <w:hideMark/>
          </w:tcPr>
          <w:p w:rsidR="00B53F21" w:rsidRPr="00AE2A0D" w:rsidRDefault="00B53F21" w:rsidP="003F2023">
            <w:pPr>
              <w:spacing w:after="0"/>
              <w:rPr>
                <w:rFonts w:eastAsia="Cambria" w:cs="Arial"/>
                <w:b/>
                <w:color w:val="000000"/>
                <w:sz w:val="18"/>
                <w:szCs w:val="18"/>
              </w:rPr>
            </w:pPr>
          </w:p>
        </w:tc>
        <w:tc>
          <w:tcPr>
            <w:tcW w:w="1071" w:type="pct"/>
            <w:vMerge/>
            <w:vAlign w:val="center"/>
            <w:hideMark/>
          </w:tcPr>
          <w:p w:rsidR="00B53F21" w:rsidRPr="00AE2A0D" w:rsidRDefault="00B53F21" w:rsidP="003F2023">
            <w:pPr>
              <w:spacing w:after="0"/>
              <w:rPr>
                <w:rFonts w:eastAsia="Cambria" w:cs="Arial"/>
                <w:b/>
                <w:color w:val="000000"/>
                <w:sz w:val="18"/>
                <w:szCs w:val="18"/>
              </w:rPr>
            </w:pPr>
          </w:p>
        </w:tc>
        <w:tc>
          <w:tcPr>
            <w:tcW w:w="517" w:type="pct"/>
            <w:vMerge/>
            <w:vAlign w:val="center"/>
            <w:hideMark/>
          </w:tcPr>
          <w:p w:rsidR="00B53F21" w:rsidRPr="00AE2A0D" w:rsidRDefault="00B53F21" w:rsidP="003F2023">
            <w:pPr>
              <w:spacing w:after="0"/>
              <w:jc w:val="center"/>
              <w:rPr>
                <w:rFonts w:eastAsia="Cambria" w:cs="Arial"/>
                <w:b/>
                <w:color w:val="000000"/>
                <w:sz w:val="18"/>
                <w:szCs w:val="18"/>
              </w:rPr>
            </w:pPr>
          </w:p>
        </w:tc>
        <w:tc>
          <w:tcPr>
            <w:tcW w:w="831" w:type="pct"/>
            <w:vMerge/>
            <w:vAlign w:val="center"/>
            <w:hideMark/>
          </w:tcPr>
          <w:p w:rsidR="00B53F21" w:rsidRPr="00AE2A0D" w:rsidRDefault="00B53F21" w:rsidP="003F2023">
            <w:pPr>
              <w:spacing w:after="0"/>
              <w:rPr>
                <w:rFonts w:eastAsia="Cambria" w:cs="Arial"/>
                <w:b/>
                <w:color w:val="000000"/>
                <w:sz w:val="18"/>
                <w:szCs w:val="18"/>
              </w:rPr>
            </w:pPr>
          </w:p>
        </w:tc>
        <w:tc>
          <w:tcPr>
            <w:tcW w:w="288" w:type="pct"/>
            <w:vMerge/>
            <w:shd w:val="clear" w:color="auto" w:fill="BFBFBF"/>
            <w:vAlign w:val="center"/>
          </w:tcPr>
          <w:p w:rsidR="00B53F21" w:rsidRPr="00AE2A0D" w:rsidRDefault="00B53F21" w:rsidP="003F2023">
            <w:pPr>
              <w:spacing w:after="0"/>
              <w:jc w:val="center"/>
              <w:rPr>
                <w:rFonts w:eastAsia="Cambria" w:cs="Arial"/>
                <w:b/>
                <w:color w:val="000000"/>
                <w:sz w:val="18"/>
                <w:szCs w:val="18"/>
              </w:rPr>
            </w:pPr>
          </w:p>
        </w:tc>
        <w:tc>
          <w:tcPr>
            <w:tcW w:w="293" w:type="pct"/>
            <w:shd w:val="clear" w:color="auto" w:fill="BFBFBF"/>
            <w:noWrap/>
            <w:vAlign w:val="center"/>
            <w:hideMark/>
          </w:tcPr>
          <w:p w:rsidR="00B53F21" w:rsidRPr="00AE2A0D" w:rsidRDefault="00B53F21" w:rsidP="003F2023">
            <w:pPr>
              <w:spacing w:after="0"/>
              <w:jc w:val="center"/>
              <w:rPr>
                <w:rFonts w:eastAsia="Cambria" w:cs="Arial"/>
                <w:b/>
                <w:color w:val="000000"/>
                <w:sz w:val="18"/>
                <w:szCs w:val="18"/>
              </w:rPr>
            </w:pPr>
            <w:r w:rsidRPr="00AE2A0D">
              <w:rPr>
                <w:rFonts w:eastAsia="Cambria" w:cs="Arial"/>
                <w:b/>
                <w:color w:val="000000"/>
                <w:sz w:val="18"/>
                <w:szCs w:val="18"/>
              </w:rPr>
              <w:t>SMA</w:t>
            </w:r>
          </w:p>
        </w:tc>
        <w:tc>
          <w:tcPr>
            <w:tcW w:w="312" w:type="pct"/>
            <w:shd w:val="clear" w:color="auto" w:fill="BFBFBF"/>
            <w:noWrap/>
            <w:vAlign w:val="center"/>
            <w:hideMark/>
          </w:tcPr>
          <w:p w:rsidR="00B53F21" w:rsidRPr="00AE2A0D" w:rsidRDefault="00B53F21" w:rsidP="003F2023">
            <w:pPr>
              <w:spacing w:after="0"/>
              <w:jc w:val="center"/>
              <w:rPr>
                <w:rFonts w:eastAsia="Cambria" w:cs="Arial"/>
                <w:b/>
                <w:color w:val="000000"/>
                <w:sz w:val="18"/>
                <w:szCs w:val="18"/>
              </w:rPr>
            </w:pPr>
            <w:r w:rsidRPr="00AE2A0D">
              <w:rPr>
                <w:rFonts w:eastAsia="Cambria" w:cs="Arial"/>
                <w:b/>
                <w:color w:val="000000"/>
                <w:sz w:val="18"/>
                <w:szCs w:val="18"/>
              </w:rPr>
              <w:t>MMA</w:t>
            </w:r>
          </w:p>
        </w:tc>
        <w:tc>
          <w:tcPr>
            <w:tcW w:w="315" w:type="pct"/>
            <w:shd w:val="clear" w:color="auto" w:fill="BFBFBF"/>
            <w:noWrap/>
            <w:vAlign w:val="center"/>
            <w:hideMark/>
          </w:tcPr>
          <w:p w:rsidR="00B53F21" w:rsidRPr="00AE2A0D" w:rsidRDefault="00B53F21" w:rsidP="003F2023">
            <w:pPr>
              <w:spacing w:after="0"/>
              <w:jc w:val="center"/>
              <w:rPr>
                <w:rFonts w:eastAsia="Cambria" w:cs="Arial"/>
                <w:b/>
                <w:color w:val="000000"/>
                <w:sz w:val="18"/>
                <w:szCs w:val="18"/>
              </w:rPr>
            </w:pPr>
            <w:r w:rsidRPr="00AE2A0D">
              <w:rPr>
                <w:rFonts w:eastAsia="Cambria" w:cs="Arial"/>
                <w:b/>
                <w:color w:val="000000"/>
                <w:sz w:val="18"/>
                <w:szCs w:val="18"/>
              </w:rPr>
              <w:t>IUCN</w:t>
            </w:r>
          </w:p>
        </w:tc>
      </w:tr>
      <w:tr w:rsidR="00B53F21" w:rsidRPr="00AE2A0D" w:rsidTr="003F2023">
        <w:trPr>
          <w:cantSplit/>
          <w:trHeight w:val="300"/>
        </w:trPr>
        <w:tc>
          <w:tcPr>
            <w:tcW w:w="1374" w:type="pct"/>
            <w:noWrap/>
            <w:vAlign w:val="center"/>
            <w:hideMark/>
          </w:tcPr>
          <w:p w:rsidR="00B53F21" w:rsidRPr="00AE2A0D" w:rsidRDefault="00B53F21" w:rsidP="003F2023">
            <w:pPr>
              <w:spacing w:after="0"/>
              <w:rPr>
                <w:rFonts w:eastAsia="Times New Roman" w:cs="Arial"/>
                <w:b/>
                <w:bCs/>
                <w:color w:val="000000"/>
                <w:sz w:val="18"/>
                <w:szCs w:val="18"/>
              </w:rPr>
            </w:pPr>
            <w:r w:rsidRPr="00AE2A0D">
              <w:rPr>
                <w:rFonts w:cs="Arial"/>
                <w:b/>
                <w:bCs/>
                <w:color w:val="000000"/>
                <w:sz w:val="18"/>
                <w:szCs w:val="18"/>
              </w:rPr>
              <w:t>Didelphimorphia</w:t>
            </w:r>
          </w:p>
        </w:tc>
        <w:tc>
          <w:tcPr>
            <w:tcW w:w="1071" w:type="pct"/>
            <w:noWrap/>
            <w:vAlign w:val="center"/>
            <w:hideMark/>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hideMark/>
          </w:tcPr>
          <w:p w:rsidR="00B53F21" w:rsidRPr="00AE2A0D" w:rsidRDefault="00B53F21" w:rsidP="003F2023">
            <w:pPr>
              <w:spacing w:after="0"/>
              <w:rPr>
                <w:rFonts w:eastAsia="Cambria" w:cs="Arial"/>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142"/>
              <w:rPr>
                <w:rFonts w:eastAsia="Times New Roman" w:cs="Arial"/>
                <w:b/>
                <w:bCs/>
                <w:color w:val="000000"/>
                <w:sz w:val="18"/>
                <w:szCs w:val="18"/>
              </w:rPr>
            </w:pPr>
            <w:r w:rsidRPr="00AE2A0D">
              <w:rPr>
                <w:rFonts w:cs="Arial"/>
                <w:b/>
                <w:bCs/>
                <w:color w:val="000000"/>
                <w:sz w:val="18"/>
                <w:szCs w:val="18"/>
              </w:rPr>
              <w:t>Didelphidae</w:t>
            </w:r>
          </w:p>
        </w:tc>
        <w:tc>
          <w:tcPr>
            <w:tcW w:w="1071" w:type="pct"/>
            <w:noWrap/>
            <w:vAlign w:val="center"/>
            <w:hideMark/>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hideMark/>
          </w:tcPr>
          <w:p w:rsidR="00B53F21" w:rsidRPr="00AE2A0D" w:rsidRDefault="00B53F21" w:rsidP="003F2023">
            <w:pPr>
              <w:spacing w:after="0"/>
              <w:rPr>
                <w:rFonts w:eastAsia="Cambria" w:cs="Arial"/>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426"/>
              <w:rPr>
                <w:rFonts w:eastAsia="Times New Roman" w:cs="Arial"/>
                <w:i/>
                <w:color w:val="000000"/>
                <w:sz w:val="18"/>
                <w:szCs w:val="18"/>
              </w:rPr>
            </w:pPr>
            <w:r w:rsidRPr="00AE2A0D">
              <w:rPr>
                <w:rFonts w:cs="Arial"/>
                <w:i/>
                <w:color w:val="000000"/>
                <w:sz w:val="18"/>
                <w:szCs w:val="18"/>
              </w:rPr>
              <w:t>Didelphis aurita</w:t>
            </w:r>
          </w:p>
        </w:tc>
        <w:tc>
          <w:tcPr>
            <w:tcW w:w="107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gambá</w:t>
            </w:r>
          </w:p>
        </w:tc>
        <w:tc>
          <w:tcPr>
            <w:tcW w:w="517" w:type="pct"/>
            <w:vAlign w:val="center"/>
            <w:hideMark/>
          </w:tcPr>
          <w:p w:rsidR="00B53F21" w:rsidRPr="00AE2A0D" w:rsidRDefault="00B53F21" w:rsidP="003F2023">
            <w:pPr>
              <w:spacing w:after="0"/>
              <w:jc w:val="center"/>
              <w:rPr>
                <w:rFonts w:eastAsia="Times New Roman" w:cs="Arial"/>
                <w:color w:val="000000"/>
                <w:sz w:val="18"/>
                <w:szCs w:val="18"/>
              </w:rPr>
            </w:pPr>
            <w:r w:rsidRPr="00AE2A0D">
              <w:rPr>
                <w:rFonts w:eastAsia="Times New Roman" w:cs="Arial"/>
                <w:color w:val="000000"/>
                <w:sz w:val="18"/>
                <w:szCs w:val="18"/>
              </w:rPr>
              <w:t>Af, Et</w:t>
            </w:r>
          </w:p>
        </w:tc>
        <w:tc>
          <w:tcPr>
            <w:tcW w:w="831" w:type="pct"/>
            <w:noWrap/>
            <w:vAlign w:val="center"/>
          </w:tcPr>
          <w:p w:rsidR="00B53F21" w:rsidRPr="00AE2A0D" w:rsidRDefault="00B53F21" w:rsidP="009B231F">
            <w:pPr>
              <w:spacing w:after="0"/>
              <w:jc w:val="center"/>
              <w:rPr>
                <w:rFonts w:eastAsia="Times New Roman" w:cs="Arial"/>
                <w:color w:val="000000"/>
                <w:sz w:val="18"/>
                <w:szCs w:val="18"/>
              </w:rPr>
            </w:pPr>
            <w:r w:rsidRPr="00AE2A0D">
              <w:rPr>
                <w:rFonts w:eastAsia="Times New Roman" w:cs="Arial"/>
                <w:color w:val="000000"/>
                <w:sz w:val="18"/>
                <w:szCs w:val="18"/>
              </w:rPr>
              <w:t>M-1</w:t>
            </w:r>
            <w:r w:rsidR="009B231F">
              <w:rPr>
                <w:rFonts w:eastAsia="Times New Roman" w:cs="Arial"/>
                <w:color w:val="000000"/>
                <w:sz w:val="18"/>
                <w:szCs w:val="18"/>
              </w:rPr>
              <w:t>,</w:t>
            </w:r>
            <w:r w:rsidRPr="00AE2A0D">
              <w:rPr>
                <w:rFonts w:eastAsia="Times New Roman" w:cs="Arial"/>
                <w:color w:val="000000"/>
                <w:sz w:val="18"/>
                <w:szCs w:val="18"/>
              </w:rPr>
              <w:t>M-3,M-4,M-5</w:t>
            </w: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tcPr>
          <w:p w:rsidR="00B53F21" w:rsidRPr="00AE2A0D" w:rsidRDefault="00B53F21" w:rsidP="003F2023">
            <w:pPr>
              <w:spacing w:after="0"/>
              <w:jc w:val="center"/>
              <w:rPr>
                <w:rFonts w:eastAsia="Times New Roman" w:cs="Arial"/>
                <w:color w:val="000000"/>
                <w:sz w:val="18"/>
                <w:szCs w:val="18"/>
              </w:rPr>
            </w:pPr>
          </w:p>
        </w:tc>
        <w:tc>
          <w:tcPr>
            <w:tcW w:w="315" w:type="pct"/>
            <w:noWrap/>
            <w:vAlign w:val="center"/>
          </w:tcPr>
          <w:p w:rsidR="00B53F21" w:rsidRPr="00AE2A0D" w:rsidRDefault="00B53F21" w:rsidP="003F2023">
            <w:pPr>
              <w:spacing w:after="0"/>
              <w:jc w:val="center"/>
              <w:rPr>
                <w:rFonts w:eastAsia="Times New Roman" w:cs="Arial"/>
                <w:color w:val="000000"/>
                <w:sz w:val="18"/>
                <w:szCs w:val="18"/>
              </w:rPr>
            </w:pPr>
          </w:p>
        </w:tc>
      </w:tr>
      <w:tr w:rsidR="00B53F21" w:rsidRPr="00AE2A0D" w:rsidTr="003F2023">
        <w:trPr>
          <w:cantSplit/>
          <w:trHeight w:val="300"/>
        </w:trPr>
        <w:tc>
          <w:tcPr>
            <w:tcW w:w="1374" w:type="pct"/>
            <w:noWrap/>
            <w:vAlign w:val="center"/>
          </w:tcPr>
          <w:p w:rsidR="00B53F21" w:rsidRPr="00AE2A0D" w:rsidRDefault="00B53F21" w:rsidP="003F2023">
            <w:pPr>
              <w:spacing w:after="0"/>
              <w:ind w:firstLine="426"/>
              <w:rPr>
                <w:rFonts w:cs="Arial"/>
                <w:i/>
                <w:color w:val="000000"/>
                <w:sz w:val="18"/>
                <w:szCs w:val="18"/>
              </w:rPr>
            </w:pPr>
            <w:r w:rsidRPr="00AE2A0D">
              <w:rPr>
                <w:rFonts w:cs="Arial"/>
                <w:i/>
                <w:color w:val="000000"/>
                <w:sz w:val="18"/>
                <w:szCs w:val="18"/>
              </w:rPr>
              <w:t xml:space="preserve">Micoureus </w:t>
            </w:r>
            <w:r w:rsidRPr="00AE2A0D">
              <w:rPr>
                <w:rFonts w:cs="Arial"/>
                <w:color w:val="000000"/>
                <w:sz w:val="18"/>
                <w:szCs w:val="18"/>
              </w:rPr>
              <w:t>sp.</w:t>
            </w:r>
          </w:p>
        </w:tc>
        <w:tc>
          <w:tcPr>
            <w:tcW w:w="1071" w:type="pct"/>
            <w:noWrap/>
            <w:vAlign w:val="center"/>
          </w:tcPr>
          <w:p w:rsidR="00B53F21" w:rsidRPr="00AE2A0D" w:rsidRDefault="00B53F21" w:rsidP="003F2023">
            <w:pPr>
              <w:spacing w:after="0"/>
              <w:jc w:val="center"/>
              <w:rPr>
                <w:rFonts w:cs="Arial"/>
                <w:color w:val="000000"/>
                <w:sz w:val="18"/>
                <w:szCs w:val="18"/>
              </w:rPr>
            </w:pPr>
            <w:r w:rsidRPr="00AE2A0D">
              <w:rPr>
                <w:rFonts w:cs="Arial"/>
                <w:color w:val="000000"/>
                <w:sz w:val="18"/>
                <w:szCs w:val="18"/>
              </w:rPr>
              <w:t>Cuíca</w:t>
            </w:r>
          </w:p>
        </w:tc>
        <w:tc>
          <w:tcPr>
            <w:tcW w:w="517" w:type="pct"/>
            <w:vAlign w:val="center"/>
          </w:tcPr>
          <w:p w:rsidR="00B53F21" w:rsidRPr="00AE2A0D" w:rsidRDefault="00B53F21" w:rsidP="003F2023">
            <w:pPr>
              <w:spacing w:after="0"/>
              <w:jc w:val="center"/>
              <w:rPr>
                <w:rFonts w:cs="Arial"/>
                <w:color w:val="000000"/>
                <w:sz w:val="18"/>
                <w:szCs w:val="18"/>
              </w:rPr>
            </w:pPr>
            <w:r w:rsidRPr="00AE2A0D">
              <w:rPr>
                <w:rFonts w:cs="Arial"/>
                <w:color w:val="000000"/>
                <w:sz w:val="18"/>
                <w:szCs w:val="18"/>
              </w:rPr>
              <w:t>Af</w:t>
            </w: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r w:rsidRPr="00AE2A0D">
              <w:rPr>
                <w:rFonts w:eastAsia="Times New Roman" w:cs="Arial"/>
                <w:color w:val="000000"/>
                <w:sz w:val="18"/>
                <w:szCs w:val="18"/>
              </w:rPr>
              <w:t>M-1</w:t>
            </w: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tcPr>
          <w:p w:rsidR="00B53F21" w:rsidRPr="00AE2A0D" w:rsidRDefault="00B53F21" w:rsidP="003F2023">
            <w:pPr>
              <w:spacing w:after="0"/>
              <w:jc w:val="center"/>
              <w:rPr>
                <w:rFonts w:eastAsia="Times New Roman" w:cs="Arial"/>
                <w:color w:val="000000"/>
                <w:sz w:val="18"/>
                <w:szCs w:val="18"/>
              </w:rPr>
            </w:pPr>
          </w:p>
        </w:tc>
        <w:tc>
          <w:tcPr>
            <w:tcW w:w="315" w:type="pct"/>
            <w:noWrap/>
            <w:vAlign w:val="center"/>
          </w:tcPr>
          <w:p w:rsidR="00B53F21" w:rsidRPr="00AE2A0D" w:rsidRDefault="00B53F21" w:rsidP="003F2023">
            <w:pPr>
              <w:spacing w:after="0"/>
              <w:jc w:val="center"/>
              <w:rPr>
                <w:rFonts w:eastAsia="Times New Roman" w:cs="Arial"/>
                <w:color w:val="000000"/>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rPr>
                <w:rFonts w:eastAsia="Times New Roman" w:cs="Arial"/>
                <w:b/>
                <w:bCs/>
                <w:color w:val="000000"/>
                <w:sz w:val="18"/>
                <w:szCs w:val="18"/>
              </w:rPr>
            </w:pPr>
            <w:r w:rsidRPr="00AE2A0D">
              <w:rPr>
                <w:rFonts w:cs="Arial"/>
                <w:b/>
                <w:bCs/>
                <w:color w:val="000000"/>
                <w:sz w:val="18"/>
                <w:szCs w:val="18"/>
              </w:rPr>
              <w:t>Cingulata</w:t>
            </w:r>
          </w:p>
        </w:tc>
        <w:tc>
          <w:tcPr>
            <w:tcW w:w="1071" w:type="pct"/>
            <w:noWrap/>
            <w:vAlign w:val="center"/>
            <w:hideMark/>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hideMark/>
          </w:tcPr>
          <w:p w:rsidR="00B53F21" w:rsidRPr="00AE2A0D" w:rsidRDefault="00B53F21" w:rsidP="003F2023">
            <w:pPr>
              <w:spacing w:after="0"/>
              <w:rPr>
                <w:rFonts w:eastAsia="Cambria" w:cs="Arial"/>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142"/>
              <w:rPr>
                <w:rFonts w:eastAsia="Times New Roman" w:cs="Arial"/>
                <w:b/>
                <w:bCs/>
                <w:color w:val="000000"/>
                <w:sz w:val="18"/>
                <w:szCs w:val="18"/>
              </w:rPr>
            </w:pPr>
            <w:r w:rsidRPr="00AE2A0D">
              <w:rPr>
                <w:rFonts w:cs="Arial"/>
                <w:b/>
                <w:bCs/>
                <w:color w:val="000000"/>
                <w:sz w:val="18"/>
                <w:szCs w:val="18"/>
              </w:rPr>
              <w:t>Dasypodidae</w:t>
            </w:r>
          </w:p>
        </w:tc>
        <w:tc>
          <w:tcPr>
            <w:tcW w:w="1071" w:type="pct"/>
            <w:noWrap/>
            <w:vAlign w:val="center"/>
            <w:hideMark/>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hideMark/>
          </w:tcPr>
          <w:p w:rsidR="00B53F21" w:rsidRPr="00AE2A0D" w:rsidRDefault="00B53F21" w:rsidP="003F2023">
            <w:pPr>
              <w:spacing w:after="0"/>
              <w:rPr>
                <w:rFonts w:eastAsia="Cambria" w:cs="Arial"/>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426"/>
              <w:rPr>
                <w:rFonts w:eastAsia="Times New Roman" w:cs="Arial"/>
                <w:i/>
                <w:color w:val="000000"/>
                <w:sz w:val="18"/>
                <w:szCs w:val="18"/>
              </w:rPr>
            </w:pPr>
            <w:r w:rsidRPr="00AE2A0D">
              <w:rPr>
                <w:rFonts w:cs="Arial"/>
                <w:i/>
                <w:color w:val="000000"/>
                <w:sz w:val="18"/>
                <w:szCs w:val="18"/>
              </w:rPr>
              <w:t xml:space="preserve">Dasypus </w:t>
            </w:r>
            <w:r w:rsidRPr="00AE2A0D">
              <w:rPr>
                <w:rFonts w:cs="Arial"/>
                <w:color w:val="000000"/>
                <w:sz w:val="18"/>
                <w:szCs w:val="18"/>
              </w:rPr>
              <w:t>sp.*</w:t>
            </w:r>
          </w:p>
        </w:tc>
        <w:tc>
          <w:tcPr>
            <w:tcW w:w="107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tatu</w:t>
            </w:r>
          </w:p>
        </w:tc>
        <w:tc>
          <w:tcPr>
            <w:tcW w:w="517" w:type="pct"/>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Et</w:t>
            </w: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r w:rsidRPr="00AE2A0D">
              <w:rPr>
                <w:rFonts w:eastAsia="Times New Roman" w:cs="Arial"/>
                <w:color w:val="000000"/>
                <w:sz w:val="18"/>
                <w:szCs w:val="18"/>
              </w:rPr>
              <w:t>M-3, M-5</w:t>
            </w: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tcPr>
          <w:p w:rsidR="00B53F21" w:rsidRPr="00AE2A0D" w:rsidRDefault="00B53F21" w:rsidP="003F2023">
            <w:pPr>
              <w:spacing w:after="0"/>
              <w:jc w:val="center"/>
              <w:rPr>
                <w:rFonts w:eastAsia="Times New Roman" w:cs="Arial"/>
                <w:color w:val="000000"/>
                <w:sz w:val="18"/>
                <w:szCs w:val="18"/>
              </w:rPr>
            </w:pPr>
          </w:p>
        </w:tc>
        <w:tc>
          <w:tcPr>
            <w:tcW w:w="315" w:type="pct"/>
            <w:noWrap/>
            <w:vAlign w:val="center"/>
          </w:tcPr>
          <w:p w:rsidR="00B53F21" w:rsidRPr="00AE2A0D" w:rsidRDefault="00B53F21" w:rsidP="003F2023">
            <w:pPr>
              <w:spacing w:after="0"/>
              <w:jc w:val="center"/>
              <w:rPr>
                <w:rFonts w:eastAsia="Times New Roman" w:cs="Arial"/>
                <w:color w:val="000000"/>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rPr>
                <w:rFonts w:eastAsia="Times New Roman" w:cs="Arial"/>
                <w:b/>
                <w:bCs/>
                <w:color w:val="000000"/>
                <w:sz w:val="18"/>
                <w:szCs w:val="18"/>
              </w:rPr>
            </w:pPr>
            <w:r w:rsidRPr="00AE2A0D">
              <w:rPr>
                <w:rFonts w:cs="Arial"/>
                <w:b/>
                <w:bCs/>
                <w:color w:val="000000"/>
                <w:sz w:val="18"/>
                <w:szCs w:val="18"/>
              </w:rPr>
              <w:t>Primates</w:t>
            </w:r>
          </w:p>
        </w:tc>
        <w:tc>
          <w:tcPr>
            <w:tcW w:w="1071" w:type="pct"/>
            <w:noWrap/>
            <w:vAlign w:val="center"/>
            <w:hideMark/>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142"/>
              <w:rPr>
                <w:rFonts w:eastAsia="Times New Roman" w:cs="Arial"/>
                <w:b/>
                <w:bCs/>
                <w:color w:val="000000"/>
                <w:sz w:val="18"/>
                <w:szCs w:val="18"/>
              </w:rPr>
            </w:pPr>
            <w:r w:rsidRPr="00AE2A0D">
              <w:rPr>
                <w:rFonts w:cs="Arial"/>
                <w:b/>
                <w:bCs/>
                <w:color w:val="000000"/>
                <w:sz w:val="18"/>
                <w:szCs w:val="18"/>
              </w:rPr>
              <w:lastRenderedPageBreak/>
              <w:t>Callitrichidae</w:t>
            </w:r>
          </w:p>
        </w:tc>
        <w:tc>
          <w:tcPr>
            <w:tcW w:w="1071" w:type="pct"/>
            <w:noWrap/>
            <w:vAlign w:val="center"/>
            <w:hideMark/>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426"/>
              <w:rPr>
                <w:rFonts w:eastAsia="Times New Roman" w:cs="Arial"/>
                <w:i/>
                <w:color w:val="000000"/>
                <w:sz w:val="18"/>
                <w:szCs w:val="18"/>
              </w:rPr>
            </w:pPr>
            <w:r w:rsidRPr="00AE2A0D">
              <w:rPr>
                <w:rFonts w:cs="Arial"/>
                <w:i/>
                <w:color w:val="000000"/>
                <w:sz w:val="18"/>
                <w:szCs w:val="18"/>
              </w:rPr>
              <w:t>Callithrix aurita</w:t>
            </w:r>
          </w:p>
        </w:tc>
        <w:tc>
          <w:tcPr>
            <w:tcW w:w="107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sagui-da-serra-escuro</w:t>
            </w:r>
          </w:p>
        </w:tc>
        <w:tc>
          <w:tcPr>
            <w:tcW w:w="517" w:type="pct"/>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BA</w:t>
            </w:r>
          </w:p>
        </w:tc>
        <w:tc>
          <w:tcPr>
            <w:tcW w:w="83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M-4, M-5</w:t>
            </w:r>
          </w:p>
        </w:tc>
        <w:tc>
          <w:tcPr>
            <w:tcW w:w="288" w:type="pct"/>
            <w:vAlign w:val="center"/>
          </w:tcPr>
          <w:p w:rsidR="00B53F21" w:rsidRPr="00AE2A0D" w:rsidRDefault="00B53F21" w:rsidP="003F2023">
            <w:pPr>
              <w:spacing w:after="0"/>
              <w:jc w:val="center"/>
              <w:rPr>
                <w:rFonts w:eastAsia="Times New Roman" w:cs="Arial"/>
                <w:color w:val="000000"/>
                <w:sz w:val="18"/>
                <w:szCs w:val="18"/>
              </w:rPr>
            </w:pPr>
            <w:r w:rsidRPr="00AE2A0D">
              <w:rPr>
                <w:rFonts w:eastAsia="Times New Roman" w:cs="Arial"/>
                <w:color w:val="000000"/>
                <w:sz w:val="18"/>
                <w:szCs w:val="18"/>
              </w:rPr>
              <w:t>BRA</w:t>
            </w: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r w:rsidRPr="00AE2A0D">
              <w:rPr>
                <w:rFonts w:eastAsia="Cambria" w:cs="Arial"/>
                <w:sz w:val="18"/>
                <w:szCs w:val="18"/>
              </w:rPr>
              <w:t>VU</w:t>
            </w:r>
          </w:p>
        </w:tc>
      </w:tr>
      <w:tr w:rsidR="00B53F21" w:rsidRPr="00AE2A0D" w:rsidTr="003F2023">
        <w:trPr>
          <w:cantSplit/>
          <w:trHeight w:val="300"/>
        </w:trPr>
        <w:tc>
          <w:tcPr>
            <w:tcW w:w="1374" w:type="pct"/>
            <w:noWrap/>
            <w:vAlign w:val="center"/>
          </w:tcPr>
          <w:p w:rsidR="00B53F21" w:rsidRPr="00AE2A0D" w:rsidRDefault="00B53F21" w:rsidP="003F2023">
            <w:pPr>
              <w:spacing w:after="0"/>
              <w:ind w:firstLine="142"/>
              <w:rPr>
                <w:rFonts w:cs="Arial"/>
                <w:b/>
                <w:bCs/>
                <w:color w:val="000000"/>
                <w:sz w:val="18"/>
                <w:szCs w:val="18"/>
              </w:rPr>
            </w:pPr>
            <w:r w:rsidRPr="00AE2A0D">
              <w:rPr>
                <w:rFonts w:cs="Arial"/>
                <w:b/>
                <w:bCs/>
                <w:color w:val="000000"/>
                <w:sz w:val="18"/>
                <w:szCs w:val="18"/>
              </w:rPr>
              <w:t>Pitheciidae</w:t>
            </w:r>
          </w:p>
        </w:tc>
        <w:tc>
          <w:tcPr>
            <w:tcW w:w="1071" w:type="pct"/>
            <w:noWrap/>
            <w:vAlign w:val="center"/>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tcPr>
          <w:p w:rsidR="00B53F21" w:rsidRPr="00AE2A0D" w:rsidRDefault="00B53F21" w:rsidP="003F2023">
            <w:pPr>
              <w:spacing w:after="0"/>
              <w:rPr>
                <w:rFonts w:eastAsia="Cambria" w:cs="Arial"/>
                <w:sz w:val="18"/>
                <w:szCs w:val="18"/>
              </w:rPr>
            </w:pPr>
          </w:p>
        </w:tc>
        <w:tc>
          <w:tcPr>
            <w:tcW w:w="315" w:type="pct"/>
            <w:noWrap/>
            <w:vAlign w:val="center"/>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tcPr>
          <w:p w:rsidR="00B53F21" w:rsidRPr="00AE2A0D" w:rsidRDefault="00B53F21" w:rsidP="003F2023">
            <w:pPr>
              <w:spacing w:after="0"/>
              <w:ind w:firstLine="426"/>
              <w:rPr>
                <w:rFonts w:cs="Arial"/>
                <w:i/>
                <w:color w:val="000000"/>
                <w:sz w:val="18"/>
                <w:szCs w:val="18"/>
              </w:rPr>
            </w:pPr>
            <w:r w:rsidRPr="00AE2A0D">
              <w:rPr>
                <w:rFonts w:cs="Arial"/>
                <w:i/>
                <w:color w:val="000000"/>
                <w:sz w:val="18"/>
                <w:szCs w:val="18"/>
              </w:rPr>
              <w:t>Callicebus nigrifons</w:t>
            </w:r>
          </w:p>
        </w:tc>
        <w:tc>
          <w:tcPr>
            <w:tcW w:w="1071" w:type="pct"/>
            <w:noWrap/>
            <w:vAlign w:val="center"/>
          </w:tcPr>
          <w:p w:rsidR="00B53F21" w:rsidRPr="00AE2A0D" w:rsidRDefault="00B53F21" w:rsidP="003F2023">
            <w:pPr>
              <w:spacing w:after="0"/>
              <w:jc w:val="center"/>
              <w:rPr>
                <w:rFonts w:eastAsia="Cambria" w:cs="Arial"/>
                <w:sz w:val="18"/>
                <w:szCs w:val="18"/>
              </w:rPr>
            </w:pPr>
            <w:r w:rsidRPr="00AE2A0D">
              <w:rPr>
                <w:rFonts w:eastAsia="Cambria" w:cs="Arial"/>
                <w:sz w:val="18"/>
                <w:szCs w:val="18"/>
              </w:rPr>
              <w:t>guigó, sauá</w:t>
            </w:r>
          </w:p>
        </w:tc>
        <w:tc>
          <w:tcPr>
            <w:tcW w:w="517" w:type="pct"/>
            <w:vAlign w:val="center"/>
          </w:tcPr>
          <w:p w:rsidR="00B53F21" w:rsidRPr="00AE2A0D" w:rsidRDefault="00B53F21" w:rsidP="003F2023">
            <w:pPr>
              <w:spacing w:after="0"/>
              <w:jc w:val="center"/>
              <w:rPr>
                <w:rFonts w:eastAsia="Times New Roman" w:cs="Arial"/>
                <w:color w:val="000000"/>
                <w:sz w:val="18"/>
                <w:szCs w:val="18"/>
              </w:rPr>
            </w:pPr>
            <w:r w:rsidRPr="00AE2A0D">
              <w:rPr>
                <w:rFonts w:eastAsia="Times New Roman" w:cs="Arial"/>
                <w:color w:val="000000"/>
                <w:sz w:val="18"/>
                <w:szCs w:val="18"/>
              </w:rPr>
              <w:t>BA, Ec</w:t>
            </w: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r w:rsidRPr="00AE2A0D">
              <w:rPr>
                <w:rFonts w:eastAsia="Times New Roman" w:cs="Arial"/>
                <w:color w:val="000000"/>
                <w:sz w:val="18"/>
                <w:szCs w:val="18"/>
              </w:rPr>
              <w:t>M-4, M-5</w:t>
            </w:r>
          </w:p>
        </w:tc>
        <w:tc>
          <w:tcPr>
            <w:tcW w:w="288" w:type="pct"/>
            <w:vAlign w:val="center"/>
          </w:tcPr>
          <w:p w:rsidR="00B53F21" w:rsidRPr="00AE2A0D" w:rsidRDefault="00B53F21" w:rsidP="003F2023">
            <w:pPr>
              <w:spacing w:after="0"/>
              <w:jc w:val="center"/>
              <w:rPr>
                <w:rFonts w:eastAsia="Times New Roman" w:cs="Arial"/>
                <w:color w:val="000000"/>
                <w:sz w:val="18"/>
                <w:szCs w:val="18"/>
              </w:rPr>
            </w:pPr>
            <w:r w:rsidRPr="00AE2A0D">
              <w:rPr>
                <w:rFonts w:eastAsia="Times New Roman" w:cs="Arial"/>
                <w:color w:val="000000"/>
                <w:sz w:val="18"/>
                <w:szCs w:val="18"/>
              </w:rPr>
              <w:t>BRA</w:t>
            </w: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tcPr>
          <w:p w:rsidR="00B53F21" w:rsidRPr="00AE2A0D" w:rsidRDefault="00B53F21" w:rsidP="003F2023">
            <w:pPr>
              <w:spacing w:after="0"/>
              <w:rPr>
                <w:rFonts w:eastAsia="Cambria" w:cs="Arial"/>
                <w:sz w:val="18"/>
                <w:szCs w:val="18"/>
              </w:rPr>
            </w:pPr>
          </w:p>
        </w:tc>
        <w:tc>
          <w:tcPr>
            <w:tcW w:w="315" w:type="pct"/>
            <w:noWrap/>
            <w:vAlign w:val="center"/>
          </w:tcPr>
          <w:p w:rsidR="00B53F21" w:rsidRPr="00AE2A0D" w:rsidRDefault="00B53F21" w:rsidP="003F2023">
            <w:pPr>
              <w:spacing w:after="0"/>
              <w:rPr>
                <w:rFonts w:eastAsia="Cambria" w:cs="Arial"/>
                <w:sz w:val="18"/>
                <w:szCs w:val="18"/>
              </w:rPr>
            </w:pPr>
            <w:r w:rsidRPr="00AE2A0D">
              <w:rPr>
                <w:rFonts w:eastAsia="Cambria" w:cs="Arial"/>
                <w:sz w:val="18"/>
                <w:szCs w:val="18"/>
              </w:rPr>
              <w:t>NT</w:t>
            </w: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142"/>
              <w:rPr>
                <w:rFonts w:eastAsia="Times New Roman" w:cs="Arial"/>
                <w:b/>
                <w:bCs/>
                <w:color w:val="000000"/>
                <w:sz w:val="18"/>
                <w:szCs w:val="18"/>
              </w:rPr>
            </w:pPr>
            <w:r w:rsidRPr="00AE2A0D">
              <w:rPr>
                <w:rFonts w:cs="Arial"/>
                <w:b/>
                <w:bCs/>
                <w:color w:val="000000"/>
                <w:sz w:val="18"/>
                <w:szCs w:val="18"/>
              </w:rPr>
              <w:t>Atelidae</w:t>
            </w:r>
          </w:p>
        </w:tc>
        <w:tc>
          <w:tcPr>
            <w:tcW w:w="1071" w:type="pct"/>
            <w:noWrap/>
            <w:vAlign w:val="center"/>
            <w:hideMark/>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426"/>
              <w:rPr>
                <w:rFonts w:eastAsia="Times New Roman" w:cs="Arial"/>
                <w:i/>
                <w:color w:val="000000"/>
                <w:sz w:val="18"/>
                <w:szCs w:val="18"/>
              </w:rPr>
            </w:pPr>
            <w:r w:rsidRPr="00AE2A0D">
              <w:rPr>
                <w:rFonts w:cs="Arial"/>
                <w:i/>
                <w:color w:val="000000"/>
                <w:sz w:val="18"/>
                <w:szCs w:val="18"/>
              </w:rPr>
              <w:t xml:space="preserve">Alouatta </w:t>
            </w:r>
            <w:r w:rsidRPr="00AE2A0D">
              <w:rPr>
                <w:rFonts w:cs="Arial"/>
                <w:color w:val="000000"/>
                <w:sz w:val="18"/>
                <w:szCs w:val="18"/>
              </w:rPr>
              <w:t>sp.</w:t>
            </w:r>
          </w:p>
        </w:tc>
        <w:tc>
          <w:tcPr>
            <w:tcW w:w="1071" w:type="pct"/>
            <w:noWrap/>
            <w:vAlign w:val="center"/>
            <w:hideMark/>
          </w:tcPr>
          <w:p w:rsidR="00B53F21" w:rsidRPr="00AE2A0D" w:rsidRDefault="00B53F21" w:rsidP="003F2023">
            <w:pPr>
              <w:spacing w:after="0"/>
              <w:jc w:val="center"/>
              <w:rPr>
                <w:rFonts w:eastAsia="Times New Roman" w:cs="Arial"/>
                <w:color w:val="000000"/>
                <w:sz w:val="18"/>
                <w:szCs w:val="18"/>
              </w:rPr>
            </w:pPr>
          </w:p>
        </w:tc>
        <w:tc>
          <w:tcPr>
            <w:tcW w:w="517" w:type="pct"/>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Voc</w:t>
            </w: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r w:rsidRPr="00AE2A0D">
              <w:rPr>
                <w:rFonts w:eastAsia="Times New Roman" w:cs="Arial"/>
                <w:color w:val="000000"/>
                <w:sz w:val="18"/>
                <w:szCs w:val="18"/>
              </w:rPr>
              <w:t>M-4</w:t>
            </w: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rPr>
                <w:rFonts w:eastAsia="Times New Roman" w:cs="Arial"/>
                <w:b/>
                <w:bCs/>
                <w:color w:val="000000"/>
                <w:sz w:val="18"/>
                <w:szCs w:val="18"/>
              </w:rPr>
            </w:pPr>
            <w:r w:rsidRPr="00AE2A0D">
              <w:rPr>
                <w:rFonts w:cs="Arial"/>
                <w:b/>
                <w:bCs/>
                <w:color w:val="000000"/>
                <w:sz w:val="18"/>
                <w:szCs w:val="18"/>
              </w:rPr>
              <w:t>Carnivora</w:t>
            </w:r>
          </w:p>
        </w:tc>
        <w:tc>
          <w:tcPr>
            <w:tcW w:w="1071" w:type="pct"/>
            <w:noWrap/>
            <w:vAlign w:val="center"/>
            <w:hideMark/>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142"/>
              <w:rPr>
                <w:rFonts w:eastAsia="Times New Roman" w:cs="Arial"/>
                <w:b/>
                <w:bCs/>
                <w:color w:val="000000"/>
                <w:sz w:val="18"/>
                <w:szCs w:val="18"/>
              </w:rPr>
            </w:pPr>
            <w:r w:rsidRPr="00AE2A0D">
              <w:rPr>
                <w:rFonts w:cs="Arial"/>
                <w:b/>
                <w:bCs/>
                <w:color w:val="000000"/>
                <w:sz w:val="18"/>
                <w:szCs w:val="18"/>
              </w:rPr>
              <w:t>Felidae</w:t>
            </w:r>
          </w:p>
        </w:tc>
        <w:tc>
          <w:tcPr>
            <w:tcW w:w="1071" w:type="pct"/>
            <w:noWrap/>
            <w:vAlign w:val="center"/>
            <w:hideMark/>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426"/>
              <w:rPr>
                <w:rFonts w:eastAsia="Times New Roman" w:cs="Arial"/>
                <w:i/>
                <w:color w:val="000000"/>
                <w:sz w:val="18"/>
                <w:szCs w:val="18"/>
              </w:rPr>
            </w:pPr>
            <w:r w:rsidRPr="00AE2A0D">
              <w:rPr>
                <w:rFonts w:cs="Arial"/>
                <w:i/>
                <w:color w:val="000000"/>
                <w:sz w:val="18"/>
                <w:szCs w:val="18"/>
              </w:rPr>
              <w:t>Leopardus tigrinus</w:t>
            </w:r>
          </w:p>
        </w:tc>
        <w:tc>
          <w:tcPr>
            <w:tcW w:w="107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gato-do-mato-pequeno</w:t>
            </w:r>
          </w:p>
        </w:tc>
        <w:tc>
          <w:tcPr>
            <w:tcW w:w="517" w:type="pct"/>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Af</w:t>
            </w: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r w:rsidRPr="00AE2A0D">
              <w:rPr>
                <w:rFonts w:eastAsia="Times New Roman" w:cs="Arial"/>
                <w:color w:val="000000"/>
                <w:sz w:val="18"/>
                <w:szCs w:val="18"/>
              </w:rPr>
              <w:t>M-2, M-4</w:t>
            </w:r>
          </w:p>
        </w:tc>
        <w:tc>
          <w:tcPr>
            <w:tcW w:w="288" w:type="pct"/>
            <w:vAlign w:val="center"/>
          </w:tcPr>
          <w:p w:rsidR="00B53F21" w:rsidRPr="00AE2A0D" w:rsidRDefault="00B53F21" w:rsidP="003F2023">
            <w:pPr>
              <w:spacing w:after="0"/>
              <w:jc w:val="center"/>
              <w:rPr>
                <w:rFonts w:cs="Arial"/>
                <w:color w:val="000000"/>
                <w:sz w:val="18"/>
                <w:szCs w:val="18"/>
              </w:rPr>
            </w:pPr>
          </w:p>
        </w:tc>
        <w:tc>
          <w:tcPr>
            <w:tcW w:w="293"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AM</w:t>
            </w:r>
          </w:p>
        </w:tc>
        <w:tc>
          <w:tcPr>
            <w:tcW w:w="312"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VU</w:t>
            </w: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426"/>
              <w:rPr>
                <w:rFonts w:eastAsia="Times New Roman" w:cs="Arial"/>
                <w:i/>
                <w:color w:val="000000"/>
                <w:sz w:val="18"/>
                <w:szCs w:val="18"/>
              </w:rPr>
            </w:pPr>
            <w:r w:rsidRPr="00AE2A0D">
              <w:rPr>
                <w:rFonts w:cs="Arial"/>
                <w:i/>
                <w:color w:val="000000"/>
                <w:sz w:val="18"/>
                <w:szCs w:val="18"/>
              </w:rPr>
              <w:t>Puma concolor*</w:t>
            </w:r>
          </w:p>
        </w:tc>
        <w:tc>
          <w:tcPr>
            <w:tcW w:w="107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onça-parda</w:t>
            </w:r>
          </w:p>
        </w:tc>
        <w:tc>
          <w:tcPr>
            <w:tcW w:w="517" w:type="pct"/>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Et</w:t>
            </w:r>
          </w:p>
        </w:tc>
        <w:tc>
          <w:tcPr>
            <w:tcW w:w="83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M-1</w:t>
            </w:r>
          </w:p>
        </w:tc>
        <w:tc>
          <w:tcPr>
            <w:tcW w:w="288" w:type="pct"/>
            <w:vAlign w:val="center"/>
          </w:tcPr>
          <w:p w:rsidR="00B53F21" w:rsidRPr="00AE2A0D" w:rsidRDefault="00B53F21" w:rsidP="003F2023">
            <w:pPr>
              <w:spacing w:after="0"/>
              <w:jc w:val="center"/>
              <w:rPr>
                <w:rFonts w:cs="Arial"/>
                <w:color w:val="000000"/>
                <w:sz w:val="18"/>
                <w:szCs w:val="18"/>
              </w:rPr>
            </w:pPr>
          </w:p>
        </w:tc>
        <w:tc>
          <w:tcPr>
            <w:tcW w:w="293"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AM</w:t>
            </w:r>
          </w:p>
        </w:tc>
        <w:tc>
          <w:tcPr>
            <w:tcW w:w="312"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VU</w:t>
            </w: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142"/>
              <w:rPr>
                <w:rFonts w:eastAsia="Times New Roman" w:cs="Arial"/>
                <w:b/>
                <w:bCs/>
                <w:color w:val="000000"/>
                <w:sz w:val="18"/>
                <w:szCs w:val="18"/>
              </w:rPr>
            </w:pPr>
            <w:r w:rsidRPr="00AE2A0D">
              <w:rPr>
                <w:rFonts w:cs="Arial"/>
                <w:b/>
                <w:bCs/>
                <w:color w:val="000000"/>
                <w:sz w:val="18"/>
                <w:szCs w:val="18"/>
              </w:rPr>
              <w:t>Canidae</w:t>
            </w:r>
          </w:p>
        </w:tc>
        <w:tc>
          <w:tcPr>
            <w:tcW w:w="1071" w:type="pct"/>
            <w:noWrap/>
            <w:vAlign w:val="center"/>
            <w:hideMark/>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426"/>
              <w:rPr>
                <w:rFonts w:eastAsia="Times New Roman" w:cs="Arial"/>
                <w:i/>
                <w:color w:val="000000"/>
                <w:sz w:val="18"/>
                <w:szCs w:val="18"/>
              </w:rPr>
            </w:pPr>
            <w:r w:rsidRPr="00AE2A0D">
              <w:rPr>
                <w:rFonts w:cs="Arial"/>
                <w:i/>
                <w:color w:val="000000"/>
                <w:sz w:val="18"/>
                <w:szCs w:val="18"/>
              </w:rPr>
              <w:t>Cerdocyon thous</w:t>
            </w:r>
          </w:p>
        </w:tc>
        <w:tc>
          <w:tcPr>
            <w:tcW w:w="107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cachorro-do-mato</w:t>
            </w:r>
          </w:p>
        </w:tc>
        <w:tc>
          <w:tcPr>
            <w:tcW w:w="517" w:type="pct"/>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Af, Et</w:t>
            </w:r>
          </w:p>
        </w:tc>
        <w:tc>
          <w:tcPr>
            <w:tcW w:w="83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M-1, M-3</w:t>
            </w: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426"/>
              <w:rPr>
                <w:rFonts w:eastAsia="Times New Roman" w:cs="Arial"/>
                <w:i/>
                <w:color w:val="000000"/>
                <w:sz w:val="18"/>
                <w:szCs w:val="18"/>
              </w:rPr>
            </w:pPr>
            <w:r w:rsidRPr="00AE2A0D">
              <w:rPr>
                <w:rFonts w:cs="Arial"/>
                <w:i/>
                <w:color w:val="000000"/>
                <w:sz w:val="18"/>
                <w:szCs w:val="18"/>
              </w:rPr>
              <w:t>Chrysocyon brachyurus*</w:t>
            </w:r>
          </w:p>
        </w:tc>
        <w:tc>
          <w:tcPr>
            <w:tcW w:w="107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lobo-guará</w:t>
            </w:r>
          </w:p>
        </w:tc>
        <w:tc>
          <w:tcPr>
            <w:tcW w:w="517" w:type="pct"/>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Et</w:t>
            </w: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r w:rsidRPr="00AE2A0D">
              <w:rPr>
                <w:rFonts w:eastAsia="Times New Roman" w:cs="Arial"/>
                <w:color w:val="000000"/>
                <w:sz w:val="18"/>
                <w:szCs w:val="18"/>
              </w:rPr>
              <w:t>M-1</w:t>
            </w:r>
          </w:p>
        </w:tc>
        <w:tc>
          <w:tcPr>
            <w:tcW w:w="288" w:type="pct"/>
            <w:vAlign w:val="center"/>
          </w:tcPr>
          <w:p w:rsidR="00B53F21" w:rsidRPr="00AE2A0D" w:rsidRDefault="00B53F21" w:rsidP="003F2023">
            <w:pPr>
              <w:spacing w:after="0"/>
              <w:jc w:val="center"/>
              <w:rPr>
                <w:rFonts w:cs="Arial"/>
                <w:color w:val="000000"/>
                <w:sz w:val="18"/>
                <w:szCs w:val="18"/>
              </w:rPr>
            </w:pPr>
          </w:p>
        </w:tc>
        <w:tc>
          <w:tcPr>
            <w:tcW w:w="293"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AM</w:t>
            </w:r>
          </w:p>
        </w:tc>
        <w:tc>
          <w:tcPr>
            <w:tcW w:w="312"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VU</w:t>
            </w:r>
          </w:p>
        </w:tc>
        <w:tc>
          <w:tcPr>
            <w:tcW w:w="315"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NT</w:t>
            </w: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142"/>
              <w:rPr>
                <w:rFonts w:eastAsia="Times New Roman" w:cs="Arial"/>
                <w:b/>
                <w:bCs/>
                <w:color w:val="000000"/>
                <w:sz w:val="18"/>
                <w:szCs w:val="18"/>
              </w:rPr>
            </w:pPr>
            <w:r w:rsidRPr="00AE2A0D">
              <w:rPr>
                <w:rFonts w:cs="Arial"/>
                <w:b/>
                <w:bCs/>
                <w:color w:val="000000"/>
                <w:sz w:val="18"/>
                <w:szCs w:val="18"/>
              </w:rPr>
              <w:t>Mustelidae</w:t>
            </w:r>
          </w:p>
        </w:tc>
        <w:tc>
          <w:tcPr>
            <w:tcW w:w="1071" w:type="pct"/>
            <w:noWrap/>
            <w:vAlign w:val="center"/>
            <w:hideMark/>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426"/>
              <w:rPr>
                <w:rFonts w:eastAsia="Times New Roman" w:cs="Arial"/>
                <w:i/>
                <w:color w:val="000000"/>
                <w:sz w:val="18"/>
                <w:szCs w:val="18"/>
              </w:rPr>
            </w:pPr>
            <w:r w:rsidRPr="00AE2A0D">
              <w:rPr>
                <w:rFonts w:cs="Arial"/>
                <w:i/>
                <w:color w:val="000000"/>
                <w:sz w:val="18"/>
                <w:szCs w:val="18"/>
              </w:rPr>
              <w:t>Eira barbara</w:t>
            </w:r>
          </w:p>
        </w:tc>
        <w:tc>
          <w:tcPr>
            <w:tcW w:w="107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irara</w:t>
            </w:r>
          </w:p>
        </w:tc>
        <w:tc>
          <w:tcPr>
            <w:tcW w:w="517" w:type="pct"/>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Af, Et</w:t>
            </w: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r w:rsidRPr="00AE2A0D">
              <w:rPr>
                <w:rFonts w:eastAsia="Times New Roman" w:cs="Arial"/>
                <w:color w:val="000000"/>
                <w:sz w:val="18"/>
                <w:szCs w:val="18"/>
              </w:rPr>
              <w:t>M-2, M-3</w:t>
            </w: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426"/>
              <w:rPr>
                <w:rFonts w:eastAsia="Times New Roman" w:cs="Arial"/>
                <w:i/>
                <w:color w:val="000000"/>
                <w:sz w:val="18"/>
                <w:szCs w:val="18"/>
              </w:rPr>
            </w:pPr>
            <w:r w:rsidRPr="00AE2A0D">
              <w:rPr>
                <w:rFonts w:cs="Arial"/>
                <w:i/>
                <w:color w:val="000000"/>
                <w:sz w:val="18"/>
                <w:szCs w:val="18"/>
              </w:rPr>
              <w:t>Lontra longicaudis*</w:t>
            </w:r>
          </w:p>
        </w:tc>
        <w:tc>
          <w:tcPr>
            <w:tcW w:w="107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lontra</w:t>
            </w:r>
          </w:p>
        </w:tc>
        <w:tc>
          <w:tcPr>
            <w:tcW w:w="517" w:type="pct"/>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Et</w:t>
            </w:r>
          </w:p>
        </w:tc>
        <w:tc>
          <w:tcPr>
            <w:tcW w:w="83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M-1, M-2</w:t>
            </w:r>
          </w:p>
        </w:tc>
        <w:tc>
          <w:tcPr>
            <w:tcW w:w="288" w:type="pct"/>
            <w:vAlign w:val="center"/>
          </w:tcPr>
          <w:p w:rsidR="00B53F21" w:rsidRPr="00AE2A0D" w:rsidRDefault="00B53F21" w:rsidP="003F2023">
            <w:pPr>
              <w:spacing w:after="0"/>
              <w:jc w:val="center"/>
              <w:rPr>
                <w:rFonts w:cs="Arial"/>
                <w:color w:val="000000"/>
                <w:sz w:val="18"/>
                <w:szCs w:val="18"/>
              </w:rPr>
            </w:pPr>
          </w:p>
        </w:tc>
        <w:tc>
          <w:tcPr>
            <w:tcW w:w="293"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NT</w:t>
            </w: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DD</w:t>
            </w: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142"/>
              <w:rPr>
                <w:rFonts w:eastAsia="Times New Roman" w:cs="Arial"/>
                <w:b/>
                <w:bCs/>
                <w:color w:val="000000"/>
                <w:sz w:val="18"/>
                <w:szCs w:val="18"/>
              </w:rPr>
            </w:pPr>
            <w:r w:rsidRPr="00AE2A0D">
              <w:rPr>
                <w:rFonts w:cs="Arial"/>
                <w:b/>
                <w:bCs/>
                <w:color w:val="000000"/>
                <w:sz w:val="18"/>
                <w:szCs w:val="18"/>
              </w:rPr>
              <w:t>Procyonidae</w:t>
            </w:r>
          </w:p>
        </w:tc>
        <w:tc>
          <w:tcPr>
            <w:tcW w:w="1071" w:type="pct"/>
            <w:noWrap/>
            <w:vAlign w:val="center"/>
            <w:hideMark/>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426"/>
              <w:rPr>
                <w:rFonts w:eastAsia="Times New Roman" w:cs="Arial"/>
                <w:i/>
                <w:color w:val="000000"/>
                <w:sz w:val="18"/>
                <w:szCs w:val="18"/>
              </w:rPr>
            </w:pPr>
            <w:r w:rsidRPr="00AE2A0D">
              <w:rPr>
                <w:rFonts w:cs="Arial"/>
                <w:i/>
                <w:color w:val="000000"/>
                <w:sz w:val="18"/>
                <w:szCs w:val="18"/>
              </w:rPr>
              <w:t>Nasua nasua</w:t>
            </w:r>
          </w:p>
        </w:tc>
        <w:tc>
          <w:tcPr>
            <w:tcW w:w="107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quati</w:t>
            </w:r>
          </w:p>
        </w:tc>
        <w:tc>
          <w:tcPr>
            <w:tcW w:w="517" w:type="pct"/>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Et</w:t>
            </w:r>
          </w:p>
        </w:tc>
        <w:tc>
          <w:tcPr>
            <w:tcW w:w="83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M-5</w:t>
            </w: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426"/>
              <w:rPr>
                <w:rFonts w:eastAsia="Times New Roman" w:cs="Arial"/>
                <w:i/>
                <w:color w:val="000000"/>
                <w:sz w:val="18"/>
                <w:szCs w:val="18"/>
              </w:rPr>
            </w:pPr>
            <w:r w:rsidRPr="00AE2A0D">
              <w:rPr>
                <w:rFonts w:cs="Arial"/>
                <w:i/>
                <w:color w:val="000000"/>
                <w:sz w:val="18"/>
                <w:szCs w:val="18"/>
              </w:rPr>
              <w:t>Procyon cancrivorus</w:t>
            </w:r>
          </w:p>
        </w:tc>
        <w:tc>
          <w:tcPr>
            <w:tcW w:w="107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guaxinim, mão-pelada</w:t>
            </w:r>
          </w:p>
        </w:tc>
        <w:tc>
          <w:tcPr>
            <w:tcW w:w="517" w:type="pct"/>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Pg</w:t>
            </w: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r w:rsidRPr="00AE2A0D">
              <w:rPr>
                <w:rFonts w:eastAsia="Times New Roman" w:cs="Arial"/>
                <w:color w:val="000000"/>
                <w:sz w:val="18"/>
                <w:szCs w:val="18"/>
              </w:rPr>
              <w:t>M-4, M-5</w:t>
            </w: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rPr>
                <w:rFonts w:eastAsia="Times New Roman" w:cs="Arial"/>
                <w:b/>
                <w:bCs/>
                <w:color w:val="000000"/>
                <w:sz w:val="18"/>
                <w:szCs w:val="18"/>
              </w:rPr>
            </w:pPr>
            <w:r w:rsidRPr="00AE2A0D">
              <w:rPr>
                <w:rFonts w:cs="Arial"/>
                <w:b/>
                <w:bCs/>
                <w:color w:val="000000"/>
                <w:sz w:val="18"/>
                <w:szCs w:val="18"/>
              </w:rPr>
              <w:t>Rodentia</w:t>
            </w:r>
          </w:p>
        </w:tc>
        <w:tc>
          <w:tcPr>
            <w:tcW w:w="1071" w:type="pct"/>
            <w:noWrap/>
            <w:vAlign w:val="center"/>
            <w:hideMark/>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142"/>
              <w:rPr>
                <w:rFonts w:eastAsia="Times New Roman" w:cs="Arial"/>
                <w:b/>
                <w:bCs/>
                <w:color w:val="000000"/>
                <w:sz w:val="18"/>
                <w:szCs w:val="18"/>
              </w:rPr>
            </w:pPr>
            <w:r w:rsidRPr="00AE2A0D">
              <w:rPr>
                <w:rFonts w:cs="Arial"/>
                <w:b/>
                <w:bCs/>
                <w:color w:val="000000"/>
                <w:sz w:val="18"/>
                <w:szCs w:val="18"/>
              </w:rPr>
              <w:t>Caviidae</w:t>
            </w:r>
          </w:p>
        </w:tc>
        <w:tc>
          <w:tcPr>
            <w:tcW w:w="1071" w:type="pct"/>
            <w:noWrap/>
            <w:vAlign w:val="center"/>
            <w:hideMark/>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426"/>
              <w:rPr>
                <w:rFonts w:eastAsia="Times New Roman" w:cs="Arial"/>
                <w:i/>
                <w:color w:val="000000"/>
                <w:sz w:val="18"/>
                <w:szCs w:val="18"/>
              </w:rPr>
            </w:pPr>
            <w:r w:rsidRPr="00AE2A0D">
              <w:rPr>
                <w:rFonts w:cs="Arial"/>
                <w:i/>
                <w:color w:val="000000"/>
                <w:sz w:val="18"/>
                <w:szCs w:val="18"/>
              </w:rPr>
              <w:t>Hydrochoerus hydrochaeris</w:t>
            </w:r>
          </w:p>
        </w:tc>
        <w:tc>
          <w:tcPr>
            <w:tcW w:w="107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capivara</w:t>
            </w:r>
          </w:p>
        </w:tc>
        <w:tc>
          <w:tcPr>
            <w:tcW w:w="517" w:type="pct"/>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Et, Pg</w:t>
            </w:r>
          </w:p>
        </w:tc>
        <w:tc>
          <w:tcPr>
            <w:tcW w:w="83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M-1, M-4</w:t>
            </w: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142"/>
              <w:rPr>
                <w:rFonts w:eastAsia="Times New Roman" w:cs="Arial"/>
                <w:b/>
                <w:bCs/>
                <w:color w:val="000000"/>
                <w:sz w:val="18"/>
                <w:szCs w:val="18"/>
              </w:rPr>
            </w:pPr>
            <w:r w:rsidRPr="00AE2A0D">
              <w:rPr>
                <w:rFonts w:cs="Arial"/>
                <w:b/>
                <w:bCs/>
                <w:color w:val="000000"/>
                <w:sz w:val="18"/>
                <w:szCs w:val="18"/>
              </w:rPr>
              <w:t>Cuniculidae</w:t>
            </w:r>
          </w:p>
        </w:tc>
        <w:tc>
          <w:tcPr>
            <w:tcW w:w="1071" w:type="pct"/>
            <w:noWrap/>
            <w:vAlign w:val="center"/>
            <w:hideMark/>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426"/>
              <w:rPr>
                <w:rFonts w:eastAsia="Times New Roman" w:cs="Arial"/>
                <w:i/>
                <w:color w:val="000000"/>
                <w:sz w:val="18"/>
                <w:szCs w:val="18"/>
              </w:rPr>
            </w:pPr>
            <w:r w:rsidRPr="00AE2A0D">
              <w:rPr>
                <w:rFonts w:cs="Arial"/>
                <w:i/>
                <w:color w:val="000000"/>
                <w:sz w:val="18"/>
                <w:szCs w:val="18"/>
              </w:rPr>
              <w:t>Cuniculus paca*</w:t>
            </w:r>
          </w:p>
        </w:tc>
        <w:tc>
          <w:tcPr>
            <w:tcW w:w="107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paca</w:t>
            </w:r>
          </w:p>
        </w:tc>
        <w:tc>
          <w:tcPr>
            <w:tcW w:w="517" w:type="pct"/>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Et</w:t>
            </w:r>
          </w:p>
        </w:tc>
        <w:tc>
          <w:tcPr>
            <w:tcW w:w="83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M-5</w:t>
            </w:r>
          </w:p>
        </w:tc>
        <w:tc>
          <w:tcPr>
            <w:tcW w:w="288" w:type="pct"/>
            <w:vAlign w:val="center"/>
          </w:tcPr>
          <w:p w:rsidR="00B53F21" w:rsidRPr="00AE2A0D" w:rsidRDefault="00B53F21" w:rsidP="003F2023">
            <w:pPr>
              <w:spacing w:after="0"/>
              <w:jc w:val="center"/>
              <w:rPr>
                <w:rFonts w:cs="Arial"/>
                <w:color w:val="000000"/>
                <w:sz w:val="18"/>
                <w:szCs w:val="18"/>
              </w:rPr>
            </w:pPr>
          </w:p>
        </w:tc>
        <w:tc>
          <w:tcPr>
            <w:tcW w:w="293"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NT</w:t>
            </w: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142"/>
              <w:rPr>
                <w:rFonts w:eastAsia="Times New Roman" w:cs="Arial"/>
                <w:b/>
                <w:bCs/>
                <w:color w:val="000000"/>
                <w:sz w:val="18"/>
                <w:szCs w:val="18"/>
              </w:rPr>
            </w:pPr>
            <w:r w:rsidRPr="00AE2A0D">
              <w:rPr>
                <w:rFonts w:cs="Arial"/>
                <w:b/>
                <w:bCs/>
                <w:color w:val="000000"/>
                <w:sz w:val="18"/>
                <w:szCs w:val="18"/>
              </w:rPr>
              <w:t>Erethizontidae</w:t>
            </w:r>
          </w:p>
        </w:tc>
        <w:tc>
          <w:tcPr>
            <w:tcW w:w="1071" w:type="pct"/>
            <w:noWrap/>
            <w:vAlign w:val="center"/>
            <w:hideMark/>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426"/>
              <w:rPr>
                <w:rFonts w:eastAsia="Times New Roman" w:cs="Arial"/>
                <w:i/>
                <w:color w:val="000000"/>
                <w:sz w:val="18"/>
                <w:szCs w:val="18"/>
              </w:rPr>
            </w:pPr>
            <w:r w:rsidRPr="00AE2A0D">
              <w:rPr>
                <w:rFonts w:cs="Arial"/>
                <w:i/>
                <w:color w:val="000000"/>
                <w:sz w:val="18"/>
                <w:szCs w:val="18"/>
              </w:rPr>
              <w:t>Coendou spinosus*</w:t>
            </w:r>
          </w:p>
        </w:tc>
        <w:tc>
          <w:tcPr>
            <w:tcW w:w="107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Ouriço-cacheiro</w:t>
            </w:r>
          </w:p>
        </w:tc>
        <w:tc>
          <w:tcPr>
            <w:tcW w:w="517" w:type="pct"/>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Et</w:t>
            </w: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r w:rsidRPr="00AE2A0D">
              <w:rPr>
                <w:rFonts w:eastAsia="Times New Roman" w:cs="Arial"/>
                <w:color w:val="000000"/>
                <w:sz w:val="18"/>
                <w:szCs w:val="18"/>
              </w:rPr>
              <w:t>M-3, M-5</w:t>
            </w:r>
          </w:p>
        </w:tc>
        <w:tc>
          <w:tcPr>
            <w:tcW w:w="288" w:type="pct"/>
            <w:vAlign w:val="center"/>
          </w:tcPr>
          <w:p w:rsidR="00B53F21" w:rsidRPr="00AE2A0D" w:rsidRDefault="00B53F21" w:rsidP="003F2023">
            <w:pPr>
              <w:spacing w:after="0"/>
              <w:jc w:val="center"/>
              <w:rPr>
                <w:rFonts w:cs="Arial"/>
                <w:color w:val="000000"/>
                <w:sz w:val="18"/>
                <w:szCs w:val="18"/>
              </w:rPr>
            </w:pPr>
          </w:p>
        </w:tc>
        <w:tc>
          <w:tcPr>
            <w:tcW w:w="293"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DD</w:t>
            </w: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142"/>
              <w:rPr>
                <w:rFonts w:eastAsia="Times New Roman" w:cs="Arial"/>
                <w:b/>
                <w:bCs/>
                <w:color w:val="000000"/>
                <w:sz w:val="18"/>
                <w:szCs w:val="18"/>
              </w:rPr>
            </w:pPr>
            <w:r w:rsidRPr="00AE2A0D">
              <w:rPr>
                <w:rFonts w:cs="Arial"/>
                <w:b/>
                <w:bCs/>
                <w:color w:val="000000"/>
                <w:sz w:val="18"/>
                <w:szCs w:val="18"/>
              </w:rPr>
              <w:t>Sciuridae</w:t>
            </w:r>
          </w:p>
        </w:tc>
        <w:tc>
          <w:tcPr>
            <w:tcW w:w="1071" w:type="pct"/>
            <w:noWrap/>
            <w:vAlign w:val="center"/>
            <w:hideMark/>
          </w:tcPr>
          <w:p w:rsidR="00B53F21" w:rsidRPr="00AE2A0D" w:rsidRDefault="00B53F21" w:rsidP="003F2023">
            <w:pPr>
              <w:spacing w:after="0"/>
              <w:rPr>
                <w:rFonts w:eastAsia="Cambria" w:cs="Arial"/>
                <w:sz w:val="18"/>
                <w:szCs w:val="18"/>
              </w:rPr>
            </w:pPr>
          </w:p>
        </w:tc>
        <w:tc>
          <w:tcPr>
            <w:tcW w:w="517" w:type="pct"/>
            <w:vAlign w:val="center"/>
          </w:tcPr>
          <w:p w:rsidR="00B53F21" w:rsidRPr="00AE2A0D" w:rsidRDefault="00B53F21" w:rsidP="003F2023">
            <w:pPr>
              <w:spacing w:after="0"/>
              <w:jc w:val="center"/>
              <w:rPr>
                <w:rFonts w:eastAsia="Times New Roman" w:cs="Arial"/>
                <w:color w:val="000000"/>
                <w:sz w:val="18"/>
                <w:szCs w:val="18"/>
              </w:rPr>
            </w:pPr>
          </w:p>
        </w:tc>
        <w:tc>
          <w:tcPr>
            <w:tcW w:w="831" w:type="pct"/>
            <w:noWrap/>
            <w:vAlign w:val="center"/>
          </w:tcPr>
          <w:p w:rsidR="00B53F21" w:rsidRPr="00AE2A0D" w:rsidRDefault="00B53F21" w:rsidP="003F2023">
            <w:pPr>
              <w:spacing w:after="0"/>
              <w:jc w:val="center"/>
              <w:rPr>
                <w:rFonts w:eastAsia="Times New Roman" w:cs="Arial"/>
                <w:color w:val="000000"/>
                <w:sz w:val="18"/>
                <w:szCs w:val="18"/>
              </w:rPr>
            </w:pPr>
          </w:p>
        </w:tc>
        <w:tc>
          <w:tcPr>
            <w:tcW w:w="288" w:type="pct"/>
            <w:vAlign w:val="center"/>
          </w:tcPr>
          <w:p w:rsidR="00B53F21" w:rsidRPr="00AE2A0D" w:rsidRDefault="00B53F21" w:rsidP="003F2023">
            <w:pPr>
              <w:spacing w:after="0"/>
              <w:jc w:val="center"/>
              <w:rPr>
                <w:rFonts w:eastAsia="Times New Roman" w:cs="Arial"/>
                <w:color w:val="000000"/>
                <w:sz w:val="18"/>
                <w:szCs w:val="18"/>
              </w:rPr>
            </w:pP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r w:rsidR="00B53F21" w:rsidRPr="00AE2A0D" w:rsidTr="003F2023">
        <w:trPr>
          <w:cantSplit/>
          <w:trHeight w:val="300"/>
        </w:trPr>
        <w:tc>
          <w:tcPr>
            <w:tcW w:w="1374" w:type="pct"/>
            <w:noWrap/>
            <w:vAlign w:val="center"/>
            <w:hideMark/>
          </w:tcPr>
          <w:p w:rsidR="00B53F21" w:rsidRPr="00AE2A0D" w:rsidRDefault="00B53F21" w:rsidP="003F2023">
            <w:pPr>
              <w:spacing w:after="0"/>
              <w:ind w:firstLine="426"/>
              <w:rPr>
                <w:rFonts w:eastAsia="Times New Roman" w:cs="Arial"/>
                <w:i/>
                <w:color w:val="000000"/>
                <w:sz w:val="18"/>
                <w:szCs w:val="18"/>
              </w:rPr>
            </w:pPr>
            <w:r w:rsidRPr="00AE2A0D">
              <w:rPr>
                <w:rFonts w:cs="Arial"/>
                <w:i/>
                <w:color w:val="000000"/>
                <w:sz w:val="18"/>
                <w:szCs w:val="18"/>
              </w:rPr>
              <w:t>Guerlinguetus ingrami</w:t>
            </w:r>
          </w:p>
        </w:tc>
        <w:tc>
          <w:tcPr>
            <w:tcW w:w="107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esquilo</w:t>
            </w:r>
          </w:p>
        </w:tc>
        <w:tc>
          <w:tcPr>
            <w:tcW w:w="517" w:type="pct"/>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Af, BA, Et</w:t>
            </w:r>
          </w:p>
        </w:tc>
        <w:tc>
          <w:tcPr>
            <w:tcW w:w="831" w:type="pct"/>
            <w:noWrap/>
            <w:vAlign w:val="center"/>
            <w:hideMark/>
          </w:tcPr>
          <w:p w:rsidR="00B53F21" w:rsidRPr="00AE2A0D" w:rsidRDefault="00B53F21" w:rsidP="003F2023">
            <w:pPr>
              <w:spacing w:after="0"/>
              <w:jc w:val="center"/>
              <w:rPr>
                <w:rFonts w:eastAsia="Times New Roman" w:cs="Arial"/>
                <w:color w:val="000000"/>
                <w:sz w:val="18"/>
                <w:szCs w:val="18"/>
              </w:rPr>
            </w:pPr>
            <w:r w:rsidRPr="00AE2A0D">
              <w:rPr>
                <w:rFonts w:cs="Arial"/>
                <w:color w:val="000000"/>
                <w:sz w:val="18"/>
                <w:szCs w:val="18"/>
              </w:rPr>
              <w:t>M-1, M-5</w:t>
            </w:r>
          </w:p>
        </w:tc>
        <w:tc>
          <w:tcPr>
            <w:tcW w:w="288" w:type="pct"/>
            <w:vAlign w:val="center"/>
          </w:tcPr>
          <w:p w:rsidR="00B53F21" w:rsidRPr="00AE2A0D" w:rsidRDefault="00B53F21" w:rsidP="003F2023">
            <w:pPr>
              <w:spacing w:after="0"/>
              <w:jc w:val="center"/>
              <w:rPr>
                <w:rFonts w:eastAsia="Times New Roman" w:cs="Arial"/>
                <w:color w:val="000000"/>
                <w:sz w:val="18"/>
                <w:szCs w:val="18"/>
              </w:rPr>
            </w:pPr>
            <w:r w:rsidRPr="00AE2A0D">
              <w:rPr>
                <w:rFonts w:eastAsia="Times New Roman" w:cs="Arial"/>
                <w:color w:val="000000"/>
                <w:sz w:val="18"/>
                <w:szCs w:val="18"/>
              </w:rPr>
              <w:t>BRA</w:t>
            </w:r>
          </w:p>
        </w:tc>
        <w:tc>
          <w:tcPr>
            <w:tcW w:w="293" w:type="pct"/>
            <w:noWrap/>
            <w:vAlign w:val="center"/>
          </w:tcPr>
          <w:p w:rsidR="00B53F21" w:rsidRPr="00AE2A0D" w:rsidRDefault="00B53F21" w:rsidP="003F2023">
            <w:pPr>
              <w:spacing w:after="0"/>
              <w:jc w:val="center"/>
              <w:rPr>
                <w:rFonts w:eastAsia="Times New Roman" w:cs="Arial"/>
                <w:color w:val="000000"/>
                <w:sz w:val="18"/>
                <w:szCs w:val="18"/>
              </w:rPr>
            </w:pPr>
          </w:p>
        </w:tc>
        <w:tc>
          <w:tcPr>
            <w:tcW w:w="312" w:type="pct"/>
            <w:noWrap/>
            <w:vAlign w:val="center"/>
            <w:hideMark/>
          </w:tcPr>
          <w:p w:rsidR="00B53F21" w:rsidRPr="00AE2A0D" w:rsidRDefault="00B53F21" w:rsidP="003F2023">
            <w:pPr>
              <w:spacing w:after="0"/>
              <w:rPr>
                <w:rFonts w:eastAsia="Cambria" w:cs="Arial"/>
                <w:sz w:val="18"/>
                <w:szCs w:val="18"/>
              </w:rPr>
            </w:pPr>
          </w:p>
        </w:tc>
        <w:tc>
          <w:tcPr>
            <w:tcW w:w="315" w:type="pct"/>
            <w:noWrap/>
            <w:vAlign w:val="center"/>
            <w:hideMark/>
          </w:tcPr>
          <w:p w:rsidR="00B53F21" w:rsidRPr="00AE2A0D" w:rsidRDefault="00B53F21" w:rsidP="003F2023">
            <w:pPr>
              <w:spacing w:after="0"/>
              <w:rPr>
                <w:rFonts w:eastAsia="Cambria" w:cs="Arial"/>
                <w:sz w:val="18"/>
                <w:szCs w:val="18"/>
              </w:rPr>
            </w:pPr>
          </w:p>
        </w:tc>
      </w:tr>
    </w:tbl>
    <w:p w:rsidR="00B53F21" w:rsidRPr="00AE2A0D" w:rsidRDefault="00B53F21" w:rsidP="00B53F21">
      <w:pPr>
        <w:pStyle w:val="Legenda"/>
        <w:rPr>
          <w:sz w:val="16"/>
          <w:szCs w:val="16"/>
        </w:rPr>
      </w:pPr>
      <w:r w:rsidRPr="00AE2A0D">
        <w:rPr>
          <w:sz w:val="16"/>
          <w:szCs w:val="16"/>
        </w:rPr>
        <w:t>As espécies foram categorizadas de acordo com o grau de ameaça de extinção para o estado de São Paulo (SMA, 2014), para o Brasil (MMA, 2008) e para o Mundo (IUCN, 2014) – AM = ameaçado, CR = criticamente ameaçado, EN = em perigo, VU = vulnerável, NT = quase ameaçado e DD = deficiente de dados. Onde: AF = armadilha fotográfica; Av = avistamentos; Et = entrevista; Fz = fezes; Od = odor; Pg = pegadas; Tc = toca; Vt = vestígios.</w:t>
      </w:r>
    </w:p>
    <w:p w:rsidR="00B53F21" w:rsidRPr="00CF17BD" w:rsidRDefault="00CF17BD" w:rsidP="00B53F21">
      <w:pPr>
        <w:rPr>
          <w:sz w:val="18"/>
          <w:szCs w:val="18"/>
        </w:rPr>
      </w:pPr>
      <w:r>
        <w:rPr>
          <w:sz w:val="18"/>
          <w:szCs w:val="18"/>
        </w:rPr>
        <w:t xml:space="preserve">Nota - </w:t>
      </w:r>
      <w:r w:rsidRPr="00CF17BD">
        <w:rPr>
          <w:sz w:val="18"/>
          <w:szCs w:val="18"/>
        </w:rPr>
        <w:t>A nomenclatura segue Paglia, et al. (2012) e Reis et al. (2011).</w:t>
      </w:r>
    </w:p>
    <w:p w:rsidR="00B53F21" w:rsidRPr="00AE2A0D" w:rsidRDefault="00B53F21" w:rsidP="00B53F21">
      <w:r w:rsidRPr="00AE2A0D">
        <w:t>No total, foram efetuados 49 registros somando-se busca ativa e armadilhas fotográficas, sendo o maior número de registros realizado por meio das câmeras fotográficas (35, 71%), seguido por 14 registros (ou 28,6% dos 49 registros) obtidos pela busca ativa. Entretanto, embora a diferença de número de registros tenha sido muito grande entre os métodos, ambos apresentaram uma riqueza de seis espécies de mamíferos silvestres. Dos registros efetuados pelas câmeras 18 foram de gambá (</w:t>
      </w:r>
      <w:r w:rsidRPr="00AE2A0D">
        <w:rPr>
          <w:i/>
        </w:rPr>
        <w:t>Didelphis aurita</w:t>
      </w:r>
      <w:r w:rsidRPr="00AE2A0D">
        <w:t>), cinco de cachorro-do-mato (</w:t>
      </w:r>
      <w:r w:rsidRPr="00AE2A0D">
        <w:rPr>
          <w:i/>
        </w:rPr>
        <w:t>Cerdocyon thous</w:t>
      </w:r>
      <w:r w:rsidRPr="00AE2A0D">
        <w:t>), quatro registros de irara (</w:t>
      </w:r>
      <w:r w:rsidRPr="00AE2A0D">
        <w:rPr>
          <w:i/>
        </w:rPr>
        <w:t>Eira barbara</w:t>
      </w:r>
      <w:r w:rsidRPr="00AE2A0D">
        <w:t>) e gato-do-mato</w:t>
      </w:r>
      <w:r>
        <w:t>-</w:t>
      </w:r>
      <w:r w:rsidRPr="00AE2A0D">
        <w:t>pequeno (</w:t>
      </w:r>
      <w:r w:rsidRPr="00AE2A0D">
        <w:rPr>
          <w:i/>
        </w:rPr>
        <w:t>Leopardus tigrinus</w:t>
      </w:r>
      <w:r w:rsidRPr="00AE2A0D">
        <w:t>), dois registros de cuíca (</w:t>
      </w:r>
      <w:r w:rsidRPr="00AE2A0D">
        <w:rPr>
          <w:i/>
        </w:rPr>
        <w:t>Micoureus paraguayanus</w:t>
      </w:r>
      <w:r w:rsidRPr="00AE2A0D">
        <w:t>) e um de esquilo (</w:t>
      </w:r>
      <w:r w:rsidRPr="00AE2A0D">
        <w:rPr>
          <w:i/>
        </w:rPr>
        <w:t>Guerlinguetus ingrami</w:t>
      </w:r>
      <w:r w:rsidRPr="00AE2A0D">
        <w:t>). Dos registros efetuados por meio da busca ativa a espécie de primata sauá (</w:t>
      </w:r>
      <w:r w:rsidRPr="00AE2A0D">
        <w:rPr>
          <w:i/>
        </w:rPr>
        <w:t>Callicebus nigrifons</w:t>
      </w:r>
      <w:r w:rsidRPr="00AE2A0D">
        <w:t>) foi a mais observada (28,6%), tendo as demais espécies sido registradas de uma a três vezes.</w:t>
      </w:r>
    </w:p>
    <w:p w:rsidR="00B53F21" w:rsidRPr="00AE2A0D" w:rsidRDefault="00B53F21" w:rsidP="00B53F21">
      <w:pPr>
        <w:rPr>
          <w:iCs/>
        </w:rPr>
      </w:pPr>
      <w:r w:rsidRPr="00AE2A0D">
        <w:t>A</w:t>
      </w:r>
      <w:r w:rsidRPr="00AE2A0D">
        <w:rPr>
          <w:rFonts w:eastAsia="Arial"/>
        </w:rPr>
        <w:t xml:space="preserve"> </w:t>
      </w:r>
      <w:r w:rsidR="00CF17BD" w:rsidRPr="00CF17BD">
        <w:rPr>
          <w:b/>
        </w:rPr>
        <w:t>Figura 6.4.</w:t>
      </w:r>
      <w:r w:rsidR="00B85938">
        <w:rPr>
          <w:b/>
        </w:rPr>
        <w:t>4-16</w:t>
      </w:r>
      <w:r w:rsidR="00CF17BD">
        <w:t xml:space="preserve"> </w:t>
      </w:r>
      <w:r w:rsidRPr="00AE2A0D">
        <w:t>ilustra</w:t>
      </w:r>
      <w:r w:rsidRPr="00AE2A0D">
        <w:rPr>
          <w:rFonts w:eastAsia="Arial"/>
        </w:rPr>
        <w:t xml:space="preserve"> </w:t>
      </w:r>
      <w:r w:rsidRPr="00AE2A0D">
        <w:t>a</w:t>
      </w:r>
      <w:r w:rsidRPr="00AE2A0D">
        <w:rPr>
          <w:rFonts w:eastAsia="Arial"/>
        </w:rPr>
        <w:t xml:space="preserve"> </w:t>
      </w:r>
      <w:r w:rsidRPr="00AE2A0D">
        <w:t>curva</w:t>
      </w:r>
      <w:r w:rsidRPr="00AE2A0D">
        <w:rPr>
          <w:rFonts w:eastAsia="Arial"/>
        </w:rPr>
        <w:t xml:space="preserve"> </w:t>
      </w:r>
      <w:r w:rsidRPr="00AE2A0D">
        <w:t>de</w:t>
      </w:r>
      <w:r w:rsidRPr="00AE2A0D">
        <w:rPr>
          <w:rFonts w:eastAsia="Arial"/>
        </w:rPr>
        <w:t xml:space="preserve"> </w:t>
      </w:r>
      <w:r w:rsidRPr="00AE2A0D">
        <w:t>acumulação de espécies</w:t>
      </w:r>
      <w:r w:rsidRPr="00AE2A0D">
        <w:rPr>
          <w:rFonts w:eastAsia="Arial"/>
        </w:rPr>
        <w:t xml:space="preserve"> </w:t>
      </w:r>
      <w:r w:rsidRPr="00AE2A0D">
        <w:t>para</w:t>
      </w:r>
      <w:r w:rsidRPr="00AE2A0D">
        <w:rPr>
          <w:rFonts w:eastAsia="Arial"/>
        </w:rPr>
        <w:t xml:space="preserve"> </w:t>
      </w:r>
      <w:r w:rsidRPr="00AE2A0D">
        <w:t>os</w:t>
      </w:r>
      <w:r w:rsidRPr="00AE2A0D">
        <w:rPr>
          <w:rFonts w:eastAsia="Arial"/>
        </w:rPr>
        <w:t xml:space="preserve"> </w:t>
      </w:r>
      <w:r w:rsidRPr="00AE2A0D">
        <w:t>médios</w:t>
      </w:r>
      <w:r w:rsidRPr="00AE2A0D">
        <w:rPr>
          <w:rFonts w:eastAsia="Arial"/>
        </w:rPr>
        <w:t xml:space="preserve"> </w:t>
      </w:r>
      <w:r w:rsidRPr="00AE2A0D">
        <w:t>e</w:t>
      </w:r>
      <w:r w:rsidRPr="00AE2A0D">
        <w:rPr>
          <w:rFonts w:eastAsia="Arial"/>
        </w:rPr>
        <w:t xml:space="preserve"> </w:t>
      </w:r>
      <w:r w:rsidRPr="00AE2A0D">
        <w:t>grandes</w:t>
      </w:r>
      <w:r w:rsidRPr="00AE2A0D">
        <w:rPr>
          <w:rFonts w:eastAsia="Arial"/>
        </w:rPr>
        <w:t xml:space="preserve"> </w:t>
      </w:r>
      <w:r w:rsidRPr="00AE2A0D">
        <w:t>mamíferos amostrados diretamente,</w:t>
      </w:r>
      <w:r w:rsidRPr="00AE2A0D">
        <w:rPr>
          <w:rFonts w:eastAsia="Arial"/>
        </w:rPr>
        <w:t xml:space="preserve"> considerando a presença e ausência de espécies </w:t>
      </w:r>
      <w:r w:rsidRPr="00AE2A0D">
        <w:rPr>
          <w:rFonts w:eastAsia="Arial"/>
        </w:rPr>
        <w:lastRenderedPageBreak/>
        <w:t>considerando os seis dias de amostragem para o</w:t>
      </w:r>
      <w:r w:rsidRPr="00AE2A0D">
        <w:t xml:space="preserve"> levantamento</w:t>
      </w:r>
      <w:r w:rsidRPr="00AE2A0D">
        <w:rPr>
          <w:rFonts w:eastAsia="Arial"/>
        </w:rPr>
        <w:t xml:space="preserve"> </w:t>
      </w:r>
      <w:r w:rsidRPr="00AE2A0D">
        <w:t>da mastofauna.</w:t>
      </w:r>
      <w:r w:rsidRPr="00AE2A0D">
        <w:rPr>
          <w:rFonts w:eastAsia="Arial"/>
        </w:rPr>
        <w:t xml:space="preserve"> A curva ainda não se encontra estabilizad</w:t>
      </w:r>
      <w:r>
        <w:rPr>
          <w:rFonts w:eastAsia="Arial"/>
        </w:rPr>
        <w:t>a</w:t>
      </w:r>
      <w:r w:rsidRPr="00AE2A0D">
        <w:rPr>
          <w:rFonts w:eastAsia="Arial"/>
        </w:rPr>
        <w:t xml:space="preserve">, indicando que mais espécies poderiam ser acrescentadas </w:t>
      </w:r>
      <w:r>
        <w:rPr>
          <w:rFonts w:eastAsia="Arial"/>
        </w:rPr>
        <w:t>à</w:t>
      </w:r>
      <w:r w:rsidRPr="00AE2A0D">
        <w:rPr>
          <w:rFonts w:eastAsia="Arial"/>
        </w:rPr>
        <w:t>s áreas amostradas.</w:t>
      </w:r>
      <w:r w:rsidRPr="00AE2A0D">
        <w:rPr>
          <w:iCs/>
        </w:rPr>
        <w:t xml:space="preserve"> </w:t>
      </w:r>
    </w:p>
    <w:tbl>
      <w:tblPr>
        <w:tblW w:w="5000" w:type="pct"/>
        <w:tblCellMar>
          <w:left w:w="70" w:type="dxa"/>
          <w:right w:w="70" w:type="dxa"/>
        </w:tblCellMar>
        <w:tblLook w:val="04A0" w:firstRow="1" w:lastRow="0" w:firstColumn="1" w:lastColumn="0" w:noHBand="0" w:noVBand="1"/>
      </w:tblPr>
      <w:tblGrid>
        <w:gridCol w:w="9354"/>
      </w:tblGrid>
      <w:tr w:rsidR="00CF17BD" w:rsidRPr="00CF17BD" w:rsidTr="00CF17BD">
        <w:tc>
          <w:tcPr>
            <w:tcW w:w="9494" w:type="dxa"/>
            <w:vAlign w:val="center"/>
            <w:hideMark/>
          </w:tcPr>
          <w:p w:rsidR="00CF17BD" w:rsidRPr="00CF17BD" w:rsidRDefault="00CF17BD" w:rsidP="00B85938">
            <w:pPr>
              <w:tabs>
                <w:tab w:val="left" w:pos="9000"/>
              </w:tabs>
              <w:spacing w:before="120"/>
              <w:jc w:val="center"/>
              <w:rPr>
                <w:rFonts w:ascii="Arial Negrito" w:eastAsia="Arial Unicode MS" w:hAnsi="Arial Negrito" w:cs="Times New Roman"/>
                <w:bCs/>
                <w:smallCaps/>
                <w:snapToGrid w:val="0"/>
                <w:sz w:val="20"/>
                <w:szCs w:val="24"/>
              </w:rPr>
            </w:pPr>
            <w:bookmarkStart w:id="137" w:name="_Ref401563029"/>
            <w:r w:rsidRPr="00CF17BD">
              <w:rPr>
                <w:rFonts w:ascii="Arial Negrito" w:eastAsia="Arial Unicode MS" w:hAnsi="Arial Negrito" w:cs="Times New Roman"/>
                <w:bCs/>
                <w:smallCaps/>
                <w:snapToGrid w:val="0"/>
                <w:sz w:val="20"/>
                <w:szCs w:val="24"/>
              </w:rPr>
              <w:t xml:space="preserve">Figura </w:t>
            </w:r>
            <w:bookmarkEnd w:id="137"/>
            <w:r>
              <w:rPr>
                <w:rFonts w:ascii="Arial Negrito" w:eastAsia="Arial Unicode MS" w:hAnsi="Arial Negrito" w:cs="Times New Roman"/>
                <w:bCs/>
                <w:smallCaps/>
                <w:snapToGrid w:val="0"/>
                <w:sz w:val="20"/>
                <w:szCs w:val="24"/>
              </w:rPr>
              <w:t>6.4.</w:t>
            </w:r>
            <w:r w:rsidR="00B85938">
              <w:rPr>
                <w:rFonts w:ascii="Arial Negrito" w:eastAsia="Arial Unicode MS" w:hAnsi="Arial Negrito" w:cs="Times New Roman"/>
                <w:bCs/>
                <w:smallCaps/>
                <w:snapToGrid w:val="0"/>
                <w:sz w:val="20"/>
                <w:szCs w:val="24"/>
              </w:rPr>
              <w:t>4-16.</w:t>
            </w:r>
            <w:r>
              <w:rPr>
                <w:rFonts w:ascii="Arial Negrito" w:eastAsia="Arial Unicode MS" w:hAnsi="Arial Negrito" w:cs="Times New Roman"/>
                <w:bCs/>
                <w:smallCaps/>
                <w:snapToGrid w:val="0"/>
                <w:sz w:val="20"/>
                <w:szCs w:val="24"/>
              </w:rPr>
              <w:t xml:space="preserve"> </w:t>
            </w:r>
            <w:r w:rsidRPr="00CF17BD">
              <w:rPr>
                <w:rFonts w:ascii="Arial Negrito" w:eastAsia="Arial Unicode MS" w:hAnsi="Arial Negrito" w:cs="Times New Roman"/>
                <w:bCs/>
                <w:smallCaps/>
                <w:snapToGrid w:val="0"/>
                <w:sz w:val="20"/>
                <w:szCs w:val="24"/>
              </w:rPr>
              <w:t xml:space="preserve">Curva de acúmulo de espécies de médios e grandes mamíferos silvestres registrados e o intervalo de confiança máximo e mínimo para o Levantamento da Mastofauna </w:t>
            </w:r>
          </w:p>
        </w:tc>
      </w:tr>
      <w:tr w:rsidR="00B53F21" w:rsidRPr="00AE2A0D" w:rsidTr="00CF17BD">
        <w:tc>
          <w:tcPr>
            <w:tcW w:w="9494" w:type="dxa"/>
            <w:vAlign w:val="center"/>
            <w:hideMark/>
          </w:tcPr>
          <w:p w:rsidR="00B53F21" w:rsidRPr="00AE2A0D" w:rsidRDefault="00B53F21" w:rsidP="003F202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564"/>
              </w:tabs>
              <w:suppressAutoHyphens/>
              <w:spacing w:line="360" w:lineRule="auto"/>
              <w:jc w:val="center"/>
              <w:rPr>
                <w:rFonts w:cs="Arial"/>
                <w:b/>
                <w:lang w:eastAsia="zh-CN"/>
              </w:rPr>
            </w:pPr>
            <w:r w:rsidRPr="00AE2A0D">
              <w:rPr>
                <w:noProof/>
                <w:lang w:eastAsia="pt-BR"/>
              </w:rPr>
              <w:drawing>
                <wp:inline distT="0" distB="0" distL="0" distR="0" wp14:anchorId="2170A4BF" wp14:editId="796CFB2A">
                  <wp:extent cx="4419600" cy="2743200"/>
                  <wp:effectExtent l="0" t="0" r="0" b="0"/>
                  <wp:docPr id="182" name="Gráfico 1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r>
    </w:tbl>
    <w:p w:rsidR="00B53F21" w:rsidRPr="00AE2A0D" w:rsidRDefault="00B53F21" w:rsidP="00B53F21">
      <w:r w:rsidRPr="00AE2A0D">
        <w:t xml:space="preserve">Das 11 espécies amostradas diretamente, três encontram-se em pelo menos uma das categorias de ameaça de acordo com a lista de espécies ameaçadas do estado de São Paulo (2014), do MMA (2010) e/ou da IUCN (2014), são elas </w:t>
      </w:r>
      <w:r w:rsidRPr="00AE2A0D">
        <w:rPr>
          <w:color w:val="000000"/>
        </w:rPr>
        <w:t>sagui-da-serra-escuro (</w:t>
      </w:r>
      <w:r w:rsidRPr="00AE2A0D">
        <w:rPr>
          <w:i/>
          <w:color w:val="000000"/>
        </w:rPr>
        <w:t>Callithrix aurita), o guigó (Callicebus nigrifons</w:t>
      </w:r>
      <w:r w:rsidRPr="00846A4B">
        <w:rPr>
          <w:color w:val="000000"/>
        </w:rPr>
        <w:t>)</w:t>
      </w:r>
      <w:r w:rsidRPr="00AE2A0D">
        <w:rPr>
          <w:i/>
          <w:color w:val="000000"/>
        </w:rPr>
        <w:t xml:space="preserve"> </w:t>
      </w:r>
      <w:r w:rsidRPr="00846A4B">
        <w:rPr>
          <w:color w:val="000000"/>
        </w:rPr>
        <w:t>e o</w:t>
      </w:r>
      <w:r w:rsidRPr="00AE2A0D">
        <w:rPr>
          <w:i/>
          <w:color w:val="000000"/>
        </w:rPr>
        <w:t xml:space="preserve"> </w:t>
      </w:r>
      <w:r w:rsidRPr="00AE2A0D">
        <w:rPr>
          <w:color w:val="000000"/>
        </w:rPr>
        <w:t>gato-do-mato-pequeno (</w:t>
      </w:r>
      <w:r w:rsidRPr="00AE2A0D">
        <w:rPr>
          <w:i/>
          <w:color w:val="000000"/>
        </w:rPr>
        <w:t>Leopardus tigrinus)</w:t>
      </w:r>
      <w:r w:rsidRPr="00AE2A0D">
        <w:t xml:space="preserve"> (</w:t>
      </w:r>
      <w:r w:rsidR="00696CDC" w:rsidRPr="00696CDC">
        <w:rPr>
          <w:b/>
        </w:rPr>
        <w:t>Tabela 6.4.</w:t>
      </w:r>
      <w:r w:rsidR="002F5F14">
        <w:rPr>
          <w:b/>
        </w:rPr>
        <w:t>4-13</w:t>
      </w:r>
      <w:r w:rsidRPr="00AE2A0D">
        <w:t>)</w:t>
      </w:r>
      <w:r w:rsidRPr="00AE2A0D">
        <w:rPr>
          <w:i/>
          <w:color w:val="000000"/>
        </w:rPr>
        <w:t xml:space="preserve">. </w:t>
      </w:r>
      <w:r w:rsidRPr="00AE2A0D">
        <w:t>Adicionalmente, vale destacar que três espécies levantadas são endêmicas do Brasil, dois Primatas e um Roedor (</w:t>
      </w:r>
      <w:r w:rsidR="00696CDC" w:rsidRPr="00696CDC">
        <w:rPr>
          <w:b/>
        </w:rPr>
        <w:t>Tabela 6.4.</w:t>
      </w:r>
      <w:r w:rsidR="002F5F14">
        <w:rPr>
          <w:b/>
        </w:rPr>
        <w:t>4-13</w:t>
      </w:r>
      <w:r w:rsidRPr="00AE2A0D">
        <w:t>).</w:t>
      </w:r>
    </w:p>
    <w:p w:rsidR="00B53F21" w:rsidRPr="00AE2A0D" w:rsidRDefault="00B53F21" w:rsidP="00B53F21">
      <w:pPr>
        <w:rPr>
          <w:rFonts w:eastAsia="Calibri"/>
          <w:szCs w:val="24"/>
        </w:rPr>
      </w:pPr>
      <w:r w:rsidRPr="00AE2A0D">
        <w:rPr>
          <w:rFonts w:eastAsia="Calibri"/>
          <w:szCs w:val="24"/>
        </w:rPr>
        <w:t>Entre as espécies registradas apenas por entrevistas no presente estudo, as de maior destaque são as pertencentes à ordem Carnivora, como a onça-parda (</w:t>
      </w:r>
      <w:r w:rsidRPr="00AE2A0D">
        <w:rPr>
          <w:rFonts w:eastAsia="Calibri"/>
          <w:i/>
          <w:szCs w:val="24"/>
        </w:rPr>
        <w:t>Puma concolor</w:t>
      </w:r>
      <w:r w:rsidRPr="00AE2A0D">
        <w:rPr>
          <w:rFonts w:eastAsia="Calibri"/>
          <w:szCs w:val="24"/>
        </w:rPr>
        <w:t>), o canídeo lobo-guará (</w:t>
      </w:r>
      <w:r w:rsidRPr="00AE2A0D">
        <w:rPr>
          <w:rFonts w:eastAsia="Calibri"/>
          <w:i/>
          <w:szCs w:val="24"/>
        </w:rPr>
        <w:t>Chrysocyon brachyurus</w:t>
      </w:r>
      <w:r w:rsidRPr="00AE2A0D">
        <w:rPr>
          <w:rFonts w:eastAsia="Calibri"/>
          <w:szCs w:val="24"/>
        </w:rPr>
        <w:t>) e a lontra (</w:t>
      </w:r>
      <w:r w:rsidRPr="00AE2A0D">
        <w:rPr>
          <w:rFonts w:eastAsia="Calibri"/>
          <w:i/>
          <w:szCs w:val="24"/>
        </w:rPr>
        <w:t>Lontra longicaudis</w:t>
      </w:r>
      <w:r w:rsidRPr="00AE2A0D">
        <w:rPr>
          <w:rFonts w:eastAsia="Calibri"/>
          <w:szCs w:val="24"/>
        </w:rPr>
        <w:t>). Estas espécies são ameaçadas de extinção, tanto para o Estado de São Paulo como para o Brasil (SMA, 2014; MMA, 2008;</w:t>
      </w:r>
      <w:r w:rsidR="00696CDC" w:rsidRPr="00696CDC">
        <w:rPr>
          <w:b/>
        </w:rPr>
        <w:t xml:space="preserve"> Tabela 6.4.</w:t>
      </w:r>
      <w:r w:rsidR="002F5F14">
        <w:rPr>
          <w:b/>
        </w:rPr>
        <w:t>4-13</w:t>
      </w:r>
      <w:r w:rsidRPr="00AE2A0D">
        <w:rPr>
          <w:rFonts w:eastAsia="Calibri"/>
          <w:szCs w:val="24"/>
        </w:rPr>
        <w:t>). A presença destas espécies deve ser rara na área de estudo e provavelmente são indivíduos em migração/deslocamentos regionais ou animais residentes, mas encontrados em baixa abundância.</w:t>
      </w:r>
    </w:p>
    <w:p w:rsidR="00B53F21" w:rsidRPr="00AE2A0D" w:rsidRDefault="00B53F21" w:rsidP="00B53F21">
      <w:pPr>
        <w:rPr>
          <w:spacing w:val="-4"/>
        </w:rPr>
      </w:pPr>
      <w:r w:rsidRPr="00AE2A0D">
        <w:t xml:space="preserve">A lontra, apesar de ser quase ameaçada em nível nacional e deficiente em dados na lista da IUCN (2014), foi citada nas entrevistas de quase todas as áreas, e aparentemente é uma espécie relativamente comum nos riachos da região. A onça-parda, considerada espécie vulnerável na lista nacional (MMA, 2010) e ameaçada na lista estadual (SMA, 2014) só foi relatada para área 3, área mais degradada dentre as amostradas, com forte presença de eucaliptos e mata em estágio inicial de regeneração, devido estas características a onça deve utilizar esta área somente para passagem, não sendo, provavelmente, um indivíduo residente. A paca, apesar de constar como quase ameaçada na lista nacional (MMA, 2010), só persiste em poucas áreas, não sendo mais encontrada nos fragmentos pequenos e mais degradados, foi relatada para a área 5, local com árvores altas e um sub-bosque estruturado com presença de água limpa. </w:t>
      </w:r>
      <w:r w:rsidRPr="00AE2A0D">
        <w:rPr>
          <w:spacing w:val="-4"/>
        </w:rPr>
        <w:t xml:space="preserve">O lobo-guará também foi citado pelos entrevistados como ocorrente na área 1. Essa espécie é ameaçada pela lista estadual (SMA, 2014), vulnerável pela lista nacional (MMA, 2010) e quase ameaçada pela lista internacional (IUCN, 2014), embora em alguns estados brasileiros ela seja abundante, como em Minas Gerais. O relato de sua presença foi para área 1, área que assim como a 3, apresenta forte degradação e presença de eucalipto, a presença de espécies ameaçadas em locais com baixa oferta de alimento, dá-se pelo uso como passagem para outros fragmentos maiores e ainda, no caso do </w:t>
      </w:r>
      <w:r w:rsidRPr="00AE2A0D">
        <w:rPr>
          <w:spacing w:val="-4"/>
        </w:rPr>
        <w:lastRenderedPageBreak/>
        <w:t xml:space="preserve">lobo-guará, esta é uma espécie que prefere áreas abertas, habitando originalmente áreas de Cerrado (Paglia et. al., 2012). </w:t>
      </w:r>
    </w:p>
    <w:p w:rsidR="00B53F21" w:rsidRPr="00AE2A0D" w:rsidRDefault="00B53F21" w:rsidP="00B53F21">
      <w:pPr>
        <w:rPr>
          <w:spacing w:val="-4"/>
        </w:rPr>
      </w:pPr>
      <w:r w:rsidRPr="00AE2A0D">
        <w:rPr>
          <w:spacing w:val="-4"/>
        </w:rPr>
        <w:t xml:space="preserve">Fato relevante a ser mencionado é a não citação de primatas nas entrevistas, no entanto estas espécies foram avistadas e ouvidas frequentemente nas áreas de amostragem 4 e 5. A presença de primatas nestas áreas só reforça o bom estado destes fragmentos, que são áreas maiores, mais continuas, provavelmente apresentando grande disponibilidade de alimento. </w:t>
      </w:r>
    </w:p>
    <w:p w:rsidR="00696CDC" w:rsidRDefault="00B53F21" w:rsidP="00B53F21">
      <w:pPr>
        <w:rPr>
          <w:lang w:eastAsia="pt-BR"/>
        </w:rPr>
      </w:pPr>
      <w:r w:rsidRPr="00AE2A0D">
        <w:t>Para análise de uso de hábitat, dieta, e hábito, foram considerados os dados obtidos direta e indiretamente em campo. Em relação ao tipo de ambiente utilizado, houve a predominância de espécies que utilizam tanto ambientes abertos quanto fechados (44,44% das espécies registradas) (</w:t>
      </w:r>
      <w:r w:rsidR="00696CDC" w:rsidRPr="00696CDC">
        <w:rPr>
          <w:b/>
        </w:rPr>
        <w:t>Figura 6.4.</w:t>
      </w:r>
      <w:r w:rsidR="00B85938">
        <w:rPr>
          <w:b/>
        </w:rPr>
        <w:t>4-1</w:t>
      </w:r>
      <w:r w:rsidR="009B231F">
        <w:rPr>
          <w:b/>
        </w:rPr>
        <w:t>7</w:t>
      </w:r>
      <w:r w:rsidRPr="00AE2A0D">
        <w:t>). Adicionalmente, há uma parcela significativa de espécies que dependem de habitats florestais (33,33%). Esses dados demonstram que aproximadamente metade dessa comunidade registrada no presente estudo pode tolerar algum nível de alteração de seu habitat com remoção de vegetação ou perturbação da mesma, pois ocorre em ambientes florestais e abertos. Contudo, uma parcela significativa dessa comunidade é dependente de florestas e extremamente susceptível a perda e fragmentação de habitats florestais. Os primatas, a paca (</w:t>
      </w:r>
      <w:r w:rsidRPr="00AE2A0D">
        <w:rPr>
          <w:i/>
        </w:rPr>
        <w:t>Cuniculus paca)</w:t>
      </w:r>
      <w:r w:rsidRPr="00AE2A0D">
        <w:t xml:space="preserve"> e a lontra (</w:t>
      </w:r>
      <w:r w:rsidRPr="00AE2A0D">
        <w:rPr>
          <w:i/>
        </w:rPr>
        <w:t>Lontra longicaudis</w:t>
      </w:r>
      <w:r w:rsidRPr="00AE2A0D">
        <w:t xml:space="preserve">) são exemplos de espécies que dependem da manutenção de ambientes florestais para sua permanência na região. </w:t>
      </w:r>
      <w:r w:rsidR="00696CDC" w:rsidRPr="00AE2A0D">
        <w:rPr>
          <w:lang w:eastAsia="pt-BR"/>
        </w:rPr>
        <w:t xml:space="preserve">Observa-se que 66,67% das espécies registradas apresentam hábitos noturnos e crepusculares. </w:t>
      </w:r>
    </w:p>
    <w:p w:rsidR="00B53F21" w:rsidRPr="00AE2A0D" w:rsidRDefault="00696CDC" w:rsidP="00B53F21">
      <w:r w:rsidRPr="00AE2A0D">
        <w:rPr>
          <w:lang w:eastAsia="pt-BR"/>
        </w:rPr>
        <w:t>A outra parte dividiu-se entre as atividades diurnas (27,78%) ou ambos os períodos (5,56%) (</w:t>
      </w:r>
      <w:r w:rsidRPr="00696CDC">
        <w:rPr>
          <w:b/>
        </w:rPr>
        <w:t>Figura 6.4.</w:t>
      </w:r>
      <w:r w:rsidR="00B85938">
        <w:rPr>
          <w:b/>
        </w:rPr>
        <w:t>4-1</w:t>
      </w:r>
      <w:r w:rsidR="009B231F">
        <w:rPr>
          <w:b/>
        </w:rPr>
        <w:t>8</w:t>
      </w:r>
      <w:r w:rsidRPr="00AE2A0D">
        <w:rPr>
          <w:lang w:eastAsia="pt-BR"/>
        </w:rPr>
        <w:t>)</w:t>
      </w:r>
      <w:r>
        <w:rPr>
          <w:lang w:eastAsia="pt-BR"/>
        </w:rPr>
        <w:t>.</w:t>
      </w:r>
    </w:p>
    <w:tbl>
      <w:tblPr>
        <w:tblW w:w="9324" w:type="dxa"/>
        <w:tblInd w:w="-38" w:type="dxa"/>
        <w:tblCellMar>
          <w:left w:w="70" w:type="dxa"/>
          <w:right w:w="70" w:type="dxa"/>
        </w:tblCellMar>
        <w:tblLook w:val="01E0" w:firstRow="1" w:lastRow="1" w:firstColumn="1" w:lastColumn="1" w:noHBand="0" w:noVBand="0"/>
      </w:tblPr>
      <w:tblGrid>
        <w:gridCol w:w="9324"/>
      </w:tblGrid>
      <w:tr w:rsidR="00696CDC" w:rsidRPr="00696CDC" w:rsidTr="00B85938">
        <w:tc>
          <w:tcPr>
            <w:tcW w:w="9324" w:type="dxa"/>
            <w:shd w:val="clear" w:color="auto" w:fill="auto"/>
          </w:tcPr>
          <w:p w:rsidR="00696CDC" w:rsidRPr="00696CDC" w:rsidRDefault="00696CDC" w:rsidP="00B85938">
            <w:pPr>
              <w:keepNext/>
              <w:tabs>
                <w:tab w:val="left" w:pos="9000"/>
              </w:tabs>
              <w:spacing w:before="120"/>
              <w:jc w:val="center"/>
              <w:rPr>
                <w:rFonts w:ascii="Arial Negrito" w:eastAsia="Arial Unicode MS" w:hAnsi="Arial Negrito" w:cs="Times New Roman"/>
                <w:bCs/>
                <w:smallCaps/>
                <w:snapToGrid w:val="0"/>
                <w:sz w:val="20"/>
                <w:szCs w:val="24"/>
              </w:rPr>
            </w:pPr>
            <w:bookmarkStart w:id="138" w:name="_Ref401572372"/>
            <w:r w:rsidRPr="00696CDC">
              <w:rPr>
                <w:rFonts w:ascii="Arial Negrito" w:eastAsia="Arial Unicode MS" w:hAnsi="Arial Negrito" w:cs="Times New Roman"/>
                <w:bCs/>
                <w:smallCaps/>
                <w:snapToGrid w:val="0"/>
                <w:sz w:val="20"/>
                <w:szCs w:val="24"/>
              </w:rPr>
              <w:t>Figura</w:t>
            </w:r>
            <w:bookmarkEnd w:id="138"/>
            <w:r>
              <w:rPr>
                <w:rFonts w:ascii="Arial Negrito" w:eastAsia="Arial Unicode MS" w:hAnsi="Arial Negrito" w:cs="Times New Roman"/>
                <w:bCs/>
                <w:smallCaps/>
                <w:snapToGrid w:val="0"/>
                <w:sz w:val="20"/>
                <w:szCs w:val="24"/>
              </w:rPr>
              <w:t xml:space="preserve"> 6.4.</w:t>
            </w:r>
            <w:r w:rsidR="00B85938">
              <w:rPr>
                <w:rFonts w:ascii="Arial Negrito" w:eastAsia="Arial Unicode MS" w:hAnsi="Arial Negrito" w:cs="Times New Roman"/>
                <w:bCs/>
                <w:smallCaps/>
                <w:snapToGrid w:val="0"/>
                <w:sz w:val="20"/>
                <w:szCs w:val="24"/>
              </w:rPr>
              <w:t>4-17.</w:t>
            </w:r>
            <w:r w:rsidRPr="00696CDC">
              <w:rPr>
                <w:rFonts w:ascii="Arial Negrito" w:eastAsia="Arial Unicode MS" w:hAnsi="Arial Negrito" w:cs="Times New Roman"/>
                <w:bCs/>
                <w:smallCaps/>
                <w:snapToGrid w:val="0"/>
                <w:sz w:val="20"/>
                <w:szCs w:val="24"/>
              </w:rPr>
              <w:t xml:space="preserve"> Riqueza de mamíferos grandes e médios de acordo com o habitat preferencial registrado.</w:t>
            </w:r>
          </w:p>
        </w:tc>
      </w:tr>
      <w:tr w:rsidR="00B53F21" w:rsidRPr="00AE2A0D" w:rsidTr="00B85938">
        <w:tc>
          <w:tcPr>
            <w:tcW w:w="9324" w:type="dxa"/>
            <w:shd w:val="clear" w:color="auto" w:fill="auto"/>
          </w:tcPr>
          <w:p w:rsidR="00B53F21" w:rsidRPr="00AE2A0D" w:rsidRDefault="00B53F21" w:rsidP="003F2023">
            <w:pPr>
              <w:spacing w:before="120"/>
              <w:jc w:val="center"/>
              <w:rPr>
                <w:rFonts w:cs="Arial"/>
                <w:szCs w:val="20"/>
              </w:rPr>
            </w:pPr>
            <w:r w:rsidRPr="00AE2A0D">
              <w:rPr>
                <w:noProof/>
                <w:lang w:eastAsia="pt-BR"/>
              </w:rPr>
              <w:drawing>
                <wp:inline distT="0" distB="0" distL="0" distR="0" wp14:anchorId="64EC7AE8" wp14:editId="5F3411D6">
                  <wp:extent cx="4320000" cy="3240000"/>
                  <wp:effectExtent l="0" t="0" r="0" b="0"/>
                  <wp:docPr id="183" name="Gráfico 1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tc>
      </w:tr>
    </w:tbl>
    <w:p w:rsidR="00B85938" w:rsidRPr="00AE2A0D" w:rsidRDefault="00B85938" w:rsidP="00B85938">
      <w:pPr>
        <w:rPr>
          <w:noProof/>
          <w:lang w:eastAsia="pt-BR"/>
        </w:rPr>
      </w:pPr>
    </w:p>
    <w:tbl>
      <w:tblPr>
        <w:tblW w:w="9324" w:type="dxa"/>
        <w:tblInd w:w="-38" w:type="dxa"/>
        <w:tblCellMar>
          <w:left w:w="70" w:type="dxa"/>
          <w:right w:w="70" w:type="dxa"/>
        </w:tblCellMar>
        <w:tblLook w:val="01E0" w:firstRow="1" w:lastRow="1" w:firstColumn="1" w:lastColumn="1" w:noHBand="0" w:noVBand="0"/>
      </w:tblPr>
      <w:tblGrid>
        <w:gridCol w:w="38"/>
        <w:gridCol w:w="9248"/>
        <w:gridCol w:w="38"/>
      </w:tblGrid>
      <w:tr w:rsidR="00696CDC" w:rsidRPr="00696CDC" w:rsidTr="00696CDC">
        <w:trPr>
          <w:gridAfter w:val="1"/>
          <w:wAfter w:w="38" w:type="dxa"/>
        </w:trPr>
        <w:tc>
          <w:tcPr>
            <w:tcW w:w="9286" w:type="dxa"/>
            <w:gridSpan w:val="2"/>
            <w:shd w:val="clear" w:color="auto" w:fill="auto"/>
          </w:tcPr>
          <w:p w:rsidR="00696CDC" w:rsidRPr="00696CDC" w:rsidRDefault="00696CDC" w:rsidP="00B85938">
            <w:pPr>
              <w:keepNext/>
              <w:tabs>
                <w:tab w:val="left" w:pos="9000"/>
              </w:tabs>
              <w:spacing w:before="120"/>
              <w:jc w:val="center"/>
              <w:rPr>
                <w:rFonts w:ascii="Arial Negrito" w:eastAsia="Arial Unicode MS" w:hAnsi="Arial Negrito" w:cs="Times New Roman"/>
                <w:bCs/>
                <w:smallCaps/>
                <w:snapToGrid w:val="0"/>
                <w:sz w:val="20"/>
                <w:szCs w:val="24"/>
              </w:rPr>
            </w:pPr>
            <w:bookmarkStart w:id="139" w:name="_Ref401572930"/>
            <w:r w:rsidRPr="00696CDC">
              <w:rPr>
                <w:rFonts w:ascii="Arial Negrito" w:eastAsia="Arial Unicode MS" w:hAnsi="Arial Negrito" w:cs="Times New Roman"/>
                <w:bCs/>
                <w:smallCaps/>
                <w:snapToGrid w:val="0"/>
                <w:sz w:val="20"/>
                <w:szCs w:val="24"/>
              </w:rPr>
              <w:lastRenderedPageBreak/>
              <w:t>Figura</w:t>
            </w:r>
            <w:bookmarkEnd w:id="139"/>
            <w:r w:rsidRPr="00696CDC">
              <w:rPr>
                <w:rFonts w:ascii="Arial Negrito" w:eastAsia="Arial Unicode MS" w:hAnsi="Arial Negrito" w:cs="Times New Roman"/>
                <w:bCs/>
                <w:smallCaps/>
                <w:snapToGrid w:val="0"/>
                <w:sz w:val="20"/>
                <w:szCs w:val="24"/>
              </w:rPr>
              <w:t xml:space="preserve"> 6.4.</w:t>
            </w:r>
            <w:r w:rsidR="00B85938">
              <w:rPr>
                <w:rFonts w:ascii="Arial Negrito" w:eastAsia="Arial Unicode MS" w:hAnsi="Arial Negrito" w:cs="Times New Roman"/>
                <w:bCs/>
                <w:smallCaps/>
                <w:snapToGrid w:val="0"/>
                <w:sz w:val="20"/>
                <w:szCs w:val="24"/>
              </w:rPr>
              <w:t>4-18.</w:t>
            </w:r>
            <w:r w:rsidRPr="00696CDC">
              <w:rPr>
                <w:rFonts w:ascii="Arial Negrito" w:eastAsia="Arial Unicode MS" w:hAnsi="Arial Negrito" w:cs="Times New Roman"/>
                <w:bCs/>
                <w:smallCaps/>
                <w:snapToGrid w:val="0"/>
                <w:sz w:val="20"/>
                <w:szCs w:val="24"/>
              </w:rPr>
              <w:t xml:space="preserve"> Riqueza de mamíferos grandes e médios de acordo com o período de atividade.</w:t>
            </w:r>
          </w:p>
        </w:tc>
      </w:tr>
      <w:tr w:rsidR="00B53F21" w:rsidRPr="00AE2A0D" w:rsidTr="00696CDC">
        <w:tblPrEx>
          <w:jc w:val="center"/>
          <w:tblInd w:w="0" w:type="dxa"/>
        </w:tblPrEx>
        <w:trPr>
          <w:gridBefore w:val="1"/>
          <w:wBefore w:w="38" w:type="dxa"/>
          <w:jc w:val="center"/>
        </w:trPr>
        <w:tc>
          <w:tcPr>
            <w:tcW w:w="9286" w:type="dxa"/>
            <w:gridSpan w:val="2"/>
            <w:shd w:val="clear" w:color="auto" w:fill="auto"/>
          </w:tcPr>
          <w:p w:rsidR="00B53F21" w:rsidRPr="00AE2A0D" w:rsidRDefault="00B53F21" w:rsidP="003F2023">
            <w:pPr>
              <w:spacing w:before="120"/>
              <w:jc w:val="center"/>
              <w:rPr>
                <w:rFonts w:cs="Arial"/>
                <w:szCs w:val="20"/>
              </w:rPr>
            </w:pPr>
            <w:r w:rsidRPr="00AE2A0D">
              <w:rPr>
                <w:noProof/>
                <w:lang w:eastAsia="pt-BR"/>
              </w:rPr>
              <w:drawing>
                <wp:inline distT="0" distB="0" distL="0" distR="0" wp14:anchorId="307C7C45" wp14:editId="32B82AEC">
                  <wp:extent cx="4320000" cy="3240000"/>
                  <wp:effectExtent l="0" t="0" r="0" b="0"/>
                  <wp:docPr id="184" name="Gráfico 1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bl>
    <w:p w:rsidR="00B53F21" w:rsidRDefault="00B53F21" w:rsidP="00B53F21">
      <w:r w:rsidRPr="00AE2A0D">
        <w:t>Quanto aos hábitos alimentares, a comunidade da região de estudo abriga espécies pertencentes a dez guildas diferentes (</w:t>
      </w:r>
      <w:r w:rsidR="0023044E">
        <w:fldChar w:fldCharType="begin"/>
      </w:r>
      <w:r w:rsidR="0023044E">
        <w:instrText xml:space="preserve"> REF _Ref401572896 \h  \* MERGEFORMAT </w:instrText>
      </w:r>
      <w:r w:rsidR="0023044E">
        <w:fldChar w:fldCharType="separate"/>
      </w:r>
      <w:r w:rsidR="00696CDC" w:rsidRPr="00696CDC">
        <w:rPr>
          <w:b/>
        </w:rPr>
        <w:t>Figura</w:t>
      </w:r>
      <w:r w:rsidR="0023044E">
        <w:fldChar w:fldCharType="end"/>
      </w:r>
      <w:r w:rsidR="00696CDC" w:rsidRPr="00696CDC">
        <w:rPr>
          <w:b/>
        </w:rPr>
        <w:t xml:space="preserve"> 6.4.</w:t>
      </w:r>
      <w:r w:rsidR="00B85938">
        <w:rPr>
          <w:b/>
        </w:rPr>
        <w:t>4-19</w:t>
      </w:r>
      <w:r w:rsidRPr="00AE2A0D">
        <w:t xml:space="preserve">). O grupo dos frugívoros (frugívoros-onívoros, frugívoros-insetívoros, frugívoros-granívoros, frugívoros-folívoros e frugívoros-herbívoros) somados representou cerca de 50% do total. Os insetívoro-onívoros correspondem a 22,22% da comunidade amostrada. Os carnívoros (carnívoros estritos, carnívoro-onívoros) representaram 16,67% da comunidade, já os herbívoros (herbívoros estritos) e piscívoros representaram 5,56% cada um. Essa diversidade de hábitos alimentares demonstra haver uma variedade de nichos e habitats na região de estudo que permite a ocorrência de espécies com requerimentos diferenciados. As espécies com exigências mais específicas, como os carnívoros estritos (felinos de modo geral) ou mesmo os frugívoros, são os mais vulneráveis a alterações ambientais e perda de seus nichos exclusivos. A manutenção dessas espécies indica a presença de alguns refúgios na região (áreas 4 e 5), apesar da evidente degradação de muitos desses fragmentos (áreas 1, 2 e 3). Fica evidente, portanto, que somente a manutenção de fragmentos de vegetação nativa, e com algum grau de conectividade, poderá fornecer suprimentos para as espécies mais exigentes, além da diminuição da pressão de caça. </w:t>
      </w:r>
    </w:p>
    <w:tbl>
      <w:tblPr>
        <w:tblW w:w="9286" w:type="dxa"/>
        <w:tblInd w:w="-38" w:type="dxa"/>
        <w:tblCellMar>
          <w:left w:w="70" w:type="dxa"/>
          <w:right w:w="70" w:type="dxa"/>
        </w:tblCellMar>
        <w:tblLook w:val="01E0" w:firstRow="1" w:lastRow="1" w:firstColumn="1" w:lastColumn="1" w:noHBand="0" w:noVBand="0"/>
      </w:tblPr>
      <w:tblGrid>
        <w:gridCol w:w="9286"/>
      </w:tblGrid>
      <w:tr w:rsidR="00696CDC" w:rsidRPr="00696CDC" w:rsidTr="00696CDC">
        <w:tc>
          <w:tcPr>
            <w:tcW w:w="9286" w:type="dxa"/>
            <w:shd w:val="clear" w:color="auto" w:fill="auto"/>
          </w:tcPr>
          <w:p w:rsidR="00696CDC" w:rsidRPr="00696CDC" w:rsidRDefault="00696CDC" w:rsidP="00B85938">
            <w:pPr>
              <w:keepNext/>
              <w:tabs>
                <w:tab w:val="left" w:pos="9000"/>
              </w:tabs>
              <w:spacing w:before="120"/>
              <w:jc w:val="center"/>
              <w:rPr>
                <w:rFonts w:ascii="Arial Negrito" w:eastAsia="Arial Unicode MS" w:hAnsi="Arial Negrito" w:cs="Times New Roman"/>
                <w:bCs/>
                <w:smallCaps/>
                <w:snapToGrid w:val="0"/>
                <w:sz w:val="20"/>
                <w:szCs w:val="24"/>
              </w:rPr>
            </w:pPr>
            <w:bookmarkStart w:id="140" w:name="_Ref401572896"/>
            <w:r w:rsidRPr="00696CDC">
              <w:rPr>
                <w:rFonts w:ascii="Arial Negrito" w:eastAsia="Arial Unicode MS" w:hAnsi="Arial Negrito" w:cs="Times New Roman"/>
                <w:bCs/>
                <w:smallCaps/>
                <w:snapToGrid w:val="0"/>
                <w:sz w:val="20"/>
                <w:szCs w:val="24"/>
              </w:rPr>
              <w:lastRenderedPageBreak/>
              <w:t xml:space="preserve">Figura </w:t>
            </w:r>
            <w:bookmarkEnd w:id="140"/>
            <w:r w:rsidRPr="00696CDC">
              <w:rPr>
                <w:rFonts w:ascii="Arial Negrito" w:eastAsia="Arial Unicode MS" w:hAnsi="Arial Negrito" w:cs="Times New Roman"/>
                <w:bCs/>
                <w:smallCaps/>
                <w:snapToGrid w:val="0"/>
                <w:sz w:val="20"/>
                <w:szCs w:val="24"/>
              </w:rPr>
              <w:t>6.4.</w:t>
            </w:r>
            <w:r w:rsidR="009B231F">
              <w:rPr>
                <w:rFonts w:ascii="Arial Negrito" w:eastAsia="Arial Unicode MS" w:hAnsi="Arial Negrito" w:cs="Times New Roman"/>
                <w:bCs/>
                <w:smallCaps/>
                <w:snapToGrid w:val="0"/>
                <w:sz w:val="20"/>
                <w:szCs w:val="24"/>
              </w:rPr>
              <w:t>4-</w:t>
            </w:r>
            <w:r w:rsidR="00B85938">
              <w:rPr>
                <w:rFonts w:ascii="Arial Negrito" w:eastAsia="Arial Unicode MS" w:hAnsi="Arial Negrito" w:cs="Times New Roman"/>
                <w:bCs/>
                <w:smallCaps/>
                <w:snapToGrid w:val="0"/>
                <w:sz w:val="20"/>
                <w:szCs w:val="24"/>
              </w:rPr>
              <w:t>19.</w:t>
            </w:r>
            <w:r w:rsidRPr="00696CDC">
              <w:rPr>
                <w:rFonts w:ascii="Arial Negrito" w:eastAsia="Arial Unicode MS" w:hAnsi="Arial Negrito" w:cs="Times New Roman"/>
                <w:bCs/>
                <w:smallCaps/>
                <w:snapToGrid w:val="0"/>
                <w:sz w:val="20"/>
                <w:szCs w:val="24"/>
              </w:rPr>
              <w:t xml:space="preserve"> Riqueza de mamíferos grandes e médios de acordo com a dieta. </w:t>
            </w:r>
          </w:p>
        </w:tc>
      </w:tr>
      <w:tr w:rsidR="00B53F21" w:rsidRPr="00AE2A0D" w:rsidTr="003F2023">
        <w:tc>
          <w:tcPr>
            <w:tcW w:w="9286" w:type="dxa"/>
            <w:shd w:val="clear" w:color="auto" w:fill="auto"/>
          </w:tcPr>
          <w:p w:rsidR="00B53F21" w:rsidRPr="00AE2A0D" w:rsidRDefault="00B53F21" w:rsidP="003F2023">
            <w:pPr>
              <w:spacing w:before="120"/>
              <w:jc w:val="center"/>
              <w:rPr>
                <w:rFonts w:cs="Arial"/>
                <w:szCs w:val="20"/>
              </w:rPr>
            </w:pPr>
            <w:r w:rsidRPr="00AE2A0D">
              <w:rPr>
                <w:noProof/>
                <w:lang w:eastAsia="pt-BR"/>
              </w:rPr>
              <w:drawing>
                <wp:inline distT="0" distB="0" distL="0" distR="0" wp14:anchorId="6F7B1F86" wp14:editId="617544EC">
                  <wp:extent cx="4320000" cy="3240000"/>
                  <wp:effectExtent l="0" t="0" r="0" b="0"/>
                  <wp:docPr id="185" name="Gráfico 18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r>
    </w:tbl>
    <w:p w:rsidR="00696CDC" w:rsidRPr="00696CDC" w:rsidRDefault="00696CDC" w:rsidP="00B53F21">
      <w:pPr>
        <w:rPr>
          <w:noProof/>
          <w:sz w:val="18"/>
          <w:szCs w:val="18"/>
          <w:lang w:eastAsia="pt-BR"/>
        </w:rPr>
      </w:pPr>
      <w:r w:rsidRPr="00696CDC">
        <w:rPr>
          <w:noProof/>
          <w:sz w:val="18"/>
          <w:szCs w:val="18"/>
          <w:lang w:eastAsia="pt-BR"/>
        </w:rPr>
        <w:t>Nota - Fo/Fr: folívoro/frugivoro; on/fr: onívoro/frugivoro; in/fr: insetívoro/frugivoro; In/On: insetívoro/onívoro; Fr/gr: frugívoro/granivoro; Fr/Hb: frugívoro/herbívoro; HB: herbívoro podador; Ca/On: carnivoro/onívoro; Ca: carnívoro e PS – piscívoro</w:t>
      </w:r>
    </w:p>
    <w:p w:rsidR="00B53F21" w:rsidRPr="00AE2A0D" w:rsidRDefault="00B53F21" w:rsidP="00B53F21">
      <w:pPr>
        <w:rPr>
          <w:rStyle w:val="NormalDestaque"/>
          <w:rFonts w:cs="Arial"/>
          <w:b w:val="0"/>
          <w:color w:val="auto"/>
          <w:szCs w:val="20"/>
        </w:rPr>
      </w:pPr>
      <w:r w:rsidRPr="00AE2A0D">
        <w:rPr>
          <w:rStyle w:val="NormalDestaque"/>
          <w:rFonts w:cs="Arial"/>
          <w:b w:val="0"/>
          <w:color w:val="auto"/>
          <w:szCs w:val="20"/>
        </w:rPr>
        <w:t>Das 95 espécies de mamíferos registrados para a AII</w:t>
      </w:r>
      <w:r>
        <w:rPr>
          <w:rStyle w:val="NormalDestaque"/>
          <w:rFonts w:cs="Arial"/>
          <w:b w:val="0"/>
          <w:color w:val="auto"/>
          <w:szCs w:val="20"/>
        </w:rPr>
        <w:t>,</w:t>
      </w:r>
      <w:r w:rsidRPr="00AE2A0D">
        <w:rPr>
          <w:rStyle w:val="NormalDestaque"/>
          <w:rFonts w:cs="Arial"/>
          <w:b w:val="0"/>
          <w:color w:val="auto"/>
          <w:szCs w:val="20"/>
        </w:rPr>
        <w:t xml:space="preserve"> que incluiu pequenos, médios e grandes mamíferos e morcegos, 33 eram de espécies de mamíferos de médio e grande porte. No presente estudo foram listadas 18 espécies de grandes e médios mamíferos para a AID do empreendimento.</w:t>
      </w:r>
    </w:p>
    <w:p w:rsidR="00B53F21" w:rsidRPr="00AE2A0D" w:rsidRDefault="00B53F21" w:rsidP="00B53F21">
      <w:pPr>
        <w:rPr>
          <w:rStyle w:val="NormalDestaque"/>
          <w:rFonts w:cs="Arial"/>
          <w:b w:val="0"/>
          <w:color w:val="auto"/>
          <w:szCs w:val="20"/>
        </w:rPr>
      </w:pPr>
      <w:r w:rsidRPr="00AE2A0D">
        <w:t>Quando comparados os resultados do levantamento de dados secundários para grandes mamíferos com os dados primários, ve</w:t>
      </w:r>
      <w:r>
        <w:t xml:space="preserve">rifica-se </w:t>
      </w:r>
      <w:r w:rsidRPr="00AE2A0D">
        <w:t xml:space="preserve">que os dados obtidos </w:t>
      </w:r>
      <w:r>
        <w:t>n</w:t>
      </w:r>
      <w:r w:rsidRPr="00AE2A0D">
        <w:t>a campanha de campo representam 33%, da riqueza de possível ocorrência. Se se considera</w:t>
      </w:r>
      <w:r>
        <w:t xml:space="preserve">m </w:t>
      </w:r>
      <w:r w:rsidRPr="00AE2A0D">
        <w:t>as entrevistas</w:t>
      </w:r>
      <w:r>
        <w:t>,</w:t>
      </w:r>
      <w:r w:rsidRPr="00AE2A0D">
        <w:t xml:space="preserve"> esta porcentagem sobre 55%, sem o acréscimo de nenhuma espécie a lista. Este resultado deve-se ao fato de se tratar de um levantamento relativamente rápido, e ainda das condições de campo, onde o solo compactado e a alta abundância de folhiço em diversas trilhas dificultam a visualização de rastros/vestígios dos mamíferos. </w:t>
      </w:r>
    </w:p>
    <w:p w:rsidR="00B53F21" w:rsidRPr="00AE2A0D" w:rsidRDefault="00B53F21" w:rsidP="00B53F21">
      <w:pPr>
        <w:rPr>
          <w:rStyle w:val="NormalDestaque"/>
          <w:rFonts w:cs="Arial"/>
          <w:b w:val="0"/>
          <w:color w:val="auto"/>
          <w:szCs w:val="20"/>
        </w:rPr>
      </w:pPr>
      <w:r w:rsidRPr="00AE2A0D">
        <w:rPr>
          <w:rStyle w:val="NormalDestaque"/>
          <w:rFonts w:cs="Arial"/>
          <w:b w:val="0"/>
          <w:color w:val="auto"/>
          <w:szCs w:val="20"/>
        </w:rPr>
        <w:t>Além dos mamíferos de médio e grande porte que eram foco do levantamento de dados primários, foram registrados durante busca ativa três espécies de morcegos (</w:t>
      </w:r>
      <w:r w:rsidRPr="00AE2A0D">
        <w:rPr>
          <w:rStyle w:val="NormalDestaque"/>
          <w:rFonts w:cs="Arial"/>
          <w:b w:val="0"/>
          <w:i/>
          <w:color w:val="auto"/>
          <w:szCs w:val="20"/>
        </w:rPr>
        <w:t>Desmodus rotundus, Glossophaga soricina e Mimon bennettii</w:t>
      </w:r>
      <w:r w:rsidRPr="00AE2A0D">
        <w:rPr>
          <w:rStyle w:val="NormalDestaque"/>
          <w:rFonts w:cs="Arial"/>
          <w:b w:val="0"/>
          <w:color w:val="auto"/>
          <w:szCs w:val="20"/>
        </w:rPr>
        <w:t>) e uma de roedor (</w:t>
      </w:r>
      <w:r w:rsidRPr="00AE2A0D">
        <w:rPr>
          <w:rStyle w:val="NormalDestaque"/>
          <w:rFonts w:cs="Arial"/>
          <w:b w:val="0"/>
          <w:i/>
          <w:color w:val="auto"/>
          <w:szCs w:val="20"/>
        </w:rPr>
        <w:t>Oligoryzomys</w:t>
      </w:r>
      <w:r w:rsidRPr="00AE2A0D">
        <w:rPr>
          <w:rStyle w:val="NormalDestaque"/>
          <w:rFonts w:cs="Arial"/>
          <w:b w:val="0"/>
          <w:color w:val="auto"/>
          <w:szCs w:val="20"/>
        </w:rPr>
        <w:t xml:space="preserve"> sp.). Esses dados não entraram nas análises anteriores, mas ampliam a lista de espécies registradas diretamente em campo para 15 espécies. Considerando os dados indiretos oriundos de entrevista, a lista passa a ter 22 espécies. </w:t>
      </w:r>
    </w:p>
    <w:p w:rsidR="00B53F21" w:rsidRPr="00AE2A0D" w:rsidRDefault="00B53F21" w:rsidP="00B53F21">
      <w:r w:rsidRPr="00AE2A0D">
        <w:t>Apesar da elevada riqueza de espécies de mamíferos levantada para AII, a região encontra-se em processo de degradação, com a maioria das espécies encontradas nas AII e AID de animais com distribuição ampla no Brasil, com ocorrência em vários biomas (Reis et al., 2011; Paglia et al., 2012) e tipos de habitat. Portanto, são espécies com alguma tolerância às alterações na qualidade da vegetação e com grande capacidade de deslocamento entre os fragmentos de vegetação nativa e a matriz antrópica. Algumas espécies são perseguidas e caçadas pelo homem para lazer, consumo e/ou tráfico (com as espécies de tatu, veado, paca) e algumas espécies são também considerados pragas para a agricultura ou predadoras de animais domésticos. Port</w:t>
      </w:r>
      <w:r>
        <w:t>anto, a proximidade com o homem</w:t>
      </w:r>
      <w:r w:rsidRPr="00AE2A0D">
        <w:t xml:space="preserve"> </w:t>
      </w:r>
      <w:r>
        <w:t xml:space="preserve">e </w:t>
      </w:r>
      <w:r w:rsidRPr="00AE2A0D">
        <w:t>a ausên</w:t>
      </w:r>
      <w:r>
        <w:t>cia de refúgios naturais</w:t>
      </w:r>
      <w:r w:rsidRPr="00AE2A0D">
        <w:t xml:space="preserve"> constituem as maiores ameaças aos médios e grandes mamíferos (Reis et al., 2011; MMA, 2008). </w:t>
      </w:r>
    </w:p>
    <w:p w:rsidR="00DA4DEA" w:rsidRPr="00AE2A0D" w:rsidRDefault="00DA4DEA" w:rsidP="00DA4DEA">
      <w:pPr>
        <w:pStyle w:val="Ttulo4"/>
      </w:pPr>
      <w:bookmarkStart w:id="141" w:name="_Toc402254407"/>
      <w:bookmarkStart w:id="142" w:name="_Toc411871207"/>
      <w:r w:rsidRPr="00AE2A0D">
        <w:lastRenderedPageBreak/>
        <w:t>Considerações Finais</w:t>
      </w:r>
      <w:bookmarkEnd w:id="141"/>
      <w:bookmarkEnd w:id="142"/>
      <w:r w:rsidRPr="00AE2A0D">
        <w:t xml:space="preserve"> </w:t>
      </w:r>
    </w:p>
    <w:p w:rsidR="00DA4DEA" w:rsidRPr="00AE2A0D" w:rsidRDefault="00DA4DEA" w:rsidP="00DA4DEA">
      <w:r w:rsidRPr="00AE2A0D">
        <w:t>O Diagnóstico da Fauna Terrestre, em sua campanha de amostragem de dados primários realizadas entre os dias 30</w:t>
      </w:r>
      <w:r>
        <w:t>/09</w:t>
      </w:r>
      <w:r w:rsidRPr="00AE2A0D">
        <w:t xml:space="preserve"> </w:t>
      </w:r>
      <w:r>
        <w:t>e</w:t>
      </w:r>
      <w:r w:rsidRPr="00AE2A0D">
        <w:t xml:space="preserve"> 05</w:t>
      </w:r>
      <w:r>
        <w:t>/10/</w:t>
      </w:r>
      <w:r w:rsidRPr="00AE2A0D">
        <w:t>2014, registrou 194 espécies de aves, 18 de anfíbios, quatro de répteis, 18 de mamíferos de médio e grande porte.</w:t>
      </w:r>
    </w:p>
    <w:p w:rsidR="00DA4DEA" w:rsidRPr="00AE2A0D" w:rsidRDefault="00DA4DEA" w:rsidP="00DA4DEA">
      <w:pPr>
        <w:rPr>
          <w:color w:val="000000"/>
        </w:rPr>
      </w:pPr>
      <w:r w:rsidRPr="00AE2A0D">
        <w:t xml:space="preserve">Para a Avifauna a riqueza encontrada representou 65% </w:t>
      </w:r>
      <w:r w:rsidRPr="00AE2A0D">
        <w:rPr>
          <w:color w:val="000000"/>
        </w:rPr>
        <w:t>de toda avifauna esperada para a região quando comparado com o levantamento de dados secundários, além do acréscimo de outras 20 espécies não citadas previamente. A riqueza encontrada pode ser considerada de m</w:t>
      </w:r>
      <w:r>
        <w:rPr>
          <w:color w:val="000000"/>
        </w:rPr>
        <w:t>é</w:t>
      </w:r>
      <w:r w:rsidRPr="00AE2A0D">
        <w:rPr>
          <w:color w:val="000000"/>
        </w:rPr>
        <w:t>dia a alta quando comparada a outras áreas estudadas nas adjacências dos módulos amostrais por diferentes autores citados no levantamento de dados secundários. Ainda que este levantamento tenha sido realizado em apenas uma campanha, pontual e rápida, o esforço empregado foi suficiente para caracterização da avifauna das áreas amostrais, como sugere a curva de rarefação e os índices de riqueza. Entretanto, a inclusão de novas espécies é natural e esperada, a partir do emprego de um esforço de campo maior.</w:t>
      </w:r>
    </w:p>
    <w:p w:rsidR="00DA4DEA" w:rsidRPr="00AE2A0D" w:rsidRDefault="00DA4DEA" w:rsidP="00DA4DEA">
      <w:pPr>
        <w:rPr>
          <w:color w:val="000000"/>
        </w:rPr>
      </w:pPr>
      <w:r w:rsidRPr="00AE2A0D">
        <w:rPr>
          <w:color w:val="000000"/>
        </w:rPr>
        <w:t xml:space="preserve">Para a herpetofauna a riqueza encontrada de anfíbios representou 54% e a de répteis apenas 6% de toda herpetofauna esperada para a região, com a adição de três espécies à lista elaborada por meio de dados secundários. No entanto, o baixo resultado era esperado, uma vez que a presente estação é fria e nesses períodos devido à baixa disponibilidade de alimento e devido à termorregulação típica da herpetofauna, muitas espécies permanecem entocadas esperando dias mais quentes para forrageamento bem como para reprodução. Muitos répteis possuem hábitos crípticos, fossoriais, semifossoriais ou são naturalmente menos abundantes, não sendo detectados pelo método de amostragem geralmente usado em avaliações rápidas. Além disso, assim como grande parte dos anfíbios, os répteis possuem suas atividades fortemente influenciadas pelas condições climáticas, permanecendo menos ativos quando há queda de temperatura (Gibbons &amp; Semlitsch, 1987; Sawaya </w:t>
      </w:r>
      <w:r w:rsidRPr="00AE2A0D">
        <w:rPr>
          <w:i/>
          <w:color w:val="000000"/>
        </w:rPr>
        <w:t>et al.,</w:t>
      </w:r>
      <w:r w:rsidRPr="00AE2A0D">
        <w:rPr>
          <w:color w:val="000000"/>
        </w:rPr>
        <w:t xml:space="preserve"> 2008; Wells, 2007). Infelizmente alterações repentinas nas condições climáticas, como a queda brusca de temperatura a partir do terceiro dia de amostragem, não são previsíveis a médio/longo prazo, interferindo em trabalhos de campo previamente agendados. </w:t>
      </w:r>
    </w:p>
    <w:p w:rsidR="00DA4DEA" w:rsidRPr="00AE2A0D" w:rsidRDefault="00DA4DEA" w:rsidP="00DA4DEA">
      <w:pPr>
        <w:rPr>
          <w:color w:val="000000"/>
        </w:rPr>
      </w:pPr>
      <w:r w:rsidRPr="00AE2A0D">
        <w:rPr>
          <w:color w:val="000000"/>
        </w:rPr>
        <w:t xml:space="preserve">Para os médios e grandes mamíferos a riqueza encontrada diretamente em campo (n=11) representou 33% de toda mastofauna de porte médio e grande esperada para a região, sem adição de nenhuma espécie a lista elaborada por meio de dados secundários. Ao incluir espécies citadas na entrevista, a porcentagem passa para 55% do esperado. Assim, pode-se dizer que riqueza encontrada foi representativa, e o menor número de espécies encontrado, assim como a não adição de novas espécies pode ser explicada devido à característica das áreas amostradas, paisagem fragmentada com alguns fragmentos </w:t>
      </w:r>
      <w:r>
        <w:rPr>
          <w:color w:val="000000"/>
        </w:rPr>
        <w:t xml:space="preserve">sem </w:t>
      </w:r>
      <w:r w:rsidRPr="00AE2A0D">
        <w:rPr>
          <w:color w:val="000000"/>
        </w:rPr>
        <w:t xml:space="preserve">estrutura suficiente para abrigar espécies de grande porte, sendo locais utilizados provavelmente só para passagem. </w:t>
      </w:r>
    </w:p>
    <w:p w:rsidR="00DA4DEA" w:rsidRPr="00AE2A0D" w:rsidRDefault="00DA4DEA" w:rsidP="00DA4DEA">
      <w:r w:rsidRPr="00AE2A0D">
        <w:t xml:space="preserve">Os levantamentos de campo mostraram que a fauna dos diferentes grupos registrada na AID apresenta grande heterogeneidade quanto aos seus hábitos alimentares, capacidade de deslocamento, fidelidade ao habitat, etc. A fauna de vertebrados terrestre das áreas de estudo conta tanto com espécies florestais e sensíveis a alterações do habitat, como também de espécies de áreas abertas, generalistas e menos sensíveis a alterações. </w:t>
      </w:r>
    </w:p>
    <w:p w:rsidR="00DA4DEA" w:rsidRPr="00AE2A0D" w:rsidRDefault="00DA4DEA" w:rsidP="00DA4DEA">
      <w:r w:rsidRPr="00AE2A0D">
        <w:t xml:space="preserve">Cabe destaque a riqueza encontrada para avifauna (n=194), pois quando confrontada aos estudos disponíveis em remanescentes de mata para o Estado de São Paulo, revela ter uma riqueza semelhante e a ainda maior quando considerado também os dados secundários. </w:t>
      </w:r>
    </w:p>
    <w:p w:rsidR="00DA4DEA" w:rsidRPr="00AE2A0D" w:rsidRDefault="00DA4DEA" w:rsidP="00DA4DEA">
      <w:r w:rsidRPr="00AE2A0D">
        <w:t>Foi observada para todos os grupos uma forte relação entre a qualidade da área de estudo e a presença de espécies sensíveis a alterações, sendo os fragmentos 4 e 5, ambos em Nazaré Paulista, os mais bem conservados e com presença de espécies típicas da Mata Atlântica. Por outro lado, as áreas dos fragmentos 1, 2 e 3, mais antropizadas, apresentaram menor riqueza e presença de espécies mais características de áreas abertas.</w:t>
      </w:r>
    </w:p>
    <w:p w:rsidR="00DA4DEA" w:rsidRPr="00AE2A0D" w:rsidRDefault="00DA4DEA" w:rsidP="00DA4DEA">
      <w:pPr>
        <w:rPr>
          <w:color w:val="000000"/>
        </w:rPr>
      </w:pPr>
      <w:r w:rsidRPr="00AE2A0D">
        <w:rPr>
          <w:color w:val="000000"/>
        </w:rPr>
        <w:t xml:space="preserve">Assim, os dados aqui apresentados corroboram as informações obtidas a partir do levantamento </w:t>
      </w:r>
      <w:r>
        <w:rPr>
          <w:color w:val="000000"/>
        </w:rPr>
        <w:t xml:space="preserve">de dados </w:t>
      </w:r>
      <w:r w:rsidRPr="00AE2A0D">
        <w:rPr>
          <w:color w:val="000000"/>
        </w:rPr>
        <w:t xml:space="preserve">secundários, que apontam para um ambiente bem estruturado, com a presença de diversos elementos de interesse conservacionista, como as espécies endêmicas, ameaçadas e </w:t>
      </w:r>
      <w:r w:rsidRPr="00AE2A0D">
        <w:rPr>
          <w:color w:val="000000"/>
        </w:rPr>
        <w:lastRenderedPageBreak/>
        <w:t>sensíveis a distúrbios</w:t>
      </w:r>
      <w:r>
        <w:rPr>
          <w:color w:val="000000"/>
        </w:rPr>
        <w:t>,</w:t>
      </w:r>
      <w:r w:rsidRPr="00AE2A0D">
        <w:rPr>
          <w:color w:val="000000"/>
        </w:rPr>
        <w:t xml:space="preserve"> indicando, por fim, que as áreas amostradas, embora bastante descaracterizadas e sob constante pressão antrópica, merecem atenção com relação aos po</w:t>
      </w:r>
      <w:r>
        <w:rPr>
          <w:color w:val="000000"/>
        </w:rPr>
        <w:t>ssíveis impactos provocados pela</w:t>
      </w:r>
      <w:r w:rsidRPr="00AE2A0D">
        <w:rPr>
          <w:color w:val="000000"/>
        </w:rPr>
        <w:t xml:space="preserve"> implantação e execução do empreendimento em questão.</w:t>
      </w:r>
    </w:p>
    <w:p w:rsidR="00DA4DEA" w:rsidRPr="00AE2A0D" w:rsidRDefault="00DA4DEA" w:rsidP="00DA4DEA">
      <w:r w:rsidRPr="00AE2A0D">
        <w:t>Por fim, vale ressaltar que foi observado em campo práticas de caça, com a presença de quatro armadilhas na área 4</w:t>
      </w:r>
      <w:r w:rsidR="00C63BBC">
        <w:t xml:space="preserve">, como registra </w:t>
      </w:r>
      <w:r w:rsidR="00C63BBC" w:rsidRPr="00C63BBC">
        <w:rPr>
          <w:b/>
        </w:rPr>
        <w:t>Foto</w:t>
      </w:r>
      <w:r w:rsidR="00C63BBC">
        <w:t xml:space="preserve"> a seguir</w:t>
      </w:r>
      <w:r w:rsidRPr="00AE2A0D">
        <w:t xml:space="preserve">. Essa atividade pode causar grande impacto em áreas de interesse biológico com a finalidade de preservação ambiental, fator que deve ser considerado ao longo da implantação das obras da Interligação das represas Jaguari </w:t>
      </w:r>
      <w:r>
        <w:t>e Atibainha</w:t>
      </w:r>
      <w:r w:rsidRPr="00AE2A0D">
        <w:t>.</w:t>
      </w:r>
    </w:p>
    <w:tbl>
      <w:tblPr>
        <w:tblStyle w:val="Tabelacomgrade"/>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DA4DEA" w:rsidRPr="00AE2A0D" w:rsidTr="003F2023">
        <w:trPr>
          <w:jc w:val="center"/>
        </w:trPr>
        <w:tc>
          <w:tcPr>
            <w:tcW w:w="5000" w:type="pct"/>
            <w:vAlign w:val="center"/>
          </w:tcPr>
          <w:p w:rsidR="00DA4DEA" w:rsidRPr="00AE2A0D" w:rsidRDefault="00DA4DEA" w:rsidP="003F2023">
            <w:pPr>
              <w:spacing w:after="0" w:line="360" w:lineRule="auto"/>
              <w:jc w:val="center"/>
              <w:rPr>
                <w:rFonts w:cs="Arial"/>
              </w:rPr>
            </w:pPr>
            <w:r w:rsidRPr="00AE2A0D">
              <w:rPr>
                <w:rFonts w:cs="Arial"/>
                <w:noProof/>
              </w:rPr>
              <w:drawing>
                <wp:inline distT="0" distB="0" distL="0" distR="0" wp14:anchorId="6AE20BA4" wp14:editId="7CE580B8">
                  <wp:extent cx="5138002" cy="3600000"/>
                  <wp:effectExtent l="0" t="0" r="5715" b="635"/>
                  <wp:docPr id="296" name="Imagem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madilha.jp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138002" cy="3600000"/>
                          </a:xfrm>
                          <a:prstGeom prst="rect">
                            <a:avLst/>
                          </a:prstGeom>
                        </pic:spPr>
                      </pic:pic>
                    </a:graphicData>
                  </a:graphic>
                </wp:inline>
              </w:drawing>
            </w:r>
          </w:p>
        </w:tc>
      </w:tr>
      <w:tr w:rsidR="00DA4DEA" w:rsidRPr="00C63BBC" w:rsidTr="003F2023">
        <w:trPr>
          <w:jc w:val="center"/>
        </w:trPr>
        <w:tc>
          <w:tcPr>
            <w:tcW w:w="5000" w:type="pct"/>
          </w:tcPr>
          <w:p w:rsidR="00DA4DEA" w:rsidRPr="00C63BBC" w:rsidRDefault="00DA4DEA" w:rsidP="00C63BBC">
            <w:pPr>
              <w:rPr>
                <w:sz w:val="18"/>
                <w:szCs w:val="18"/>
                <w:lang w:eastAsia="en-US"/>
              </w:rPr>
            </w:pPr>
            <w:r w:rsidRPr="00C63BBC">
              <w:rPr>
                <w:sz w:val="18"/>
                <w:szCs w:val="18"/>
                <w:lang w:eastAsia="en-US"/>
              </w:rPr>
              <w:t>Armadilha de laço encontrada no fragmento 4 durante as amostragens da herpetofauna para elaboração do EIA/RIMA das obras da Interligação das represas Jaguari e Atibainha, entre os dias 30/09 e 05/10/2014.</w:t>
            </w:r>
          </w:p>
        </w:tc>
      </w:tr>
    </w:tbl>
    <w:p w:rsidR="00186F55" w:rsidRDefault="00186F55" w:rsidP="00186F55"/>
    <w:p w:rsidR="00186F55" w:rsidRDefault="00186F55">
      <w:pPr>
        <w:spacing w:after="200" w:line="276" w:lineRule="auto"/>
        <w:jc w:val="left"/>
        <w:rPr>
          <w:rFonts w:eastAsia="Times New Roman" w:cs="Arial"/>
          <w:b/>
          <w:bCs/>
          <w:lang w:eastAsia="pt-BR"/>
        </w:rPr>
      </w:pPr>
      <w:r>
        <w:br w:type="page"/>
      </w:r>
    </w:p>
    <w:p w:rsidR="00D9475A" w:rsidRPr="0069310A" w:rsidRDefault="00D9475A" w:rsidP="00811787">
      <w:pPr>
        <w:pStyle w:val="Ttulo3"/>
      </w:pPr>
      <w:bookmarkStart w:id="143" w:name="_Toc411871208"/>
      <w:r w:rsidRPr="0069310A">
        <w:lastRenderedPageBreak/>
        <w:t>Biota Aquática</w:t>
      </w:r>
      <w:bookmarkEnd w:id="143"/>
    </w:p>
    <w:p w:rsidR="00212C0B" w:rsidRDefault="00AC1CAE" w:rsidP="00212C0B">
      <w:r>
        <w:t xml:space="preserve">Para o </w:t>
      </w:r>
      <w:r w:rsidR="00212C0B">
        <w:t xml:space="preserve">estudo das comunidades aquáticas, </w:t>
      </w:r>
      <w:r w:rsidR="009D54F6">
        <w:t>a AII foi considerada como sendo: (i) o Sistema Cantareira e os cursos d’água da bacia do Piracicaba, a jusante</w:t>
      </w:r>
      <w:r w:rsidR="00212C0B">
        <w:t xml:space="preserve">, além do </w:t>
      </w:r>
      <w:r w:rsidR="009D54F6">
        <w:t>r</w:t>
      </w:r>
      <w:r w:rsidR="00212C0B">
        <w:t xml:space="preserve">eservatório Paiva Castro, na bacia do Tietê, que recebe as águas transpostas </w:t>
      </w:r>
      <w:r w:rsidR="009D54F6">
        <w:t xml:space="preserve">do Cantareira; </w:t>
      </w:r>
      <w:r w:rsidR="00212C0B">
        <w:t xml:space="preserve">e </w:t>
      </w:r>
      <w:r w:rsidR="009D54F6">
        <w:t>(ii) o trecho paulista do r</w:t>
      </w:r>
      <w:r w:rsidR="00212C0B">
        <w:t xml:space="preserve">io Paraíba do Sul a jusante do reservatório de Santa Branca. A </w:t>
      </w:r>
      <w:r w:rsidR="009D54F6">
        <w:t xml:space="preserve">AID </w:t>
      </w:r>
      <w:r w:rsidR="00212C0B">
        <w:t xml:space="preserve">foi considerada </w:t>
      </w:r>
      <w:r w:rsidR="00420418">
        <w:t xml:space="preserve">como sendo </w:t>
      </w:r>
      <w:r w:rsidR="009D54F6">
        <w:t xml:space="preserve">os reservatórios Jaguari da CESP e Atibainha, </w:t>
      </w:r>
      <w:r w:rsidR="00212C0B">
        <w:t xml:space="preserve">os corpos d’água que serão interligados pela construção </w:t>
      </w:r>
      <w:r w:rsidR="004532F6">
        <w:t>da Interligação</w:t>
      </w:r>
      <w:r w:rsidR="00212C0B">
        <w:t>.</w:t>
      </w:r>
    </w:p>
    <w:p w:rsidR="00212C0B" w:rsidRDefault="00212C0B" w:rsidP="00212C0B">
      <w:r>
        <w:t xml:space="preserve">Contrariamente ao que ocorre com variáveis físicas e químicas das águas, as variáveis biológicas, que permitem a caracterização das comunidades aquáticas, não são registradas em todos os locais onde ocorre </w:t>
      </w:r>
      <w:r w:rsidR="00420418">
        <w:t>o</w:t>
      </w:r>
      <w:r>
        <w:t xml:space="preserve"> monitoramento da qualidade da água</w:t>
      </w:r>
      <w:r w:rsidR="009D54F6">
        <w:t>,</w:t>
      </w:r>
      <w:r>
        <w:t xml:space="preserve"> o que dificulta estabelecer um quadro completo das características da área de interesse do </w:t>
      </w:r>
      <w:r w:rsidR="00420418">
        <w:t>Projeto</w:t>
      </w:r>
      <w:r>
        <w:t>.</w:t>
      </w:r>
    </w:p>
    <w:p w:rsidR="00212C0B" w:rsidRDefault="00212C0B" w:rsidP="00212C0B">
      <w:r>
        <w:t>As fontes de informação foram principalmente publicações científicas, particularmente as mais recentes e os relatórios de qualidade da água do monitoramento da CETESB, considerando, neste caso</w:t>
      </w:r>
      <w:r w:rsidR="009D54F6">
        <w:t>,</w:t>
      </w:r>
      <w:r>
        <w:t xml:space="preserve"> as informações no período de 2010 a 2013.</w:t>
      </w:r>
    </w:p>
    <w:p w:rsidR="00472518" w:rsidRDefault="00472518" w:rsidP="001B3804">
      <w:pPr>
        <w:pStyle w:val="Ttulo4"/>
      </w:pPr>
      <w:bookmarkStart w:id="144" w:name="_Toc411871209"/>
      <w:r>
        <w:t xml:space="preserve">Índices </w:t>
      </w:r>
      <w:r w:rsidR="001B3804">
        <w:t>de Qualidade para Biota Aquática</w:t>
      </w:r>
      <w:bookmarkEnd w:id="144"/>
    </w:p>
    <w:p w:rsidR="00212C0B" w:rsidRPr="00C83067" w:rsidRDefault="00212C0B" w:rsidP="00212C0B">
      <w:r w:rsidRPr="00C83067">
        <w:t xml:space="preserve">Dos dados obtidos pelo monitoramento da CETESB foram aqui consideradas as variáveis e indicadores que mostram características do fitoplâncton, como a concentração de clorofila </w:t>
      </w:r>
      <w:r w:rsidR="009D54F6">
        <w:t>“</w:t>
      </w:r>
      <w:r w:rsidRPr="00C83067">
        <w:t>a</w:t>
      </w:r>
      <w:r w:rsidR="009D54F6">
        <w:t>”</w:t>
      </w:r>
      <w:r w:rsidRPr="00C83067">
        <w:t xml:space="preserve"> e o Índice de Estado Trófico (IET), além do Índice de Preservação da Vida Aquática (IVA), o Índice da Comunidade Fitoplanctô</w:t>
      </w:r>
      <w:r>
        <w:t xml:space="preserve">nica e o Índice da Comunidade </w:t>
      </w:r>
      <w:r w:rsidRPr="00C83067">
        <w:t xml:space="preserve">Zooplanctônica. </w:t>
      </w:r>
    </w:p>
    <w:p w:rsidR="00212C0B" w:rsidRPr="00773F2A" w:rsidRDefault="00212C0B" w:rsidP="00212C0B">
      <w:r w:rsidRPr="00773F2A">
        <w:t>O</w:t>
      </w:r>
      <w:r w:rsidRPr="00773F2A">
        <w:rPr>
          <w:spacing w:val="-4"/>
        </w:rPr>
        <w:t xml:space="preserve"> </w:t>
      </w:r>
      <w:r w:rsidRPr="00773F2A">
        <w:t>Índice</w:t>
      </w:r>
      <w:r w:rsidRPr="00773F2A">
        <w:rPr>
          <w:spacing w:val="-3"/>
        </w:rPr>
        <w:t xml:space="preserve"> </w:t>
      </w:r>
      <w:r w:rsidRPr="00773F2A">
        <w:t>do</w:t>
      </w:r>
      <w:r w:rsidRPr="00773F2A">
        <w:rPr>
          <w:spacing w:val="-3"/>
        </w:rPr>
        <w:t xml:space="preserve"> </w:t>
      </w:r>
      <w:r w:rsidRPr="00773F2A">
        <w:t>Estado</w:t>
      </w:r>
      <w:r w:rsidRPr="00773F2A">
        <w:rPr>
          <w:spacing w:val="-3"/>
        </w:rPr>
        <w:t xml:space="preserve"> </w:t>
      </w:r>
      <w:r w:rsidRPr="00773F2A">
        <w:t>Trófico</w:t>
      </w:r>
      <w:r w:rsidRPr="00773F2A">
        <w:rPr>
          <w:spacing w:val="-3"/>
        </w:rPr>
        <w:t xml:space="preserve"> </w:t>
      </w:r>
      <w:r>
        <w:rPr>
          <w:spacing w:val="-3"/>
        </w:rPr>
        <w:t xml:space="preserve">(CETESB, 2014) </w:t>
      </w:r>
      <w:r w:rsidRPr="00773F2A">
        <w:t>tem</w:t>
      </w:r>
      <w:r w:rsidRPr="00773F2A">
        <w:rPr>
          <w:spacing w:val="-3"/>
        </w:rPr>
        <w:t xml:space="preserve"> </w:t>
      </w:r>
      <w:r w:rsidRPr="00773F2A">
        <w:t>por</w:t>
      </w:r>
      <w:r w:rsidRPr="00773F2A">
        <w:rPr>
          <w:spacing w:val="-3"/>
        </w:rPr>
        <w:t xml:space="preserve"> </w:t>
      </w:r>
      <w:r w:rsidRPr="00773F2A">
        <w:t>finalidade</w:t>
      </w:r>
      <w:r w:rsidRPr="00773F2A">
        <w:rPr>
          <w:spacing w:val="-3"/>
        </w:rPr>
        <w:t xml:space="preserve"> </w:t>
      </w:r>
      <w:r w:rsidRPr="00773F2A">
        <w:t>classificar</w:t>
      </w:r>
      <w:r w:rsidRPr="00773F2A">
        <w:rPr>
          <w:spacing w:val="-3"/>
        </w:rPr>
        <w:t xml:space="preserve"> </w:t>
      </w:r>
      <w:r w:rsidRPr="00773F2A">
        <w:t>corpos</w:t>
      </w:r>
      <w:r w:rsidRPr="00773F2A">
        <w:rPr>
          <w:spacing w:val="-4"/>
        </w:rPr>
        <w:t xml:space="preserve"> </w:t>
      </w:r>
      <w:r w:rsidRPr="00773F2A">
        <w:t>d’água</w:t>
      </w:r>
      <w:r w:rsidRPr="00773F2A">
        <w:rPr>
          <w:spacing w:val="-3"/>
        </w:rPr>
        <w:t xml:space="preserve"> </w:t>
      </w:r>
      <w:r w:rsidRPr="00773F2A">
        <w:t>em</w:t>
      </w:r>
      <w:r w:rsidRPr="00773F2A">
        <w:rPr>
          <w:spacing w:val="-3"/>
        </w:rPr>
        <w:t xml:space="preserve"> </w:t>
      </w:r>
      <w:r w:rsidRPr="00773F2A">
        <w:t>diferentes</w:t>
      </w:r>
      <w:r w:rsidRPr="00773F2A">
        <w:rPr>
          <w:spacing w:val="-3"/>
        </w:rPr>
        <w:t xml:space="preserve"> </w:t>
      </w:r>
      <w:r w:rsidRPr="00773F2A">
        <w:t>graus</w:t>
      </w:r>
      <w:r w:rsidRPr="00773F2A">
        <w:rPr>
          <w:spacing w:val="-3"/>
        </w:rPr>
        <w:t xml:space="preserve"> </w:t>
      </w:r>
      <w:r w:rsidRPr="00773F2A">
        <w:t>de</w:t>
      </w:r>
      <w:r w:rsidRPr="00773F2A">
        <w:rPr>
          <w:spacing w:val="-3"/>
        </w:rPr>
        <w:t xml:space="preserve"> </w:t>
      </w:r>
      <w:r w:rsidRPr="00773F2A">
        <w:t>trofia, ou</w:t>
      </w:r>
      <w:r w:rsidRPr="00773F2A">
        <w:rPr>
          <w:spacing w:val="-18"/>
        </w:rPr>
        <w:t xml:space="preserve"> </w:t>
      </w:r>
      <w:r w:rsidRPr="00773F2A">
        <w:t>seja,</w:t>
      </w:r>
      <w:r w:rsidRPr="00773F2A">
        <w:rPr>
          <w:spacing w:val="-18"/>
        </w:rPr>
        <w:t xml:space="preserve"> </w:t>
      </w:r>
      <w:r w:rsidRPr="00773F2A">
        <w:t>avaliar</w:t>
      </w:r>
      <w:r w:rsidRPr="00773F2A">
        <w:rPr>
          <w:spacing w:val="-18"/>
        </w:rPr>
        <w:t xml:space="preserve"> </w:t>
      </w:r>
      <w:r w:rsidRPr="00773F2A">
        <w:t>a</w:t>
      </w:r>
      <w:r w:rsidRPr="00773F2A">
        <w:rPr>
          <w:spacing w:val="-18"/>
        </w:rPr>
        <w:t xml:space="preserve"> </w:t>
      </w:r>
      <w:r w:rsidRPr="00773F2A">
        <w:t>qualidade</w:t>
      </w:r>
      <w:r w:rsidRPr="00773F2A">
        <w:rPr>
          <w:spacing w:val="-18"/>
        </w:rPr>
        <w:t xml:space="preserve"> </w:t>
      </w:r>
      <w:r w:rsidRPr="00773F2A">
        <w:t>da</w:t>
      </w:r>
      <w:r w:rsidRPr="00773F2A">
        <w:rPr>
          <w:spacing w:val="-17"/>
        </w:rPr>
        <w:t xml:space="preserve"> </w:t>
      </w:r>
      <w:r w:rsidRPr="00773F2A">
        <w:t>água</w:t>
      </w:r>
      <w:r w:rsidRPr="00773F2A">
        <w:rPr>
          <w:spacing w:val="-18"/>
        </w:rPr>
        <w:t xml:space="preserve"> </w:t>
      </w:r>
      <w:r w:rsidRPr="00773F2A">
        <w:t>quanto</w:t>
      </w:r>
      <w:r w:rsidRPr="00773F2A">
        <w:rPr>
          <w:spacing w:val="-18"/>
        </w:rPr>
        <w:t xml:space="preserve"> </w:t>
      </w:r>
      <w:r w:rsidRPr="00773F2A">
        <w:t>ao</w:t>
      </w:r>
      <w:r w:rsidRPr="00773F2A">
        <w:rPr>
          <w:spacing w:val="-18"/>
        </w:rPr>
        <w:t xml:space="preserve"> </w:t>
      </w:r>
      <w:r w:rsidRPr="00773F2A">
        <w:t>enriquecimento</w:t>
      </w:r>
      <w:r w:rsidRPr="00773F2A">
        <w:rPr>
          <w:spacing w:val="-18"/>
        </w:rPr>
        <w:t xml:space="preserve"> </w:t>
      </w:r>
      <w:r w:rsidRPr="00773F2A">
        <w:t>por</w:t>
      </w:r>
      <w:r w:rsidRPr="00773F2A">
        <w:rPr>
          <w:spacing w:val="-17"/>
        </w:rPr>
        <w:t xml:space="preserve"> </w:t>
      </w:r>
      <w:r w:rsidRPr="00773F2A">
        <w:t>nutrientes</w:t>
      </w:r>
      <w:r w:rsidRPr="00773F2A">
        <w:rPr>
          <w:spacing w:val="-18"/>
        </w:rPr>
        <w:t xml:space="preserve"> </w:t>
      </w:r>
      <w:r w:rsidRPr="00773F2A">
        <w:t>e</w:t>
      </w:r>
      <w:r w:rsidRPr="00773F2A">
        <w:rPr>
          <w:spacing w:val="-18"/>
        </w:rPr>
        <w:t xml:space="preserve"> </w:t>
      </w:r>
      <w:r w:rsidRPr="00773F2A">
        <w:t>seu</w:t>
      </w:r>
      <w:r w:rsidRPr="00773F2A">
        <w:rPr>
          <w:spacing w:val="-18"/>
        </w:rPr>
        <w:t xml:space="preserve"> </w:t>
      </w:r>
      <w:r w:rsidRPr="00773F2A">
        <w:t>efeito</w:t>
      </w:r>
      <w:r w:rsidRPr="00773F2A">
        <w:rPr>
          <w:spacing w:val="-18"/>
        </w:rPr>
        <w:t xml:space="preserve"> </w:t>
      </w:r>
      <w:r w:rsidRPr="00773F2A">
        <w:t>relacionado</w:t>
      </w:r>
      <w:r w:rsidRPr="00773F2A">
        <w:rPr>
          <w:spacing w:val="-17"/>
        </w:rPr>
        <w:t xml:space="preserve"> </w:t>
      </w:r>
      <w:r w:rsidRPr="00773F2A">
        <w:t>ao crescimento</w:t>
      </w:r>
      <w:r w:rsidRPr="00773F2A">
        <w:rPr>
          <w:spacing w:val="-19"/>
        </w:rPr>
        <w:t xml:space="preserve"> </w:t>
      </w:r>
      <w:r w:rsidRPr="00773F2A">
        <w:t>excessivo</w:t>
      </w:r>
      <w:r w:rsidRPr="00773F2A">
        <w:rPr>
          <w:spacing w:val="-19"/>
        </w:rPr>
        <w:t xml:space="preserve"> </w:t>
      </w:r>
      <w:r w:rsidRPr="00773F2A">
        <w:t>das</w:t>
      </w:r>
      <w:r w:rsidRPr="00773F2A">
        <w:rPr>
          <w:spacing w:val="-19"/>
        </w:rPr>
        <w:t xml:space="preserve"> </w:t>
      </w:r>
      <w:r w:rsidRPr="00773F2A">
        <w:t>algas</w:t>
      </w:r>
      <w:r w:rsidRPr="00773F2A">
        <w:rPr>
          <w:spacing w:val="-19"/>
        </w:rPr>
        <w:t xml:space="preserve"> </w:t>
      </w:r>
      <w:r w:rsidRPr="00773F2A">
        <w:t>e</w:t>
      </w:r>
      <w:r w:rsidRPr="00773F2A">
        <w:rPr>
          <w:spacing w:val="-19"/>
        </w:rPr>
        <w:t xml:space="preserve"> </w:t>
      </w:r>
      <w:r w:rsidRPr="00773F2A">
        <w:t>cianobactérias. No</w:t>
      </w:r>
      <w:r w:rsidR="00472518">
        <w:t xml:space="preserve"> cálculo desse índice são utiliz</w:t>
      </w:r>
      <w:r w:rsidRPr="00773F2A">
        <w:t>adas as concentrações de clorofila</w:t>
      </w:r>
      <w:r w:rsidRPr="00773F2A">
        <w:rPr>
          <w:spacing w:val="-18"/>
        </w:rPr>
        <w:t xml:space="preserve"> </w:t>
      </w:r>
      <w:r w:rsidRPr="00773F2A">
        <w:t>a</w:t>
      </w:r>
      <w:r w:rsidRPr="00773F2A">
        <w:rPr>
          <w:spacing w:val="-18"/>
        </w:rPr>
        <w:t xml:space="preserve"> </w:t>
      </w:r>
      <w:r w:rsidRPr="00773F2A">
        <w:t>e</w:t>
      </w:r>
      <w:r w:rsidRPr="00773F2A">
        <w:rPr>
          <w:spacing w:val="-17"/>
        </w:rPr>
        <w:t xml:space="preserve"> </w:t>
      </w:r>
      <w:r w:rsidRPr="00773F2A">
        <w:t>fósforo</w:t>
      </w:r>
      <w:r w:rsidRPr="00773F2A">
        <w:rPr>
          <w:spacing w:val="-18"/>
        </w:rPr>
        <w:t xml:space="preserve"> </w:t>
      </w:r>
      <w:r w:rsidRPr="00773F2A">
        <w:t>total,</w:t>
      </w:r>
      <w:r w:rsidRPr="00773F2A">
        <w:rPr>
          <w:spacing w:val="-17"/>
        </w:rPr>
        <w:t xml:space="preserve"> </w:t>
      </w:r>
      <w:r w:rsidRPr="00773F2A">
        <w:t>uma</w:t>
      </w:r>
      <w:r w:rsidRPr="00773F2A">
        <w:rPr>
          <w:spacing w:val="-18"/>
        </w:rPr>
        <w:t xml:space="preserve"> </w:t>
      </w:r>
      <w:r w:rsidRPr="00773F2A">
        <w:t>vez</w:t>
      </w:r>
      <w:r w:rsidRPr="00773F2A">
        <w:rPr>
          <w:spacing w:val="-17"/>
        </w:rPr>
        <w:t xml:space="preserve"> </w:t>
      </w:r>
      <w:r w:rsidRPr="00773F2A">
        <w:t>que</w:t>
      </w:r>
      <w:r w:rsidRPr="00773F2A">
        <w:rPr>
          <w:spacing w:val="-18"/>
        </w:rPr>
        <w:t xml:space="preserve"> </w:t>
      </w:r>
      <w:r w:rsidRPr="00773F2A">
        <w:t>os</w:t>
      </w:r>
      <w:r w:rsidRPr="00773F2A">
        <w:rPr>
          <w:spacing w:val="-17"/>
        </w:rPr>
        <w:t xml:space="preserve"> </w:t>
      </w:r>
      <w:r w:rsidRPr="00773F2A">
        <w:t>valores</w:t>
      </w:r>
      <w:r w:rsidRPr="00773F2A">
        <w:rPr>
          <w:spacing w:val="-18"/>
        </w:rPr>
        <w:t xml:space="preserve"> </w:t>
      </w:r>
      <w:r w:rsidRPr="00773F2A">
        <w:t>de</w:t>
      </w:r>
      <w:r w:rsidRPr="00773F2A">
        <w:rPr>
          <w:spacing w:val="-17"/>
        </w:rPr>
        <w:t xml:space="preserve"> </w:t>
      </w:r>
      <w:r w:rsidRPr="00773F2A">
        <w:t>transparência</w:t>
      </w:r>
      <w:r w:rsidRPr="00773F2A">
        <w:rPr>
          <w:spacing w:val="-18"/>
        </w:rPr>
        <w:t xml:space="preserve"> </w:t>
      </w:r>
      <w:r w:rsidRPr="00773F2A">
        <w:t>muitas</w:t>
      </w:r>
      <w:r w:rsidRPr="00773F2A">
        <w:rPr>
          <w:spacing w:val="-18"/>
        </w:rPr>
        <w:t xml:space="preserve"> </w:t>
      </w:r>
      <w:r w:rsidRPr="00773F2A">
        <w:t>vezes</w:t>
      </w:r>
      <w:r w:rsidRPr="00773F2A">
        <w:rPr>
          <w:spacing w:val="-17"/>
        </w:rPr>
        <w:t xml:space="preserve"> </w:t>
      </w:r>
      <w:r w:rsidRPr="00773F2A">
        <w:t>não</w:t>
      </w:r>
      <w:r w:rsidRPr="00773F2A">
        <w:rPr>
          <w:spacing w:val="-18"/>
        </w:rPr>
        <w:t xml:space="preserve"> </w:t>
      </w:r>
      <w:r w:rsidRPr="00773F2A">
        <w:t>são</w:t>
      </w:r>
      <w:r w:rsidRPr="00773F2A">
        <w:rPr>
          <w:spacing w:val="-17"/>
        </w:rPr>
        <w:t xml:space="preserve"> </w:t>
      </w:r>
      <w:r w:rsidRPr="00773F2A">
        <w:t>representativos do</w:t>
      </w:r>
      <w:r w:rsidRPr="00773F2A">
        <w:rPr>
          <w:spacing w:val="-17"/>
        </w:rPr>
        <w:t xml:space="preserve"> </w:t>
      </w:r>
      <w:r w:rsidRPr="00773F2A">
        <w:t>estado</w:t>
      </w:r>
      <w:r w:rsidRPr="00773F2A">
        <w:rPr>
          <w:spacing w:val="-16"/>
        </w:rPr>
        <w:t xml:space="preserve"> </w:t>
      </w:r>
      <w:r w:rsidRPr="00773F2A">
        <w:t>de</w:t>
      </w:r>
      <w:r w:rsidRPr="00773F2A">
        <w:rPr>
          <w:spacing w:val="-16"/>
        </w:rPr>
        <w:t xml:space="preserve"> </w:t>
      </w:r>
      <w:r w:rsidRPr="00773F2A">
        <w:t>trofia,</w:t>
      </w:r>
      <w:r w:rsidRPr="00773F2A">
        <w:rPr>
          <w:spacing w:val="-16"/>
        </w:rPr>
        <w:t xml:space="preserve"> </w:t>
      </w:r>
      <w:r w:rsidRPr="00773F2A">
        <w:t>pois</w:t>
      </w:r>
      <w:r w:rsidRPr="00773F2A">
        <w:rPr>
          <w:spacing w:val="-16"/>
        </w:rPr>
        <w:t xml:space="preserve"> </w:t>
      </w:r>
      <w:r w:rsidRPr="00773F2A">
        <w:t>este</w:t>
      </w:r>
      <w:r>
        <w:t>s</w:t>
      </w:r>
      <w:r w:rsidRPr="00773F2A">
        <w:rPr>
          <w:spacing w:val="-16"/>
        </w:rPr>
        <w:t xml:space="preserve"> </w:t>
      </w:r>
      <w:r w:rsidRPr="00773F2A">
        <w:t>pode</w:t>
      </w:r>
      <w:r>
        <w:t>m</w:t>
      </w:r>
      <w:r w:rsidRPr="00773F2A">
        <w:rPr>
          <w:spacing w:val="-17"/>
        </w:rPr>
        <w:t xml:space="preserve"> </w:t>
      </w:r>
      <w:r w:rsidRPr="00773F2A">
        <w:t>ser</w:t>
      </w:r>
      <w:r w:rsidRPr="00773F2A">
        <w:rPr>
          <w:spacing w:val="-16"/>
        </w:rPr>
        <w:t xml:space="preserve"> </w:t>
      </w:r>
      <w:r>
        <w:t>afetados</w:t>
      </w:r>
      <w:r w:rsidRPr="00773F2A">
        <w:rPr>
          <w:spacing w:val="-16"/>
        </w:rPr>
        <w:t xml:space="preserve"> </w:t>
      </w:r>
      <w:r w:rsidRPr="00773F2A">
        <w:t>pela</w:t>
      </w:r>
      <w:r w:rsidRPr="00773F2A">
        <w:rPr>
          <w:spacing w:val="-16"/>
        </w:rPr>
        <w:t xml:space="preserve"> </w:t>
      </w:r>
      <w:r w:rsidRPr="00773F2A">
        <w:t>elevada</w:t>
      </w:r>
      <w:r w:rsidRPr="00773F2A">
        <w:rPr>
          <w:spacing w:val="-16"/>
        </w:rPr>
        <w:t xml:space="preserve"> </w:t>
      </w:r>
      <w:r w:rsidRPr="00773F2A">
        <w:t>turbidez</w:t>
      </w:r>
      <w:r w:rsidRPr="00773F2A">
        <w:rPr>
          <w:spacing w:val="-16"/>
        </w:rPr>
        <w:t xml:space="preserve"> </w:t>
      </w:r>
      <w:r w:rsidRPr="00773F2A">
        <w:t>decorrente</w:t>
      </w:r>
      <w:r w:rsidRPr="00773F2A">
        <w:rPr>
          <w:spacing w:val="-17"/>
        </w:rPr>
        <w:t xml:space="preserve"> </w:t>
      </w:r>
      <w:r w:rsidRPr="00773F2A">
        <w:t>de</w:t>
      </w:r>
      <w:r w:rsidRPr="00773F2A">
        <w:rPr>
          <w:spacing w:val="-16"/>
        </w:rPr>
        <w:t xml:space="preserve"> </w:t>
      </w:r>
      <w:r w:rsidRPr="00773F2A">
        <w:t>material</w:t>
      </w:r>
      <w:r w:rsidRPr="00773F2A">
        <w:rPr>
          <w:spacing w:val="-16"/>
        </w:rPr>
        <w:t xml:space="preserve"> </w:t>
      </w:r>
      <w:r w:rsidRPr="00773F2A">
        <w:t>mineral</w:t>
      </w:r>
      <w:r w:rsidRPr="00773F2A">
        <w:rPr>
          <w:spacing w:val="-16"/>
        </w:rPr>
        <w:t xml:space="preserve"> </w:t>
      </w:r>
      <w:r w:rsidRPr="00773F2A">
        <w:t>em suspensão</w:t>
      </w:r>
      <w:r w:rsidRPr="00773F2A">
        <w:rPr>
          <w:spacing w:val="-21"/>
        </w:rPr>
        <w:t xml:space="preserve"> </w:t>
      </w:r>
      <w:r w:rsidRPr="00773F2A">
        <w:t>e</w:t>
      </w:r>
      <w:r w:rsidRPr="00773F2A">
        <w:rPr>
          <w:spacing w:val="-21"/>
        </w:rPr>
        <w:t xml:space="preserve"> </w:t>
      </w:r>
      <w:r w:rsidRPr="00773F2A">
        <w:t>não</w:t>
      </w:r>
      <w:r w:rsidRPr="00773F2A">
        <w:rPr>
          <w:spacing w:val="-21"/>
        </w:rPr>
        <w:t xml:space="preserve"> </w:t>
      </w:r>
      <w:r w:rsidRPr="00773F2A">
        <w:t>apenas</w:t>
      </w:r>
      <w:r w:rsidRPr="00773F2A">
        <w:rPr>
          <w:spacing w:val="-21"/>
        </w:rPr>
        <w:t xml:space="preserve"> </w:t>
      </w:r>
      <w:r w:rsidRPr="00773F2A">
        <w:t>pela</w:t>
      </w:r>
      <w:r w:rsidRPr="00773F2A">
        <w:rPr>
          <w:spacing w:val="-21"/>
        </w:rPr>
        <w:t xml:space="preserve"> </w:t>
      </w:r>
      <w:r w:rsidRPr="00773F2A">
        <w:t>densidade</w:t>
      </w:r>
      <w:r w:rsidRPr="00773F2A">
        <w:rPr>
          <w:spacing w:val="-20"/>
        </w:rPr>
        <w:t xml:space="preserve"> </w:t>
      </w:r>
      <w:r w:rsidRPr="00773F2A">
        <w:t>de</w:t>
      </w:r>
      <w:r w:rsidRPr="00773F2A">
        <w:rPr>
          <w:spacing w:val="-21"/>
        </w:rPr>
        <w:t xml:space="preserve"> </w:t>
      </w:r>
      <w:r w:rsidRPr="00773F2A">
        <w:t>organismos</w:t>
      </w:r>
      <w:r w:rsidRPr="00773F2A">
        <w:rPr>
          <w:spacing w:val="-21"/>
        </w:rPr>
        <w:t xml:space="preserve"> </w:t>
      </w:r>
      <w:r w:rsidRPr="00773F2A">
        <w:t>planctônicos,</w:t>
      </w:r>
      <w:r w:rsidRPr="00773F2A">
        <w:rPr>
          <w:spacing w:val="-21"/>
        </w:rPr>
        <w:t xml:space="preserve"> </w:t>
      </w:r>
      <w:r w:rsidRPr="00773F2A">
        <w:t>além</w:t>
      </w:r>
      <w:r w:rsidRPr="00773F2A">
        <w:rPr>
          <w:spacing w:val="-21"/>
        </w:rPr>
        <w:t xml:space="preserve"> </w:t>
      </w:r>
      <w:r w:rsidRPr="00773F2A">
        <w:t>de</w:t>
      </w:r>
      <w:r w:rsidRPr="00773F2A">
        <w:rPr>
          <w:spacing w:val="-20"/>
        </w:rPr>
        <w:t xml:space="preserve"> </w:t>
      </w:r>
      <w:r w:rsidRPr="00773F2A">
        <w:t>muitas</w:t>
      </w:r>
      <w:r w:rsidRPr="00773F2A">
        <w:rPr>
          <w:spacing w:val="-21"/>
        </w:rPr>
        <w:t xml:space="preserve"> </w:t>
      </w:r>
      <w:r w:rsidRPr="00773F2A">
        <w:t>vezes</w:t>
      </w:r>
      <w:r w:rsidRPr="00773F2A">
        <w:rPr>
          <w:spacing w:val="-21"/>
        </w:rPr>
        <w:t xml:space="preserve"> </w:t>
      </w:r>
      <w:r w:rsidRPr="00773F2A">
        <w:t>não</w:t>
      </w:r>
      <w:r w:rsidRPr="00773F2A">
        <w:rPr>
          <w:spacing w:val="-21"/>
        </w:rPr>
        <w:t xml:space="preserve"> </w:t>
      </w:r>
      <w:r w:rsidRPr="00773F2A">
        <w:t>se</w:t>
      </w:r>
      <w:r w:rsidRPr="00773F2A">
        <w:rPr>
          <w:spacing w:val="-21"/>
        </w:rPr>
        <w:t xml:space="preserve"> </w:t>
      </w:r>
      <w:r>
        <w:t>dispor dessa</w:t>
      </w:r>
      <w:r w:rsidRPr="00773F2A">
        <w:t>s</w:t>
      </w:r>
      <w:r w:rsidRPr="00773F2A">
        <w:rPr>
          <w:spacing w:val="-16"/>
        </w:rPr>
        <w:t xml:space="preserve"> </w:t>
      </w:r>
      <w:r>
        <w:t>informações</w:t>
      </w:r>
      <w:r w:rsidRPr="00773F2A">
        <w:t>.</w:t>
      </w:r>
    </w:p>
    <w:p w:rsidR="00212C0B" w:rsidRPr="00773F2A" w:rsidRDefault="00212C0B" w:rsidP="00212C0B">
      <w:r w:rsidRPr="00773F2A">
        <w:t>O</w:t>
      </w:r>
      <w:r w:rsidRPr="00773F2A">
        <w:rPr>
          <w:spacing w:val="-22"/>
        </w:rPr>
        <w:t xml:space="preserve"> </w:t>
      </w:r>
      <w:r w:rsidRPr="00773F2A">
        <w:t>Índice</w:t>
      </w:r>
      <w:r w:rsidRPr="00773F2A">
        <w:rPr>
          <w:spacing w:val="-21"/>
        </w:rPr>
        <w:t xml:space="preserve"> </w:t>
      </w:r>
      <w:r w:rsidRPr="00773F2A">
        <w:t>do</w:t>
      </w:r>
      <w:r w:rsidRPr="00773F2A">
        <w:rPr>
          <w:spacing w:val="-21"/>
        </w:rPr>
        <w:t xml:space="preserve"> </w:t>
      </w:r>
      <w:r w:rsidRPr="00773F2A">
        <w:t>Estado</w:t>
      </w:r>
      <w:r w:rsidRPr="00773F2A">
        <w:rPr>
          <w:spacing w:val="-21"/>
        </w:rPr>
        <w:t xml:space="preserve"> </w:t>
      </w:r>
      <w:r w:rsidRPr="00773F2A">
        <w:t>Trófico</w:t>
      </w:r>
      <w:r>
        <w:t xml:space="preserve"> </w:t>
      </w:r>
      <w:r>
        <w:rPr>
          <w:rFonts w:asciiTheme="minorHAnsi" w:hAnsiTheme="minorHAnsi"/>
          <w:spacing w:val="-3"/>
        </w:rPr>
        <w:t>(</w:t>
      </w:r>
      <w:r w:rsidRPr="009D54F6">
        <w:t>CETESB, 2014</w:t>
      </w:r>
      <w:r>
        <w:rPr>
          <w:rFonts w:asciiTheme="minorHAnsi" w:hAnsiTheme="minorHAnsi"/>
          <w:spacing w:val="-3"/>
        </w:rPr>
        <w:t>)</w:t>
      </w:r>
      <w:r w:rsidR="00420418">
        <w:rPr>
          <w:rFonts w:asciiTheme="minorHAnsi" w:hAnsiTheme="minorHAnsi"/>
          <w:spacing w:val="-3"/>
        </w:rPr>
        <w:t>,</w:t>
      </w:r>
      <w:r w:rsidRPr="00773F2A">
        <w:rPr>
          <w:spacing w:val="-22"/>
        </w:rPr>
        <w:t xml:space="preserve"> </w:t>
      </w:r>
      <w:r w:rsidRPr="00773F2A">
        <w:t>apresentado</w:t>
      </w:r>
      <w:r w:rsidRPr="00773F2A">
        <w:rPr>
          <w:spacing w:val="-21"/>
        </w:rPr>
        <w:t xml:space="preserve"> </w:t>
      </w:r>
      <w:r w:rsidRPr="00773F2A">
        <w:t>e</w:t>
      </w:r>
      <w:r w:rsidRPr="00773F2A">
        <w:rPr>
          <w:spacing w:val="-21"/>
        </w:rPr>
        <w:t xml:space="preserve"> </w:t>
      </w:r>
      <w:r w:rsidRPr="00773F2A">
        <w:t>utilizado</w:t>
      </w:r>
      <w:r w:rsidRPr="00773F2A">
        <w:rPr>
          <w:spacing w:val="-21"/>
        </w:rPr>
        <w:t xml:space="preserve"> </w:t>
      </w:r>
      <w:r w:rsidRPr="00773F2A">
        <w:t>no</w:t>
      </w:r>
      <w:r w:rsidRPr="00773F2A">
        <w:rPr>
          <w:spacing w:val="-21"/>
        </w:rPr>
        <w:t xml:space="preserve"> </w:t>
      </w:r>
      <w:r w:rsidRPr="00773F2A">
        <w:t>cálculo</w:t>
      </w:r>
      <w:r w:rsidRPr="00773F2A">
        <w:rPr>
          <w:spacing w:val="-22"/>
        </w:rPr>
        <w:t xml:space="preserve"> </w:t>
      </w:r>
      <w:r w:rsidRPr="00773F2A">
        <w:t>do</w:t>
      </w:r>
      <w:r w:rsidRPr="00773F2A">
        <w:rPr>
          <w:spacing w:val="-21"/>
        </w:rPr>
        <w:t xml:space="preserve"> </w:t>
      </w:r>
      <w:r w:rsidR="00420418">
        <w:t>IVA</w:t>
      </w:r>
      <w:r w:rsidRPr="00773F2A">
        <w:rPr>
          <w:spacing w:val="-21"/>
        </w:rPr>
        <w:t xml:space="preserve"> </w:t>
      </w:r>
      <w:r>
        <w:t>é</w:t>
      </w:r>
      <w:r w:rsidRPr="00773F2A">
        <w:rPr>
          <w:spacing w:val="-21"/>
        </w:rPr>
        <w:t xml:space="preserve"> </w:t>
      </w:r>
      <w:r w:rsidRPr="00773F2A">
        <w:t>composto</w:t>
      </w:r>
      <w:r w:rsidRPr="00773F2A">
        <w:rPr>
          <w:spacing w:val="-22"/>
        </w:rPr>
        <w:t xml:space="preserve"> </w:t>
      </w:r>
      <w:r w:rsidRPr="00773F2A">
        <w:t>pelo</w:t>
      </w:r>
      <w:r w:rsidRPr="00773F2A">
        <w:rPr>
          <w:spacing w:val="-21"/>
        </w:rPr>
        <w:t xml:space="preserve"> </w:t>
      </w:r>
      <w:r w:rsidRPr="00773F2A">
        <w:t>Índice</w:t>
      </w:r>
      <w:r w:rsidRPr="00773F2A">
        <w:rPr>
          <w:spacing w:val="-21"/>
        </w:rPr>
        <w:t xml:space="preserve"> </w:t>
      </w:r>
      <w:r w:rsidRPr="00773F2A">
        <w:t>do Estado</w:t>
      </w:r>
      <w:r w:rsidRPr="00773F2A">
        <w:rPr>
          <w:spacing w:val="-25"/>
        </w:rPr>
        <w:t xml:space="preserve"> </w:t>
      </w:r>
      <w:r w:rsidRPr="00773F2A">
        <w:t>Trófico</w:t>
      </w:r>
      <w:r w:rsidRPr="00773F2A">
        <w:rPr>
          <w:spacing w:val="-24"/>
        </w:rPr>
        <w:t xml:space="preserve"> </w:t>
      </w:r>
      <w:r w:rsidRPr="00773F2A">
        <w:t>para</w:t>
      </w:r>
      <w:r w:rsidRPr="00773F2A">
        <w:rPr>
          <w:spacing w:val="-25"/>
        </w:rPr>
        <w:t xml:space="preserve"> </w:t>
      </w:r>
      <w:r w:rsidRPr="00773F2A">
        <w:t>o</w:t>
      </w:r>
      <w:r w:rsidRPr="00773F2A">
        <w:rPr>
          <w:spacing w:val="-24"/>
        </w:rPr>
        <w:t xml:space="preserve"> </w:t>
      </w:r>
      <w:r w:rsidRPr="00773F2A">
        <w:t>fósforo</w:t>
      </w:r>
      <w:r w:rsidRPr="00773F2A">
        <w:rPr>
          <w:spacing w:val="-24"/>
        </w:rPr>
        <w:t xml:space="preserve"> </w:t>
      </w:r>
      <w:r w:rsidRPr="00773F2A">
        <w:t>–</w:t>
      </w:r>
      <w:r w:rsidRPr="00773F2A">
        <w:rPr>
          <w:spacing w:val="-25"/>
        </w:rPr>
        <w:t xml:space="preserve"> </w:t>
      </w:r>
      <w:r w:rsidRPr="00773F2A">
        <w:t>IET(PT)</w:t>
      </w:r>
      <w:r w:rsidRPr="00773F2A">
        <w:rPr>
          <w:spacing w:val="-24"/>
        </w:rPr>
        <w:t xml:space="preserve"> </w:t>
      </w:r>
      <w:r w:rsidRPr="00773F2A">
        <w:t>e</w:t>
      </w:r>
      <w:r w:rsidRPr="00773F2A">
        <w:rPr>
          <w:spacing w:val="-24"/>
        </w:rPr>
        <w:t xml:space="preserve"> </w:t>
      </w:r>
      <w:r w:rsidRPr="00773F2A">
        <w:t>o</w:t>
      </w:r>
      <w:r w:rsidRPr="00773F2A">
        <w:rPr>
          <w:spacing w:val="-25"/>
        </w:rPr>
        <w:t xml:space="preserve"> </w:t>
      </w:r>
      <w:r w:rsidRPr="00773F2A">
        <w:t>Índice</w:t>
      </w:r>
      <w:r w:rsidRPr="00773F2A">
        <w:rPr>
          <w:spacing w:val="-24"/>
        </w:rPr>
        <w:t xml:space="preserve"> </w:t>
      </w:r>
      <w:r w:rsidRPr="00773F2A">
        <w:t>do</w:t>
      </w:r>
      <w:r w:rsidRPr="00773F2A">
        <w:rPr>
          <w:spacing w:val="-24"/>
        </w:rPr>
        <w:t xml:space="preserve"> </w:t>
      </w:r>
      <w:r w:rsidRPr="00773F2A">
        <w:t>Estado</w:t>
      </w:r>
      <w:r w:rsidRPr="00773F2A">
        <w:rPr>
          <w:spacing w:val="-25"/>
        </w:rPr>
        <w:t xml:space="preserve"> </w:t>
      </w:r>
      <w:r w:rsidRPr="00773F2A">
        <w:t>Trófico</w:t>
      </w:r>
      <w:r w:rsidRPr="00773F2A">
        <w:rPr>
          <w:spacing w:val="-24"/>
        </w:rPr>
        <w:t xml:space="preserve"> </w:t>
      </w:r>
      <w:r w:rsidRPr="00773F2A">
        <w:t>para</w:t>
      </w:r>
      <w:r w:rsidRPr="00773F2A">
        <w:rPr>
          <w:spacing w:val="-25"/>
        </w:rPr>
        <w:t xml:space="preserve"> </w:t>
      </w:r>
      <w:r w:rsidRPr="00773F2A">
        <w:t>a</w:t>
      </w:r>
      <w:r w:rsidRPr="00773F2A">
        <w:rPr>
          <w:spacing w:val="-24"/>
        </w:rPr>
        <w:t xml:space="preserve"> </w:t>
      </w:r>
      <w:r w:rsidRPr="00773F2A">
        <w:t>clorofila</w:t>
      </w:r>
      <w:r w:rsidRPr="00773F2A">
        <w:rPr>
          <w:spacing w:val="-23"/>
        </w:rPr>
        <w:t xml:space="preserve"> </w:t>
      </w:r>
      <w:r w:rsidRPr="00773F2A">
        <w:rPr>
          <w:rFonts w:cs="Calibri"/>
          <w:i/>
        </w:rPr>
        <w:t>a</w:t>
      </w:r>
      <w:r w:rsidRPr="00773F2A">
        <w:rPr>
          <w:rFonts w:cs="Calibri"/>
          <w:i/>
          <w:spacing w:val="-25"/>
        </w:rPr>
        <w:t xml:space="preserve"> </w:t>
      </w:r>
      <w:r w:rsidRPr="00773F2A">
        <w:t>–</w:t>
      </w:r>
      <w:r w:rsidRPr="00773F2A">
        <w:rPr>
          <w:spacing w:val="-24"/>
        </w:rPr>
        <w:t xml:space="preserve"> </w:t>
      </w:r>
      <w:r w:rsidRPr="00773F2A">
        <w:t>IET(CL),</w:t>
      </w:r>
      <w:r w:rsidRPr="00773F2A">
        <w:rPr>
          <w:spacing w:val="-24"/>
        </w:rPr>
        <w:t xml:space="preserve"> </w:t>
      </w:r>
      <w:r w:rsidRPr="00773F2A">
        <w:t>modificados por</w:t>
      </w:r>
      <w:r w:rsidRPr="00773F2A">
        <w:rPr>
          <w:spacing w:val="-16"/>
        </w:rPr>
        <w:t xml:space="preserve"> </w:t>
      </w:r>
      <w:r w:rsidRPr="00773F2A">
        <w:t>Lamparelli</w:t>
      </w:r>
      <w:r w:rsidRPr="00773F2A">
        <w:rPr>
          <w:spacing w:val="-16"/>
        </w:rPr>
        <w:t xml:space="preserve"> </w:t>
      </w:r>
      <w:r w:rsidRPr="00773F2A">
        <w:t>(2004),</w:t>
      </w:r>
      <w:r w:rsidRPr="00773F2A">
        <w:rPr>
          <w:spacing w:val="-16"/>
        </w:rPr>
        <w:t xml:space="preserve"> </w:t>
      </w:r>
      <w:r w:rsidRPr="00773F2A">
        <w:t>sendo</w:t>
      </w:r>
      <w:r w:rsidRPr="00773F2A">
        <w:rPr>
          <w:spacing w:val="-16"/>
        </w:rPr>
        <w:t xml:space="preserve"> </w:t>
      </w:r>
      <w:r w:rsidRPr="00773F2A">
        <w:t>estabelecidos</w:t>
      </w:r>
      <w:r w:rsidRPr="00773F2A">
        <w:rPr>
          <w:spacing w:val="-16"/>
        </w:rPr>
        <w:t xml:space="preserve"> </w:t>
      </w:r>
      <w:r w:rsidRPr="00773F2A">
        <w:t>para</w:t>
      </w:r>
      <w:r>
        <w:t xml:space="preserve"> diferentes</w:t>
      </w:r>
      <w:r w:rsidRPr="00773F2A">
        <w:rPr>
          <w:spacing w:val="-16"/>
        </w:rPr>
        <w:t xml:space="preserve"> </w:t>
      </w:r>
      <w:r w:rsidRPr="00773F2A">
        <w:t>ambientes</w:t>
      </w:r>
      <w:r w:rsidRPr="00773F2A">
        <w:rPr>
          <w:spacing w:val="-16"/>
        </w:rPr>
        <w:t xml:space="preserve"> </w:t>
      </w:r>
      <w:r w:rsidRPr="00773F2A">
        <w:t>segundo</w:t>
      </w:r>
      <w:r w:rsidRPr="00773F2A">
        <w:rPr>
          <w:spacing w:val="-16"/>
        </w:rPr>
        <w:t xml:space="preserve"> </w:t>
      </w:r>
      <w:r w:rsidRPr="00773F2A">
        <w:t>as</w:t>
      </w:r>
      <w:r w:rsidRPr="00773F2A">
        <w:rPr>
          <w:spacing w:val="-16"/>
        </w:rPr>
        <w:t xml:space="preserve"> </w:t>
      </w:r>
      <w:r w:rsidRPr="00773F2A">
        <w:t>equações:</w:t>
      </w:r>
    </w:p>
    <w:p w:rsidR="00212C0B" w:rsidRPr="00212C0B" w:rsidRDefault="00212C0B" w:rsidP="001B3804">
      <w:pPr>
        <w:keepNext/>
        <w:rPr>
          <w:b/>
          <w:bCs/>
        </w:rPr>
      </w:pPr>
      <w:r w:rsidRPr="00212C0B">
        <w:rPr>
          <w:b/>
        </w:rPr>
        <w:t>Rios</w:t>
      </w:r>
    </w:p>
    <w:p w:rsidR="00212C0B" w:rsidRPr="008440BF" w:rsidRDefault="00212C0B" w:rsidP="004532F6">
      <w:pPr>
        <w:jc w:val="center"/>
        <w:rPr>
          <w:rFonts w:eastAsia="Calibri" w:hAnsi="Calibri" w:cs="Calibri"/>
        </w:rPr>
      </w:pPr>
      <w:r w:rsidRPr="008440BF">
        <w:t>IET</w:t>
      </w:r>
      <w:r w:rsidRPr="008440BF">
        <w:rPr>
          <w:spacing w:val="4"/>
        </w:rPr>
        <w:t xml:space="preserve"> </w:t>
      </w:r>
      <w:r w:rsidRPr="008440BF">
        <w:t>(CL)</w:t>
      </w:r>
      <w:r w:rsidRPr="008440BF">
        <w:rPr>
          <w:spacing w:val="5"/>
        </w:rPr>
        <w:t xml:space="preserve"> </w:t>
      </w:r>
      <w:r w:rsidRPr="008440BF">
        <w:t>=</w:t>
      </w:r>
      <w:r w:rsidRPr="008440BF">
        <w:rPr>
          <w:spacing w:val="5"/>
        </w:rPr>
        <w:t xml:space="preserve"> </w:t>
      </w:r>
      <w:r w:rsidRPr="008440BF">
        <w:t>10x(6-((-0,7-0,6x(ln</w:t>
      </w:r>
      <w:r w:rsidRPr="008440BF">
        <w:rPr>
          <w:spacing w:val="4"/>
        </w:rPr>
        <w:t xml:space="preserve"> </w:t>
      </w:r>
      <w:r w:rsidRPr="008440BF">
        <w:t>CL))/ln</w:t>
      </w:r>
      <w:r w:rsidRPr="008440BF">
        <w:rPr>
          <w:spacing w:val="5"/>
        </w:rPr>
        <w:t xml:space="preserve"> </w:t>
      </w:r>
      <w:r w:rsidRPr="008440BF">
        <w:t>2))-20</w:t>
      </w:r>
    </w:p>
    <w:p w:rsidR="00212C0B" w:rsidRPr="001A666B" w:rsidRDefault="00212C0B" w:rsidP="004532F6">
      <w:pPr>
        <w:jc w:val="center"/>
        <w:rPr>
          <w:rFonts w:eastAsia="Calibri" w:hAnsi="Calibri" w:cs="Calibri"/>
          <w:lang w:val="en-US"/>
        </w:rPr>
      </w:pPr>
      <w:r w:rsidRPr="001A666B">
        <w:rPr>
          <w:lang w:val="en-US"/>
        </w:rPr>
        <w:t>IET</w:t>
      </w:r>
      <w:r w:rsidRPr="001A666B">
        <w:rPr>
          <w:spacing w:val="-2"/>
          <w:lang w:val="en-US"/>
        </w:rPr>
        <w:t xml:space="preserve"> </w:t>
      </w:r>
      <w:r w:rsidRPr="001A666B">
        <w:rPr>
          <w:lang w:val="en-US"/>
        </w:rPr>
        <w:t>(PT)</w:t>
      </w:r>
      <w:r w:rsidRPr="001A666B">
        <w:rPr>
          <w:spacing w:val="-2"/>
          <w:lang w:val="en-US"/>
        </w:rPr>
        <w:t xml:space="preserve"> </w:t>
      </w:r>
      <w:r w:rsidRPr="001A666B">
        <w:rPr>
          <w:lang w:val="en-US"/>
        </w:rPr>
        <w:t>=</w:t>
      </w:r>
      <w:r w:rsidRPr="001A666B">
        <w:rPr>
          <w:spacing w:val="-1"/>
          <w:lang w:val="en-US"/>
        </w:rPr>
        <w:t xml:space="preserve"> </w:t>
      </w:r>
      <w:r w:rsidRPr="001A666B">
        <w:rPr>
          <w:lang w:val="en-US"/>
        </w:rPr>
        <w:t>10x(6-((0,42-0,36x(ln</w:t>
      </w:r>
      <w:r w:rsidRPr="001A666B">
        <w:rPr>
          <w:spacing w:val="-2"/>
          <w:lang w:val="en-US"/>
        </w:rPr>
        <w:t xml:space="preserve"> </w:t>
      </w:r>
      <w:r w:rsidRPr="001A666B">
        <w:rPr>
          <w:lang w:val="en-US"/>
        </w:rPr>
        <w:t>PT))/ln</w:t>
      </w:r>
      <w:r w:rsidRPr="001A666B">
        <w:rPr>
          <w:spacing w:val="-2"/>
          <w:lang w:val="en-US"/>
        </w:rPr>
        <w:t xml:space="preserve"> </w:t>
      </w:r>
      <w:r w:rsidRPr="001A666B">
        <w:rPr>
          <w:lang w:val="en-US"/>
        </w:rPr>
        <w:t>2))-20</w:t>
      </w:r>
    </w:p>
    <w:p w:rsidR="00212C0B" w:rsidRPr="00212C0B" w:rsidRDefault="00212C0B" w:rsidP="001B3804">
      <w:pPr>
        <w:keepNext/>
        <w:rPr>
          <w:b/>
        </w:rPr>
      </w:pPr>
      <w:r w:rsidRPr="00212C0B">
        <w:rPr>
          <w:b/>
        </w:rPr>
        <w:t>Reservatórios</w:t>
      </w:r>
    </w:p>
    <w:p w:rsidR="00212C0B" w:rsidRPr="008440BF" w:rsidRDefault="00212C0B" w:rsidP="004532F6">
      <w:pPr>
        <w:jc w:val="center"/>
        <w:rPr>
          <w:rFonts w:eastAsia="Calibri" w:hAnsi="Calibri" w:cs="Calibri"/>
        </w:rPr>
      </w:pPr>
      <w:r w:rsidRPr="008440BF">
        <w:t>IET</w:t>
      </w:r>
      <w:r w:rsidRPr="008440BF">
        <w:rPr>
          <w:spacing w:val="3"/>
        </w:rPr>
        <w:t xml:space="preserve"> </w:t>
      </w:r>
      <w:r w:rsidRPr="008440BF">
        <w:t>(CL)</w:t>
      </w:r>
      <w:r w:rsidRPr="008440BF">
        <w:rPr>
          <w:spacing w:val="4"/>
        </w:rPr>
        <w:t xml:space="preserve"> </w:t>
      </w:r>
      <w:r w:rsidRPr="008440BF">
        <w:t>=</w:t>
      </w:r>
      <w:r w:rsidRPr="008440BF">
        <w:rPr>
          <w:spacing w:val="4"/>
        </w:rPr>
        <w:t xml:space="preserve"> </w:t>
      </w:r>
      <w:r w:rsidRPr="008440BF">
        <w:t>10x(6-((0,92-0,34x(ln</w:t>
      </w:r>
      <w:r w:rsidRPr="008440BF">
        <w:rPr>
          <w:spacing w:val="3"/>
        </w:rPr>
        <w:t xml:space="preserve"> </w:t>
      </w:r>
      <w:r w:rsidRPr="008440BF">
        <w:t>CL))/ln</w:t>
      </w:r>
      <w:r w:rsidRPr="008440BF">
        <w:rPr>
          <w:spacing w:val="4"/>
        </w:rPr>
        <w:t xml:space="preserve"> </w:t>
      </w:r>
      <w:r w:rsidRPr="008440BF">
        <w:t>2))</w:t>
      </w:r>
    </w:p>
    <w:p w:rsidR="00212C0B" w:rsidRPr="001A666B" w:rsidRDefault="00212C0B" w:rsidP="004532F6">
      <w:pPr>
        <w:jc w:val="center"/>
        <w:rPr>
          <w:rFonts w:eastAsia="Calibri" w:hAnsi="Calibri" w:cs="Calibri"/>
          <w:lang w:val="en-US"/>
        </w:rPr>
      </w:pPr>
      <w:r w:rsidRPr="001A666B">
        <w:rPr>
          <w:lang w:val="en-US"/>
        </w:rPr>
        <w:t>IET</w:t>
      </w:r>
      <w:r w:rsidRPr="001A666B">
        <w:rPr>
          <w:spacing w:val="2"/>
          <w:lang w:val="en-US"/>
        </w:rPr>
        <w:t xml:space="preserve"> </w:t>
      </w:r>
      <w:r w:rsidRPr="001A666B">
        <w:rPr>
          <w:lang w:val="en-US"/>
        </w:rPr>
        <w:t>(PT)</w:t>
      </w:r>
      <w:r w:rsidRPr="001A666B">
        <w:rPr>
          <w:spacing w:val="2"/>
          <w:lang w:val="en-US"/>
        </w:rPr>
        <w:t xml:space="preserve"> </w:t>
      </w:r>
      <w:r w:rsidRPr="001A666B">
        <w:rPr>
          <w:lang w:val="en-US"/>
        </w:rPr>
        <w:t>=</w:t>
      </w:r>
      <w:r w:rsidRPr="001A666B">
        <w:rPr>
          <w:spacing w:val="2"/>
          <w:lang w:val="en-US"/>
        </w:rPr>
        <w:t xml:space="preserve"> </w:t>
      </w:r>
      <w:r w:rsidRPr="001A666B">
        <w:rPr>
          <w:lang w:val="en-US"/>
        </w:rPr>
        <w:t>10x(6-(1,77-0,42x(ln</w:t>
      </w:r>
      <w:r w:rsidRPr="001A666B">
        <w:rPr>
          <w:spacing w:val="2"/>
          <w:lang w:val="en-US"/>
        </w:rPr>
        <w:t xml:space="preserve"> </w:t>
      </w:r>
      <w:r w:rsidRPr="001A666B">
        <w:rPr>
          <w:lang w:val="en-US"/>
        </w:rPr>
        <w:t>PT)/ln</w:t>
      </w:r>
      <w:r w:rsidRPr="001A666B">
        <w:rPr>
          <w:spacing w:val="2"/>
          <w:lang w:val="en-US"/>
        </w:rPr>
        <w:t xml:space="preserve"> </w:t>
      </w:r>
      <w:r w:rsidRPr="001A666B">
        <w:rPr>
          <w:lang w:val="en-US"/>
        </w:rPr>
        <w:t>2))</w:t>
      </w:r>
    </w:p>
    <w:p w:rsidR="00212C0B" w:rsidRPr="00773F2A" w:rsidRDefault="00212C0B" w:rsidP="00212C0B">
      <w:r w:rsidRPr="00773F2A">
        <w:t>onde:</w:t>
      </w:r>
    </w:p>
    <w:p w:rsidR="00212C0B" w:rsidRDefault="00212C0B" w:rsidP="00212C0B">
      <w:pPr>
        <w:rPr>
          <w:spacing w:val="24"/>
        </w:rPr>
      </w:pPr>
      <w:r w:rsidRPr="00773F2A">
        <w:rPr>
          <w:b/>
        </w:rPr>
        <w:t>PT:</w:t>
      </w:r>
      <w:r w:rsidRPr="00773F2A">
        <w:rPr>
          <w:b/>
          <w:spacing w:val="-7"/>
        </w:rPr>
        <w:t xml:space="preserve"> </w:t>
      </w:r>
      <w:r w:rsidRPr="00773F2A">
        <w:t>concentração</w:t>
      </w:r>
      <w:r w:rsidRPr="00773F2A">
        <w:rPr>
          <w:spacing w:val="-10"/>
        </w:rPr>
        <w:t xml:space="preserve"> </w:t>
      </w:r>
      <w:r w:rsidRPr="00773F2A">
        <w:t>de</w:t>
      </w:r>
      <w:r w:rsidRPr="00773F2A">
        <w:rPr>
          <w:spacing w:val="-10"/>
        </w:rPr>
        <w:t xml:space="preserve"> </w:t>
      </w:r>
      <w:r w:rsidRPr="00773F2A">
        <w:t>fósforo</w:t>
      </w:r>
      <w:r w:rsidRPr="00773F2A">
        <w:rPr>
          <w:spacing w:val="-10"/>
        </w:rPr>
        <w:t xml:space="preserve"> </w:t>
      </w:r>
      <w:r w:rsidRPr="00773F2A">
        <w:t>total</w:t>
      </w:r>
      <w:r w:rsidRPr="00773F2A">
        <w:rPr>
          <w:spacing w:val="-10"/>
        </w:rPr>
        <w:t xml:space="preserve"> </w:t>
      </w:r>
      <w:r w:rsidRPr="00773F2A">
        <w:t>medida</w:t>
      </w:r>
      <w:r w:rsidRPr="00773F2A">
        <w:rPr>
          <w:spacing w:val="-10"/>
        </w:rPr>
        <w:t xml:space="preserve"> </w:t>
      </w:r>
      <w:r w:rsidRPr="00773F2A">
        <w:t>à</w:t>
      </w:r>
      <w:r w:rsidRPr="00773F2A">
        <w:rPr>
          <w:spacing w:val="-10"/>
        </w:rPr>
        <w:t xml:space="preserve"> </w:t>
      </w:r>
      <w:r w:rsidRPr="00773F2A">
        <w:t>superfície</w:t>
      </w:r>
      <w:r w:rsidRPr="00773F2A">
        <w:rPr>
          <w:spacing w:val="-9"/>
        </w:rPr>
        <w:t xml:space="preserve"> </w:t>
      </w:r>
      <w:r w:rsidRPr="00773F2A">
        <w:t>da</w:t>
      </w:r>
      <w:r w:rsidRPr="00773F2A">
        <w:rPr>
          <w:spacing w:val="-10"/>
        </w:rPr>
        <w:t xml:space="preserve"> </w:t>
      </w:r>
      <w:r w:rsidRPr="00773F2A">
        <w:rPr>
          <w:spacing w:val="-1"/>
        </w:rPr>
        <w:t>água,</w:t>
      </w:r>
      <w:r w:rsidRPr="00773F2A">
        <w:rPr>
          <w:spacing w:val="-10"/>
        </w:rPr>
        <w:t xml:space="preserve"> </w:t>
      </w:r>
      <w:r w:rsidRPr="00773F2A">
        <w:t>em</w:t>
      </w:r>
      <w:r w:rsidRPr="00773F2A">
        <w:rPr>
          <w:spacing w:val="-10"/>
        </w:rPr>
        <w:t xml:space="preserve"> </w:t>
      </w:r>
      <w:r>
        <w:t>µg/</w:t>
      </w:r>
      <w:r w:rsidRPr="00773F2A">
        <w:t>L;</w:t>
      </w:r>
    </w:p>
    <w:p w:rsidR="00212C0B" w:rsidRDefault="00212C0B" w:rsidP="00212C0B">
      <w:pPr>
        <w:rPr>
          <w:spacing w:val="-1"/>
        </w:rPr>
      </w:pPr>
      <w:r w:rsidRPr="00773F2A">
        <w:rPr>
          <w:b/>
        </w:rPr>
        <w:t>CL:</w:t>
      </w:r>
      <w:r w:rsidRPr="00773F2A">
        <w:rPr>
          <w:b/>
          <w:spacing w:val="-4"/>
        </w:rPr>
        <w:t xml:space="preserve"> </w:t>
      </w:r>
      <w:r w:rsidRPr="00773F2A">
        <w:t>concentração</w:t>
      </w:r>
      <w:r w:rsidRPr="00773F2A">
        <w:rPr>
          <w:spacing w:val="-7"/>
        </w:rPr>
        <w:t xml:space="preserve"> </w:t>
      </w:r>
      <w:r w:rsidRPr="00773F2A">
        <w:t>de</w:t>
      </w:r>
      <w:r w:rsidRPr="00773F2A">
        <w:rPr>
          <w:spacing w:val="-6"/>
        </w:rPr>
        <w:t xml:space="preserve"> </w:t>
      </w:r>
      <w:r w:rsidRPr="00773F2A">
        <w:t>clorofila</w:t>
      </w:r>
      <w:r w:rsidRPr="00773F2A">
        <w:rPr>
          <w:spacing w:val="-7"/>
        </w:rPr>
        <w:t xml:space="preserve"> </w:t>
      </w:r>
      <w:r w:rsidRPr="00773F2A">
        <w:t>a</w:t>
      </w:r>
      <w:r w:rsidRPr="00773F2A">
        <w:rPr>
          <w:spacing w:val="-6"/>
        </w:rPr>
        <w:t xml:space="preserve"> </w:t>
      </w:r>
      <w:r w:rsidRPr="00773F2A">
        <w:t>medida</w:t>
      </w:r>
      <w:r w:rsidRPr="00773F2A">
        <w:rPr>
          <w:spacing w:val="-7"/>
        </w:rPr>
        <w:t xml:space="preserve"> </w:t>
      </w:r>
      <w:r w:rsidRPr="00773F2A">
        <w:t>à</w:t>
      </w:r>
      <w:r w:rsidRPr="00773F2A">
        <w:rPr>
          <w:spacing w:val="-7"/>
        </w:rPr>
        <w:t xml:space="preserve"> </w:t>
      </w:r>
      <w:r w:rsidRPr="00773F2A">
        <w:t>superfície</w:t>
      </w:r>
      <w:r w:rsidRPr="00773F2A">
        <w:rPr>
          <w:spacing w:val="-6"/>
        </w:rPr>
        <w:t xml:space="preserve"> </w:t>
      </w:r>
      <w:r w:rsidRPr="00773F2A">
        <w:t>da</w:t>
      </w:r>
      <w:r w:rsidRPr="00773F2A">
        <w:rPr>
          <w:spacing w:val="-7"/>
        </w:rPr>
        <w:t xml:space="preserve"> </w:t>
      </w:r>
      <w:r w:rsidRPr="00773F2A">
        <w:t>água,</w:t>
      </w:r>
      <w:r w:rsidRPr="00773F2A">
        <w:rPr>
          <w:spacing w:val="-6"/>
        </w:rPr>
        <w:t xml:space="preserve"> </w:t>
      </w:r>
      <w:r w:rsidRPr="00773F2A">
        <w:t>em</w:t>
      </w:r>
      <w:r w:rsidRPr="00773F2A">
        <w:rPr>
          <w:spacing w:val="-7"/>
        </w:rPr>
        <w:t xml:space="preserve"> </w:t>
      </w:r>
      <w:r w:rsidRPr="00773F2A">
        <w:rPr>
          <w:spacing w:val="-2"/>
        </w:rPr>
        <w:t>µ</w:t>
      </w:r>
      <w:r w:rsidRPr="00773F2A">
        <w:rPr>
          <w:spacing w:val="-1"/>
        </w:rPr>
        <w:t>g</w:t>
      </w:r>
      <w:r>
        <w:rPr>
          <w:spacing w:val="-1"/>
        </w:rPr>
        <w:t>/</w:t>
      </w:r>
      <w:r w:rsidRPr="00773F2A">
        <w:rPr>
          <w:spacing w:val="-1"/>
        </w:rPr>
        <w:t>L;</w:t>
      </w:r>
    </w:p>
    <w:p w:rsidR="00212C0B" w:rsidRPr="00773F2A" w:rsidRDefault="00212C0B" w:rsidP="00212C0B">
      <w:r w:rsidRPr="00773F2A">
        <w:rPr>
          <w:b/>
        </w:rPr>
        <w:t>ln:</w:t>
      </w:r>
      <w:r w:rsidRPr="00773F2A">
        <w:rPr>
          <w:b/>
          <w:spacing w:val="-15"/>
        </w:rPr>
        <w:t xml:space="preserve"> </w:t>
      </w:r>
      <w:r w:rsidRPr="00773F2A">
        <w:t>logaritmo</w:t>
      </w:r>
      <w:r w:rsidRPr="00773F2A">
        <w:rPr>
          <w:spacing w:val="-14"/>
        </w:rPr>
        <w:t xml:space="preserve"> </w:t>
      </w:r>
      <w:r w:rsidRPr="00773F2A">
        <w:t>natural.</w:t>
      </w:r>
    </w:p>
    <w:p w:rsidR="00212C0B" w:rsidRPr="00773F2A" w:rsidRDefault="00212C0B" w:rsidP="00212C0B">
      <w:r w:rsidRPr="00773F2A">
        <w:t>O</w:t>
      </w:r>
      <w:r w:rsidRPr="00773F2A">
        <w:rPr>
          <w:spacing w:val="-18"/>
        </w:rPr>
        <w:t xml:space="preserve"> </w:t>
      </w:r>
      <w:r w:rsidRPr="00773F2A">
        <w:t>resultado</w:t>
      </w:r>
      <w:r w:rsidRPr="00773F2A">
        <w:rPr>
          <w:spacing w:val="-18"/>
        </w:rPr>
        <w:t xml:space="preserve"> </w:t>
      </w:r>
      <w:r w:rsidRPr="00773F2A">
        <w:t>dos</w:t>
      </w:r>
      <w:r w:rsidRPr="00773F2A">
        <w:rPr>
          <w:spacing w:val="-18"/>
        </w:rPr>
        <w:t xml:space="preserve"> </w:t>
      </w:r>
      <w:r w:rsidRPr="00773F2A">
        <w:t>valores</w:t>
      </w:r>
      <w:r w:rsidRPr="00773F2A">
        <w:rPr>
          <w:spacing w:val="-18"/>
        </w:rPr>
        <w:t xml:space="preserve"> </w:t>
      </w:r>
      <w:r w:rsidRPr="00773F2A">
        <w:t>mensais</w:t>
      </w:r>
      <w:r w:rsidRPr="00773F2A">
        <w:rPr>
          <w:spacing w:val="-18"/>
        </w:rPr>
        <w:t xml:space="preserve"> </w:t>
      </w:r>
      <w:r w:rsidRPr="00773F2A">
        <w:t>apresentados</w:t>
      </w:r>
      <w:r w:rsidRPr="00773F2A">
        <w:rPr>
          <w:spacing w:val="-18"/>
        </w:rPr>
        <w:t xml:space="preserve"> </w:t>
      </w:r>
      <w:r w:rsidRPr="00773F2A">
        <w:t>nas</w:t>
      </w:r>
      <w:r w:rsidRPr="00773F2A">
        <w:rPr>
          <w:spacing w:val="-18"/>
        </w:rPr>
        <w:t xml:space="preserve"> </w:t>
      </w:r>
      <w:r w:rsidRPr="00773F2A">
        <w:t>tabelas</w:t>
      </w:r>
      <w:r w:rsidRPr="00773F2A">
        <w:rPr>
          <w:spacing w:val="-18"/>
        </w:rPr>
        <w:t xml:space="preserve"> </w:t>
      </w:r>
      <w:r w:rsidRPr="00773F2A">
        <w:t>do</w:t>
      </w:r>
      <w:r w:rsidRPr="00773F2A">
        <w:rPr>
          <w:spacing w:val="-17"/>
        </w:rPr>
        <w:t xml:space="preserve"> </w:t>
      </w:r>
      <w:r w:rsidRPr="00773F2A">
        <w:t>IET</w:t>
      </w:r>
      <w:r w:rsidRPr="00773F2A">
        <w:rPr>
          <w:spacing w:val="-18"/>
        </w:rPr>
        <w:t xml:space="preserve"> </w:t>
      </w:r>
      <w:r>
        <w:t xml:space="preserve">é </w:t>
      </w:r>
      <w:r w:rsidRPr="00773F2A">
        <w:t>a</w:t>
      </w:r>
      <w:r w:rsidRPr="00773F2A">
        <w:rPr>
          <w:spacing w:val="-18"/>
        </w:rPr>
        <w:t xml:space="preserve"> </w:t>
      </w:r>
      <w:r w:rsidRPr="00773F2A">
        <w:t>média</w:t>
      </w:r>
      <w:r w:rsidRPr="00773F2A">
        <w:rPr>
          <w:spacing w:val="-18"/>
        </w:rPr>
        <w:t xml:space="preserve"> </w:t>
      </w:r>
      <w:r w:rsidRPr="00773F2A">
        <w:t>aritmética</w:t>
      </w:r>
      <w:r w:rsidRPr="00773F2A">
        <w:rPr>
          <w:spacing w:val="-18"/>
        </w:rPr>
        <w:t xml:space="preserve"> </w:t>
      </w:r>
      <w:r w:rsidRPr="00773F2A">
        <w:t>simples, com</w:t>
      </w:r>
      <w:r w:rsidRPr="00773F2A">
        <w:rPr>
          <w:spacing w:val="-11"/>
        </w:rPr>
        <w:t xml:space="preserve"> </w:t>
      </w:r>
      <w:r w:rsidRPr="00773F2A">
        <w:t>arredondamento</w:t>
      </w:r>
      <w:r w:rsidRPr="00773F2A">
        <w:rPr>
          <w:spacing w:val="-10"/>
        </w:rPr>
        <w:t xml:space="preserve"> </w:t>
      </w:r>
      <w:r w:rsidRPr="00773F2A">
        <w:t>da</w:t>
      </w:r>
      <w:r w:rsidRPr="00773F2A">
        <w:rPr>
          <w:spacing w:val="-10"/>
        </w:rPr>
        <w:t xml:space="preserve"> </w:t>
      </w:r>
      <w:r w:rsidRPr="00773F2A">
        <w:t>primeira</w:t>
      </w:r>
      <w:r w:rsidRPr="00773F2A">
        <w:rPr>
          <w:spacing w:val="-10"/>
        </w:rPr>
        <w:t xml:space="preserve"> </w:t>
      </w:r>
      <w:r w:rsidRPr="00773F2A">
        <w:t>casa</w:t>
      </w:r>
      <w:r w:rsidRPr="00773F2A">
        <w:rPr>
          <w:spacing w:val="-10"/>
        </w:rPr>
        <w:t xml:space="preserve"> </w:t>
      </w:r>
      <w:r w:rsidRPr="00773F2A">
        <w:t>decimal,</w:t>
      </w:r>
      <w:r w:rsidRPr="00773F2A">
        <w:rPr>
          <w:spacing w:val="-11"/>
        </w:rPr>
        <w:t xml:space="preserve"> </w:t>
      </w:r>
      <w:r w:rsidRPr="00773F2A">
        <w:t>dos</w:t>
      </w:r>
      <w:r w:rsidRPr="00773F2A">
        <w:rPr>
          <w:spacing w:val="-10"/>
        </w:rPr>
        <w:t xml:space="preserve"> </w:t>
      </w:r>
      <w:r w:rsidRPr="00773F2A">
        <w:t>índices</w:t>
      </w:r>
      <w:r w:rsidRPr="00773F2A">
        <w:rPr>
          <w:spacing w:val="-10"/>
        </w:rPr>
        <w:t xml:space="preserve"> </w:t>
      </w:r>
      <w:r w:rsidRPr="00773F2A">
        <w:t>relativos</w:t>
      </w:r>
      <w:r w:rsidRPr="00773F2A">
        <w:rPr>
          <w:spacing w:val="-10"/>
        </w:rPr>
        <w:t xml:space="preserve"> </w:t>
      </w:r>
      <w:r w:rsidRPr="00773F2A">
        <w:t>ao</w:t>
      </w:r>
      <w:r w:rsidRPr="00773F2A">
        <w:rPr>
          <w:spacing w:val="-10"/>
        </w:rPr>
        <w:t xml:space="preserve"> </w:t>
      </w:r>
      <w:r w:rsidRPr="00773F2A">
        <w:t>fósforo</w:t>
      </w:r>
      <w:r w:rsidRPr="00773F2A">
        <w:rPr>
          <w:spacing w:val="-11"/>
        </w:rPr>
        <w:t xml:space="preserve"> </w:t>
      </w:r>
      <w:r w:rsidRPr="00773F2A">
        <w:t>total</w:t>
      </w:r>
      <w:r w:rsidRPr="00773F2A">
        <w:rPr>
          <w:spacing w:val="-10"/>
        </w:rPr>
        <w:t xml:space="preserve"> </w:t>
      </w:r>
      <w:r w:rsidRPr="00773F2A">
        <w:t>e</w:t>
      </w:r>
      <w:r w:rsidRPr="00773F2A">
        <w:rPr>
          <w:spacing w:val="-10"/>
        </w:rPr>
        <w:t xml:space="preserve"> </w:t>
      </w:r>
      <w:r w:rsidRPr="00773F2A">
        <w:t>a</w:t>
      </w:r>
      <w:r w:rsidRPr="00773F2A">
        <w:rPr>
          <w:spacing w:val="-10"/>
        </w:rPr>
        <w:t xml:space="preserve"> </w:t>
      </w:r>
      <w:r w:rsidRPr="00773F2A">
        <w:t>clorofila</w:t>
      </w:r>
      <w:r w:rsidRPr="00773F2A">
        <w:rPr>
          <w:spacing w:val="-10"/>
        </w:rPr>
        <w:t xml:space="preserve"> </w:t>
      </w:r>
      <w:r w:rsidRPr="00773F2A">
        <w:t>a,</w:t>
      </w:r>
      <w:r w:rsidRPr="00773F2A">
        <w:rPr>
          <w:spacing w:val="-11"/>
        </w:rPr>
        <w:t xml:space="preserve"> </w:t>
      </w:r>
      <w:r w:rsidRPr="00773F2A">
        <w:t>segundo a</w:t>
      </w:r>
      <w:r w:rsidRPr="00773F2A">
        <w:rPr>
          <w:spacing w:val="-19"/>
        </w:rPr>
        <w:t xml:space="preserve"> </w:t>
      </w:r>
      <w:r w:rsidRPr="00773F2A">
        <w:t>equação:</w:t>
      </w:r>
    </w:p>
    <w:p w:rsidR="00212C0B" w:rsidRPr="001A666B" w:rsidRDefault="00212C0B" w:rsidP="004532F6">
      <w:pPr>
        <w:jc w:val="center"/>
        <w:rPr>
          <w:b/>
          <w:bCs/>
          <w:lang w:val="en-US"/>
        </w:rPr>
      </w:pPr>
      <w:r w:rsidRPr="001A666B">
        <w:rPr>
          <w:lang w:val="en-US"/>
        </w:rPr>
        <w:t>IET</w:t>
      </w:r>
      <w:r w:rsidRPr="001A666B">
        <w:rPr>
          <w:spacing w:val="5"/>
          <w:lang w:val="en-US"/>
        </w:rPr>
        <w:t xml:space="preserve"> </w:t>
      </w:r>
      <w:r w:rsidRPr="001A666B">
        <w:rPr>
          <w:lang w:val="en-US"/>
        </w:rPr>
        <w:t>=</w:t>
      </w:r>
      <w:r w:rsidRPr="001A666B">
        <w:rPr>
          <w:spacing w:val="5"/>
          <w:lang w:val="en-US"/>
        </w:rPr>
        <w:t xml:space="preserve"> </w:t>
      </w:r>
      <w:r w:rsidRPr="001A666B">
        <w:rPr>
          <w:lang w:val="en-US"/>
        </w:rPr>
        <w:t>[IET</w:t>
      </w:r>
      <w:r w:rsidRPr="001A666B">
        <w:rPr>
          <w:spacing w:val="5"/>
          <w:lang w:val="en-US"/>
        </w:rPr>
        <w:t xml:space="preserve"> </w:t>
      </w:r>
      <w:r w:rsidRPr="001A666B">
        <w:rPr>
          <w:lang w:val="en-US"/>
        </w:rPr>
        <w:t>(PT)</w:t>
      </w:r>
      <w:r w:rsidRPr="001A666B">
        <w:rPr>
          <w:spacing w:val="6"/>
          <w:lang w:val="en-US"/>
        </w:rPr>
        <w:t xml:space="preserve"> </w:t>
      </w:r>
      <w:r w:rsidRPr="001A666B">
        <w:rPr>
          <w:lang w:val="en-US"/>
        </w:rPr>
        <w:t>+</w:t>
      </w:r>
      <w:r w:rsidRPr="001A666B">
        <w:rPr>
          <w:spacing w:val="5"/>
          <w:lang w:val="en-US"/>
        </w:rPr>
        <w:t xml:space="preserve"> </w:t>
      </w:r>
      <w:r w:rsidRPr="001A666B">
        <w:rPr>
          <w:lang w:val="en-US"/>
        </w:rPr>
        <w:t>IET</w:t>
      </w:r>
      <w:r w:rsidRPr="001A666B">
        <w:rPr>
          <w:spacing w:val="5"/>
          <w:lang w:val="en-US"/>
        </w:rPr>
        <w:t xml:space="preserve"> </w:t>
      </w:r>
      <w:r w:rsidRPr="001A666B">
        <w:rPr>
          <w:lang w:val="en-US"/>
        </w:rPr>
        <w:t>(CL)]</w:t>
      </w:r>
      <w:r w:rsidRPr="001A666B">
        <w:rPr>
          <w:spacing w:val="6"/>
          <w:lang w:val="en-US"/>
        </w:rPr>
        <w:t xml:space="preserve"> </w:t>
      </w:r>
      <w:r w:rsidRPr="001A666B">
        <w:rPr>
          <w:lang w:val="en-US"/>
        </w:rPr>
        <w:t>/</w:t>
      </w:r>
      <w:r w:rsidRPr="001A666B">
        <w:rPr>
          <w:spacing w:val="5"/>
          <w:lang w:val="en-US"/>
        </w:rPr>
        <w:t xml:space="preserve"> </w:t>
      </w:r>
      <w:r w:rsidRPr="001A666B">
        <w:rPr>
          <w:lang w:val="en-US"/>
        </w:rPr>
        <w:t>2</w:t>
      </w:r>
    </w:p>
    <w:p w:rsidR="00212C0B" w:rsidRPr="00773F2A" w:rsidRDefault="00212C0B" w:rsidP="00212C0B">
      <w:r w:rsidRPr="00773F2A">
        <w:lastRenderedPageBreak/>
        <w:t>Os</w:t>
      </w:r>
      <w:r w:rsidRPr="00773F2A">
        <w:rPr>
          <w:spacing w:val="-22"/>
        </w:rPr>
        <w:t xml:space="preserve"> </w:t>
      </w:r>
      <w:r w:rsidRPr="00773F2A">
        <w:t>limites</w:t>
      </w:r>
      <w:r w:rsidRPr="00773F2A">
        <w:rPr>
          <w:spacing w:val="-21"/>
        </w:rPr>
        <w:t xml:space="preserve"> </w:t>
      </w:r>
      <w:r w:rsidRPr="00773F2A">
        <w:t>estabelecidos</w:t>
      </w:r>
      <w:r w:rsidRPr="00773F2A">
        <w:rPr>
          <w:spacing w:val="-21"/>
        </w:rPr>
        <w:t xml:space="preserve"> </w:t>
      </w:r>
      <w:r w:rsidRPr="00773F2A">
        <w:t>para</w:t>
      </w:r>
      <w:r w:rsidRPr="00773F2A">
        <w:rPr>
          <w:spacing w:val="-22"/>
        </w:rPr>
        <w:t xml:space="preserve"> </w:t>
      </w:r>
      <w:r w:rsidRPr="00773F2A">
        <w:t>as</w:t>
      </w:r>
      <w:r w:rsidRPr="00773F2A">
        <w:rPr>
          <w:spacing w:val="-21"/>
        </w:rPr>
        <w:t xml:space="preserve"> </w:t>
      </w:r>
      <w:r w:rsidRPr="00773F2A">
        <w:t>diferentes</w:t>
      </w:r>
      <w:r w:rsidRPr="00773F2A">
        <w:rPr>
          <w:spacing w:val="-21"/>
        </w:rPr>
        <w:t xml:space="preserve"> </w:t>
      </w:r>
      <w:r w:rsidRPr="00773F2A">
        <w:t>classes</w:t>
      </w:r>
      <w:r w:rsidRPr="00773F2A">
        <w:rPr>
          <w:spacing w:val="-22"/>
        </w:rPr>
        <w:t xml:space="preserve"> </w:t>
      </w:r>
      <w:r w:rsidRPr="00773F2A">
        <w:t>de</w:t>
      </w:r>
      <w:r w:rsidRPr="00773F2A">
        <w:rPr>
          <w:spacing w:val="-21"/>
        </w:rPr>
        <w:t xml:space="preserve"> </w:t>
      </w:r>
      <w:r w:rsidRPr="00773F2A">
        <w:t>trofia</w:t>
      </w:r>
      <w:r w:rsidRPr="00773F2A">
        <w:rPr>
          <w:spacing w:val="-21"/>
        </w:rPr>
        <w:t xml:space="preserve"> </w:t>
      </w:r>
      <w:r w:rsidRPr="00773F2A">
        <w:t>para</w:t>
      </w:r>
      <w:r w:rsidRPr="00773F2A">
        <w:rPr>
          <w:spacing w:val="-21"/>
        </w:rPr>
        <w:t xml:space="preserve"> </w:t>
      </w:r>
      <w:r w:rsidRPr="00773F2A">
        <w:t>rios</w:t>
      </w:r>
      <w:r w:rsidRPr="00773F2A">
        <w:rPr>
          <w:spacing w:val="-22"/>
        </w:rPr>
        <w:t xml:space="preserve"> </w:t>
      </w:r>
      <w:r w:rsidRPr="00773F2A">
        <w:t>e</w:t>
      </w:r>
      <w:r w:rsidRPr="00773F2A">
        <w:rPr>
          <w:spacing w:val="-21"/>
        </w:rPr>
        <w:t xml:space="preserve"> </w:t>
      </w:r>
      <w:r w:rsidRPr="00773F2A">
        <w:t>reservatórios</w:t>
      </w:r>
      <w:r w:rsidRPr="00773F2A">
        <w:rPr>
          <w:spacing w:val="-21"/>
        </w:rPr>
        <w:t xml:space="preserve"> </w:t>
      </w:r>
      <w:r w:rsidRPr="00773F2A">
        <w:t>são mostrados</w:t>
      </w:r>
      <w:r w:rsidRPr="00773F2A">
        <w:rPr>
          <w:spacing w:val="-21"/>
        </w:rPr>
        <w:t xml:space="preserve"> </w:t>
      </w:r>
      <w:r w:rsidRPr="00773F2A">
        <w:t>nas tabelas</w:t>
      </w:r>
      <w:r w:rsidRPr="00773F2A">
        <w:rPr>
          <w:spacing w:val="-22"/>
        </w:rPr>
        <w:t xml:space="preserve"> </w:t>
      </w:r>
      <w:r w:rsidRPr="00773F2A">
        <w:t>a</w:t>
      </w:r>
      <w:r w:rsidRPr="00773F2A">
        <w:rPr>
          <w:spacing w:val="-21"/>
        </w:rPr>
        <w:t xml:space="preserve"> </w:t>
      </w:r>
      <w:r w:rsidRPr="00773F2A">
        <w:t>seguir:</w:t>
      </w:r>
    </w:p>
    <w:p w:rsidR="00212C0B" w:rsidRPr="00773F2A" w:rsidRDefault="00C63BBC" w:rsidP="00212C0B">
      <w:pPr>
        <w:pStyle w:val="Quadro"/>
      </w:pPr>
      <w:r>
        <w:t>Tabela 6.4.</w:t>
      </w:r>
      <w:r w:rsidR="00420418">
        <w:t>5-</w:t>
      </w:r>
      <w:r>
        <w:t>1</w:t>
      </w:r>
      <w:r w:rsidR="00420418">
        <w:t>. C</w:t>
      </w:r>
      <w:r w:rsidR="00212C0B" w:rsidRPr="00773F2A">
        <w:t>lassificação</w:t>
      </w:r>
      <w:r w:rsidR="00212C0B" w:rsidRPr="00773F2A">
        <w:rPr>
          <w:spacing w:val="-22"/>
        </w:rPr>
        <w:t xml:space="preserve"> </w:t>
      </w:r>
      <w:r w:rsidR="00212C0B" w:rsidRPr="00773F2A">
        <w:t>do</w:t>
      </w:r>
      <w:r w:rsidR="00212C0B" w:rsidRPr="00773F2A">
        <w:rPr>
          <w:spacing w:val="-21"/>
        </w:rPr>
        <w:t xml:space="preserve"> </w:t>
      </w:r>
      <w:r w:rsidR="00212C0B" w:rsidRPr="00773F2A">
        <w:t>Estado</w:t>
      </w:r>
      <w:r w:rsidR="00212C0B" w:rsidRPr="00773F2A">
        <w:rPr>
          <w:spacing w:val="-22"/>
        </w:rPr>
        <w:t xml:space="preserve"> </w:t>
      </w:r>
      <w:r w:rsidR="00212C0B" w:rsidRPr="00773F2A">
        <w:t>Trófico</w:t>
      </w:r>
      <w:r w:rsidR="00212C0B" w:rsidRPr="00773F2A">
        <w:rPr>
          <w:spacing w:val="-21"/>
        </w:rPr>
        <w:t xml:space="preserve"> </w:t>
      </w:r>
      <w:r w:rsidR="00212C0B" w:rsidRPr="00773F2A">
        <w:t>para</w:t>
      </w:r>
      <w:r w:rsidR="00212C0B" w:rsidRPr="00773F2A">
        <w:rPr>
          <w:spacing w:val="-22"/>
        </w:rPr>
        <w:t xml:space="preserve"> </w:t>
      </w:r>
      <w:r w:rsidR="00212C0B" w:rsidRPr="00773F2A">
        <w:rPr>
          <w:rFonts w:hint="eastAsia"/>
        </w:rPr>
        <w:t>Rios</w:t>
      </w:r>
      <w:r w:rsidR="00212C0B" w:rsidRPr="00773F2A">
        <w:rPr>
          <w:rFonts w:hint="eastAsia"/>
          <w:spacing w:val="-21"/>
        </w:rPr>
        <w:t xml:space="preserve"> </w:t>
      </w:r>
      <w:r w:rsidR="00212C0B" w:rsidRPr="00773F2A">
        <w:t>segundo</w:t>
      </w:r>
      <w:r w:rsidR="00212C0B" w:rsidRPr="00773F2A">
        <w:rPr>
          <w:spacing w:val="-21"/>
        </w:rPr>
        <w:t xml:space="preserve"> </w:t>
      </w:r>
      <w:r w:rsidR="00212C0B" w:rsidRPr="00773F2A">
        <w:t>Índice</w:t>
      </w:r>
      <w:r w:rsidR="00212C0B" w:rsidRPr="00773F2A">
        <w:rPr>
          <w:spacing w:val="-22"/>
        </w:rPr>
        <w:t xml:space="preserve"> </w:t>
      </w:r>
      <w:r w:rsidR="00212C0B" w:rsidRPr="00773F2A">
        <w:t>de</w:t>
      </w:r>
      <w:r w:rsidR="00212C0B" w:rsidRPr="00773F2A">
        <w:rPr>
          <w:spacing w:val="-21"/>
        </w:rPr>
        <w:t xml:space="preserve"> </w:t>
      </w:r>
      <w:r w:rsidR="00212C0B" w:rsidRPr="00773F2A">
        <w:t>Carlson</w:t>
      </w:r>
      <w:r w:rsidR="00212C0B" w:rsidRPr="00773F2A">
        <w:rPr>
          <w:spacing w:val="-22"/>
        </w:rPr>
        <w:t xml:space="preserve"> </w:t>
      </w:r>
      <w:r w:rsidR="00212C0B" w:rsidRPr="00773F2A">
        <w:t>modificado</w:t>
      </w:r>
    </w:p>
    <w:tbl>
      <w:tblPr>
        <w:tblStyle w:val="TableNormal"/>
        <w:tblW w:w="0" w:type="auto"/>
        <w:jc w:val="center"/>
        <w:tblLayout w:type="fixed"/>
        <w:tblLook w:val="01E0" w:firstRow="1" w:lastRow="1" w:firstColumn="1" w:lastColumn="1" w:noHBand="0" w:noVBand="0"/>
      </w:tblPr>
      <w:tblGrid>
        <w:gridCol w:w="1814"/>
        <w:gridCol w:w="1814"/>
        <w:gridCol w:w="1814"/>
        <w:gridCol w:w="1814"/>
        <w:gridCol w:w="1815"/>
      </w:tblGrid>
      <w:tr w:rsidR="00212C0B" w:rsidRPr="00E00321" w:rsidTr="00420418">
        <w:trPr>
          <w:cantSplit/>
          <w:trHeight w:val="255"/>
          <w:tblHeader/>
          <w:jc w:val="center"/>
        </w:trPr>
        <w:tc>
          <w:tcPr>
            <w:tcW w:w="9071" w:type="dxa"/>
            <w:gridSpan w:val="5"/>
            <w:tcBorders>
              <w:top w:val="nil"/>
              <w:left w:val="single" w:sz="8" w:space="0" w:color="FFFFFF"/>
              <w:bottom w:val="single" w:sz="8" w:space="0" w:color="FFFFFF"/>
              <w:right w:val="nil"/>
            </w:tcBorders>
            <w:shd w:val="clear" w:color="auto" w:fill="82B7D0"/>
          </w:tcPr>
          <w:p w:rsidR="00212C0B" w:rsidRPr="001A666B" w:rsidRDefault="00212C0B" w:rsidP="00E00321">
            <w:pPr>
              <w:pStyle w:val="TableParagraph"/>
              <w:ind w:right="7"/>
              <w:jc w:val="center"/>
              <w:rPr>
                <w:rFonts w:asciiTheme="minorHAnsi" w:eastAsia="Calibri" w:hAnsiTheme="minorHAnsi" w:cs="Arial"/>
                <w:sz w:val="16"/>
                <w:szCs w:val="16"/>
                <w:lang w:val="pt-BR"/>
              </w:rPr>
            </w:pPr>
            <w:r w:rsidRPr="001A666B">
              <w:rPr>
                <w:rFonts w:asciiTheme="minorHAnsi" w:hAnsiTheme="minorHAnsi" w:cs="Arial"/>
                <w:b/>
                <w:color w:val="231F20"/>
                <w:sz w:val="16"/>
                <w:szCs w:val="16"/>
                <w:lang w:val="pt-BR"/>
              </w:rPr>
              <w:t>Classificação</w:t>
            </w:r>
            <w:r w:rsidRPr="001A666B">
              <w:rPr>
                <w:rFonts w:asciiTheme="minorHAnsi" w:hAnsiTheme="minorHAnsi" w:cs="Arial"/>
                <w:b/>
                <w:color w:val="231F20"/>
                <w:spacing w:val="9"/>
                <w:sz w:val="16"/>
                <w:szCs w:val="16"/>
                <w:lang w:val="pt-BR"/>
              </w:rPr>
              <w:t xml:space="preserve"> </w:t>
            </w:r>
            <w:r w:rsidRPr="001A666B">
              <w:rPr>
                <w:rFonts w:asciiTheme="minorHAnsi" w:hAnsiTheme="minorHAnsi" w:cs="Arial"/>
                <w:b/>
                <w:color w:val="231F20"/>
                <w:sz w:val="16"/>
                <w:szCs w:val="16"/>
                <w:lang w:val="pt-BR"/>
              </w:rPr>
              <w:t>do</w:t>
            </w:r>
            <w:r w:rsidRPr="001A666B">
              <w:rPr>
                <w:rFonts w:asciiTheme="minorHAnsi" w:hAnsiTheme="minorHAnsi" w:cs="Arial"/>
                <w:b/>
                <w:color w:val="231F20"/>
                <w:spacing w:val="9"/>
                <w:sz w:val="16"/>
                <w:szCs w:val="16"/>
                <w:lang w:val="pt-BR"/>
              </w:rPr>
              <w:t xml:space="preserve"> </w:t>
            </w:r>
            <w:r w:rsidRPr="001A666B">
              <w:rPr>
                <w:rFonts w:asciiTheme="minorHAnsi" w:hAnsiTheme="minorHAnsi" w:cs="Arial"/>
                <w:b/>
                <w:color w:val="231F20"/>
                <w:sz w:val="16"/>
                <w:szCs w:val="16"/>
                <w:lang w:val="pt-BR"/>
              </w:rPr>
              <w:t>Estado</w:t>
            </w:r>
            <w:r w:rsidRPr="001A666B">
              <w:rPr>
                <w:rFonts w:asciiTheme="minorHAnsi" w:hAnsiTheme="minorHAnsi" w:cs="Arial"/>
                <w:b/>
                <w:color w:val="231F20"/>
                <w:spacing w:val="9"/>
                <w:sz w:val="16"/>
                <w:szCs w:val="16"/>
                <w:lang w:val="pt-BR"/>
              </w:rPr>
              <w:t xml:space="preserve"> </w:t>
            </w:r>
            <w:r w:rsidRPr="001A666B">
              <w:rPr>
                <w:rFonts w:asciiTheme="minorHAnsi" w:hAnsiTheme="minorHAnsi" w:cs="Arial"/>
                <w:b/>
                <w:color w:val="231F20"/>
                <w:sz w:val="16"/>
                <w:szCs w:val="16"/>
                <w:lang w:val="pt-BR"/>
              </w:rPr>
              <w:t>Trófico</w:t>
            </w:r>
            <w:r w:rsidRPr="001A666B">
              <w:rPr>
                <w:rFonts w:asciiTheme="minorHAnsi" w:hAnsiTheme="minorHAnsi" w:cs="Arial"/>
                <w:b/>
                <w:color w:val="231F20"/>
                <w:spacing w:val="9"/>
                <w:sz w:val="16"/>
                <w:szCs w:val="16"/>
                <w:lang w:val="pt-BR"/>
              </w:rPr>
              <w:t xml:space="preserve"> </w:t>
            </w:r>
            <w:r w:rsidRPr="001A666B">
              <w:rPr>
                <w:rFonts w:asciiTheme="minorHAnsi" w:hAnsiTheme="minorHAnsi" w:cs="Arial"/>
                <w:b/>
                <w:color w:val="231F20"/>
                <w:sz w:val="16"/>
                <w:szCs w:val="16"/>
                <w:lang w:val="pt-BR"/>
              </w:rPr>
              <w:t>-</w:t>
            </w:r>
            <w:r w:rsidRPr="001A666B">
              <w:rPr>
                <w:rFonts w:asciiTheme="minorHAnsi" w:hAnsiTheme="minorHAnsi" w:cs="Arial"/>
                <w:b/>
                <w:color w:val="231F20"/>
                <w:spacing w:val="9"/>
                <w:sz w:val="16"/>
                <w:szCs w:val="16"/>
                <w:lang w:val="pt-BR"/>
              </w:rPr>
              <w:t xml:space="preserve"> </w:t>
            </w:r>
            <w:r w:rsidRPr="001A666B">
              <w:rPr>
                <w:rFonts w:asciiTheme="minorHAnsi" w:hAnsiTheme="minorHAnsi" w:cs="Arial"/>
                <w:b/>
                <w:color w:val="231F20"/>
                <w:sz w:val="16"/>
                <w:szCs w:val="16"/>
                <w:lang w:val="pt-BR"/>
              </w:rPr>
              <w:t>Rios</w:t>
            </w:r>
          </w:p>
        </w:tc>
      </w:tr>
      <w:tr w:rsidR="00212C0B" w:rsidRPr="00E00321" w:rsidTr="00420418">
        <w:trPr>
          <w:cantSplit/>
          <w:trHeight w:val="255"/>
          <w:tblHeader/>
          <w:jc w:val="center"/>
        </w:trPr>
        <w:tc>
          <w:tcPr>
            <w:tcW w:w="1814" w:type="dxa"/>
            <w:tcBorders>
              <w:top w:val="single" w:sz="8" w:space="0" w:color="FFFFFF"/>
              <w:left w:val="single" w:sz="8" w:space="0" w:color="FFFFFF"/>
              <w:bottom w:val="single" w:sz="8" w:space="0" w:color="FFFFFF"/>
              <w:right w:val="single" w:sz="8" w:space="0" w:color="FFFFFF"/>
            </w:tcBorders>
            <w:shd w:val="clear" w:color="auto" w:fill="82B7D0"/>
          </w:tcPr>
          <w:p w:rsidR="00212C0B" w:rsidRPr="00C63BBC" w:rsidRDefault="00212C0B" w:rsidP="00E00321">
            <w:pPr>
              <w:pStyle w:val="TableParagraph"/>
              <w:ind w:left="369" w:right="367" w:firstLine="199"/>
              <w:rPr>
                <w:rFonts w:asciiTheme="minorHAnsi" w:eastAsia="Calibri" w:hAnsiTheme="minorHAnsi" w:cs="Arial"/>
                <w:sz w:val="16"/>
                <w:szCs w:val="16"/>
                <w:lang w:val="pt-BR"/>
              </w:rPr>
            </w:pPr>
            <w:r w:rsidRPr="00C63BBC">
              <w:rPr>
                <w:rFonts w:asciiTheme="minorHAnsi" w:hAnsiTheme="minorHAnsi" w:cs="Arial"/>
                <w:b/>
                <w:color w:val="231F20"/>
                <w:sz w:val="16"/>
                <w:szCs w:val="16"/>
                <w:lang w:val="pt-BR"/>
              </w:rPr>
              <w:t>Categoria (Estado</w:t>
            </w:r>
            <w:r w:rsidRPr="00C63BBC">
              <w:rPr>
                <w:rFonts w:asciiTheme="minorHAnsi" w:hAnsiTheme="minorHAnsi" w:cs="Arial"/>
                <w:b/>
                <w:color w:val="231F20"/>
                <w:spacing w:val="-1"/>
                <w:sz w:val="16"/>
                <w:szCs w:val="16"/>
                <w:lang w:val="pt-BR"/>
              </w:rPr>
              <w:t xml:space="preserve"> </w:t>
            </w:r>
            <w:r w:rsidRPr="00C63BBC">
              <w:rPr>
                <w:rFonts w:asciiTheme="minorHAnsi" w:hAnsiTheme="minorHAnsi" w:cs="Arial"/>
                <w:b/>
                <w:color w:val="231F20"/>
                <w:sz w:val="16"/>
                <w:szCs w:val="16"/>
                <w:lang w:val="pt-BR"/>
              </w:rPr>
              <w:t>Trófico)</w:t>
            </w:r>
          </w:p>
        </w:tc>
        <w:tc>
          <w:tcPr>
            <w:tcW w:w="1814" w:type="dxa"/>
            <w:tcBorders>
              <w:top w:val="single" w:sz="8" w:space="0" w:color="FFFFFF"/>
              <w:left w:val="single" w:sz="8" w:space="0" w:color="FFFFFF"/>
              <w:bottom w:val="single" w:sz="8" w:space="0" w:color="FFFFFF"/>
              <w:right w:val="single" w:sz="8" w:space="0" w:color="FFFFFF"/>
            </w:tcBorders>
            <w:shd w:val="clear" w:color="auto" w:fill="82B7D0"/>
          </w:tcPr>
          <w:p w:rsidR="00212C0B" w:rsidRPr="00C63BBC" w:rsidRDefault="00212C0B" w:rsidP="00E00321">
            <w:pPr>
              <w:pStyle w:val="TableParagraph"/>
              <w:ind w:left="502"/>
              <w:rPr>
                <w:rFonts w:asciiTheme="minorHAnsi" w:eastAsia="Calibri" w:hAnsiTheme="minorHAnsi" w:cs="Arial"/>
                <w:sz w:val="16"/>
                <w:szCs w:val="16"/>
                <w:lang w:val="pt-BR"/>
              </w:rPr>
            </w:pPr>
            <w:r w:rsidRPr="00C63BBC">
              <w:rPr>
                <w:rFonts w:asciiTheme="minorHAnsi" w:hAnsiTheme="minorHAnsi" w:cs="Arial"/>
                <w:b/>
                <w:color w:val="231F20"/>
                <w:sz w:val="16"/>
                <w:szCs w:val="16"/>
                <w:lang w:val="pt-BR"/>
              </w:rPr>
              <w:t>Ponderação</w:t>
            </w:r>
          </w:p>
        </w:tc>
        <w:tc>
          <w:tcPr>
            <w:tcW w:w="1814" w:type="dxa"/>
            <w:tcBorders>
              <w:top w:val="single" w:sz="8" w:space="0" w:color="FFFFFF"/>
              <w:left w:val="single" w:sz="8" w:space="0" w:color="FFFFFF"/>
              <w:bottom w:val="single" w:sz="8" w:space="0" w:color="FFFFFF"/>
              <w:right w:val="single" w:sz="8" w:space="0" w:color="FFFFFF"/>
            </w:tcBorders>
            <w:shd w:val="clear" w:color="auto" w:fill="82B7D0"/>
          </w:tcPr>
          <w:p w:rsidR="00212C0B" w:rsidRPr="00C63BBC" w:rsidRDefault="00212C0B" w:rsidP="00E00321">
            <w:pPr>
              <w:pStyle w:val="TableParagraph"/>
              <w:ind w:left="787" w:right="577" w:hanging="208"/>
              <w:rPr>
                <w:rFonts w:asciiTheme="minorHAnsi" w:eastAsia="Calibri" w:hAnsiTheme="minorHAnsi" w:cs="Arial"/>
                <w:sz w:val="16"/>
                <w:szCs w:val="16"/>
                <w:lang w:val="pt-BR"/>
              </w:rPr>
            </w:pPr>
            <w:r w:rsidRPr="00C63BBC">
              <w:rPr>
                <w:rFonts w:asciiTheme="minorHAnsi" w:hAnsiTheme="minorHAnsi" w:cs="Arial"/>
                <w:b/>
                <w:color w:val="231F20"/>
                <w:sz w:val="16"/>
                <w:szCs w:val="16"/>
                <w:lang w:val="pt-BR"/>
              </w:rPr>
              <w:t>Secchi</w:t>
            </w:r>
            <w:r w:rsidRPr="00C63BBC">
              <w:rPr>
                <w:rFonts w:asciiTheme="minorHAnsi" w:hAnsiTheme="minorHAnsi" w:cs="Arial"/>
                <w:b/>
                <w:color w:val="231F20"/>
                <w:spacing w:val="9"/>
                <w:sz w:val="16"/>
                <w:szCs w:val="16"/>
                <w:lang w:val="pt-BR"/>
              </w:rPr>
              <w:t xml:space="preserve"> </w:t>
            </w:r>
            <w:r w:rsidRPr="00C63BBC">
              <w:rPr>
                <w:rFonts w:asciiTheme="minorHAnsi" w:hAnsiTheme="minorHAnsi" w:cs="Arial"/>
                <w:b/>
                <w:color w:val="231F20"/>
                <w:sz w:val="16"/>
                <w:szCs w:val="16"/>
                <w:lang w:val="pt-BR"/>
              </w:rPr>
              <w:t>-</w:t>
            </w:r>
            <w:r w:rsidRPr="00C63BBC">
              <w:rPr>
                <w:rFonts w:asciiTheme="minorHAnsi" w:hAnsiTheme="minorHAnsi" w:cs="Arial"/>
                <w:b/>
                <w:color w:val="231F20"/>
                <w:spacing w:val="9"/>
                <w:sz w:val="16"/>
                <w:szCs w:val="16"/>
                <w:lang w:val="pt-BR"/>
              </w:rPr>
              <w:t xml:space="preserve"> </w:t>
            </w:r>
            <w:r w:rsidRPr="00C63BBC">
              <w:rPr>
                <w:rFonts w:asciiTheme="minorHAnsi" w:hAnsiTheme="minorHAnsi" w:cs="Arial"/>
                <w:b/>
                <w:color w:val="231F20"/>
                <w:sz w:val="16"/>
                <w:szCs w:val="16"/>
                <w:lang w:val="pt-BR"/>
              </w:rPr>
              <w:t>S (m)</w:t>
            </w:r>
          </w:p>
        </w:tc>
        <w:tc>
          <w:tcPr>
            <w:tcW w:w="1814" w:type="dxa"/>
            <w:tcBorders>
              <w:top w:val="single" w:sz="8" w:space="0" w:color="FFFFFF"/>
              <w:left w:val="single" w:sz="8" w:space="0" w:color="FFFFFF"/>
              <w:bottom w:val="single" w:sz="8" w:space="0" w:color="FFFFFF"/>
              <w:right w:val="single" w:sz="8" w:space="0" w:color="FFFFFF"/>
            </w:tcBorders>
            <w:shd w:val="clear" w:color="auto" w:fill="82B7D0"/>
          </w:tcPr>
          <w:p w:rsidR="00212C0B" w:rsidRPr="00354BFE" w:rsidRDefault="00212C0B" w:rsidP="00E00321">
            <w:pPr>
              <w:pStyle w:val="TableParagraph"/>
              <w:ind w:left="622" w:right="559" w:hanging="61"/>
              <w:rPr>
                <w:rFonts w:asciiTheme="minorHAnsi" w:eastAsia="Calibri" w:hAnsiTheme="minorHAnsi" w:cs="Arial"/>
                <w:sz w:val="16"/>
                <w:szCs w:val="16"/>
              </w:rPr>
            </w:pPr>
            <w:r w:rsidRPr="00354BFE">
              <w:rPr>
                <w:rFonts w:asciiTheme="minorHAnsi" w:hAnsiTheme="minorHAnsi" w:cs="Arial"/>
                <w:b/>
                <w:color w:val="231F20"/>
                <w:sz w:val="16"/>
                <w:szCs w:val="16"/>
              </w:rPr>
              <w:t>P-total</w:t>
            </w:r>
            <w:r w:rsidRPr="00354BFE">
              <w:rPr>
                <w:rFonts w:asciiTheme="minorHAnsi" w:hAnsiTheme="minorHAnsi" w:cs="Arial"/>
                <w:b/>
                <w:color w:val="231F20"/>
                <w:spacing w:val="5"/>
                <w:sz w:val="16"/>
                <w:szCs w:val="16"/>
              </w:rPr>
              <w:t xml:space="preserve"> </w:t>
            </w:r>
            <w:r w:rsidRPr="00354BFE">
              <w:rPr>
                <w:rFonts w:asciiTheme="minorHAnsi" w:hAnsiTheme="minorHAnsi" w:cs="Arial"/>
                <w:b/>
                <w:color w:val="231F20"/>
                <w:sz w:val="16"/>
                <w:szCs w:val="16"/>
              </w:rPr>
              <w:t>-</w:t>
            </w:r>
            <w:r w:rsidRPr="00354BFE">
              <w:rPr>
                <w:rFonts w:asciiTheme="minorHAnsi" w:hAnsiTheme="minorHAnsi" w:cs="Arial"/>
                <w:b/>
                <w:color w:val="231F20"/>
                <w:spacing w:val="5"/>
                <w:sz w:val="16"/>
                <w:szCs w:val="16"/>
              </w:rPr>
              <w:t xml:space="preserve"> </w:t>
            </w:r>
            <w:r w:rsidRPr="00354BFE">
              <w:rPr>
                <w:rFonts w:asciiTheme="minorHAnsi" w:hAnsiTheme="minorHAnsi" w:cs="Arial"/>
                <w:b/>
                <w:color w:val="231F20"/>
                <w:sz w:val="16"/>
                <w:szCs w:val="16"/>
              </w:rPr>
              <w:t>P (mg</w:t>
            </w:r>
            <w:r w:rsidR="00E00321" w:rsidRPr="00354BFE">
              <w:rPr>
                <w:rFonts w:asciiTheme="minorHAnsi" w:hAnsiTheme="minorHAnsi" w:cs="Arial"/>
                <w:b/>
                <w:color w:val="231F20"/>
                <w:sz w:val="16"/>
                <w:szCs w:val="16"/>
              </w:rPr>
              <w:t>/</w:t>
            </w:r>
            <w:r w:rsidRPr="00354BFE">
              <w:rPr>
                <w:rFonts w:asciiTheme="minorHAnsi" w:hAnsiTheme="minorHAnsi" w:cs="Arial"/>
                <w:b/>
                <w:color w:val="231F20"/>
                <w:sz w:val="16"/>
                <w:szCs w:val="16"/>
              </w:rPr>
              <w:t>m</w:t>
            </w:r>
            <w:r w:rsidR="00E00321" w:rsidRPr="00354BFE">
              <w:rPr>
                <w:rFonts w:asciiTheme="minorHAnsi" w:hAnsiTheme="minorHAnsi" w:cs="Arial"/>
                <w:b/>
                <w:color w:val="231F20"/>
                <w:sz w:val="16"/>
                <w:szCs w:val="16"/>
                <w:vertAlign w:val="superscript"/>
              </w:rPr>
              <w:t>3</w:t>
            </w:r>
            <w:r w:rsidRPr="00354BFE">
              <w:rPr>
                <w:rFonts w:asciiTheme="minorHAnsi" w:hAnsiTheme="minorHAnsi" w:cs="Arial"/>
                <w:b/>
                <w:color w:val="231F20"/>
                <w:sz w:val="16"/>
                <w:szCs w:val="16"/>
              </w:rPr>
              <w:t>)</w:t>
            </w:r>
          </w:p>
        </w:tc>
        <w:tc>
          <w:tcPr>
            <w:tcW w:w="1815" w:type="dxa"/>
            <w:tcBorders>
              <w:top w:val="single" w:sz="8" w:space="0" w:color="FFFFFF"/>
              <w:left w:val="single" w:sz="8" w:space="0" w:color="FFFFFF"/>
              <w:bottom w:val="single" w:sz="8" w:space="0" w:color="FFFFFF"/>
              <w:right w:val="single" w:sz="8" w:space="0" w:color="FFFFFF"/>
            </w:tcBorders>
            <w:shd w:val="clear" w:color="auto" w:fill="82B7D0"/>
          </w:tcPr>
          <w:p w:rsidR="00212C0B" w:rsidRPr="00C63BBC" w:rsidRDefault="00212C0B" w:rsidP="00E00321">
            <w:pPr>
              <w:pStyle w:val="TableParagraph"/>
              <w:jc w:val="center"/>
              <w:rPr>
                <w:rFonts w:asciiTheme="minorHAnsi" w:eastAsia="Calibri" w:hAnsiTheme="minorHAnsi" w:cs="Arial"/>
                <w:sz w:val="16"/>
                <w:szCs w:val="16"/>
                <w:lang w:val="pt-BR"/>
              </w:rPr>
            </w:pPr>
            <w:r w:rsidRPr="00C63BBC">
              <w:rPr>
                <w:rFonts w:asciiTheme="minorHAnsi" w:hAnsiTheme="minorHAnsi" w:cs="Arial"/>
                <w:b/>
                <w:color w:val="231F20"/>
                <w:sz w:val="16"/>
                <w:szCs w:val="16"/>
                <w:lang w:val="pt-BR"/>
              </w:rPr>
              <w:t>Clorofila</w:t>
            </w:r>
            <w:r w:rsidRPr="00C63BBC">
              <w:rPr>
                <w:rFonts w:asciiTheme="minorHAnsi" w:hAnsiTheme="minorHAnsi" w:cs="Arial"/>
                <w:b/>
                <w:color w:val="231F20"/>
                <w:spacing w:val="5"/>
                <w:sz w:val="16"/>
                <w:szCs w:val="16"/>
                <w:lang w:val="pt-BR"/>
              </w:rPr>
              <w:t xml:space="preserve"> </w:t>
            </w:r>
            <w:r w:rsidRPr="00C63BBC">
              <w:rPr>
                <w:rFonts w:asciiTheme="minorHAnsi" w:hAnsiTheme="minorHAnsi" w:cs="Arial"/>
                <w:b/>
                <w:i/>
                <w:color w:val="231F20"/>
                <w:sz w:val="16"/>
                <w:szCs w:val="16"/>
                <w:lang w:val="pt-BR"/>
              </w:rPr>
              <w:t>a</w:t>
            </w:r>
          </w:p>
          <w:p w:rsidR="00212C0B" w:rsidRPr="00E00321" w:rsidRDefault="00212C0B" w:rsidP="00E00321">
            <w:pPr>
              <w:pStyle w:val="TableParagraph"/>
              <w:jc w:val="center"/>
              <w:rPr>
                <w:rFonts w:asciiTheme="minorHAnsi" w:eastAsia="Calibri" w:hAnsiTheme="minorHAnsi" w:cs="Arial"/>
                <w:sz w:val="16"/>
                <w:szCs w:val="16"/>
              </w:rPr>
            </w:pPr>
            <w:r w:rsidRPr="00C63BBC">
              <w:rPr>
                <w:rFonts w:asciiTheme="minorHAnsi" w:hAnsiTheme="minorHAnsi" w:cs="Arial"/>
                <w:b/>
                <w:color w:val="231F20"/>
                <w:sz w:val="16"/>
                <w:szCs w:val="16"/>
                <w:lang w:val="pt-BR"/>
              </w:rPr>
              <w:t>(</w:t>
            </w:r>
            <w:r w:rsidRPr="00E00321">
              <w:rPr>
                <w:rFonts w:asciiTheme="minorHAnsi" w:hAnsiTheme="minorHAnsi" w:cs="Arial"/>
                <w:b/>
                <w:color w:val="231F20"/>
                <w:sz w:val="16"/>
                <w:szCs w:val="16"/>
              </w:rPr>
              <w:t>mg</w:t>
            </w:r>
            <w:r w:rsidR="00E00321">
              <w:rPr>
                <w:rFonts w:asciiTheme="minorHAnsi" w:hAnsiTheme="minorHAnsi" w:cs="Arial"/>
                <w:b/>
                <w:color w:val="231F20"/>
                <w:sz w:val="16"/>
                <w:szCs w:val="16"/>
              </w:rPr>
              <w:t>/</w:t>
            </w:r>
            <w:r w:rsidRPr="00E00321">
              <w:rPr>
                <w:rFonts w:asciiTheme="minorHAnsi" w:hAnsiTheme="minorHAnsi" w:cs="Arial"/>
                <w:b/>
                <w:color w:val="231F20"/>
                <w:sz w:val="16"/>
                <w:szCs w:val="16"/>
              </w:rPr>
              <w:t>m</w:t>
            </w:r>
            <w:r w:rsidR="00E00321" w:rsidRPr="00E00321">
              <w:rPr>
                <w:rFonts w:asciiTheme="minorHAnsi" w:hAnsiTheme="minorHAnsi" w:cs="Arial"/>
                <w:b/>
                <w:color w:val="231F20"/>
                <w:sz w:val="16"/>
                <w:szCs w:val="16"/>
                <w:vertAlign w:val="superscript"/>
              </w:rPr>
              <w:t>3</w:t>
            </w:r>
            <w:r w:rsidRPr="00E00321">
              <w:rPr>
                <w:rFonts w:asciiTheme="minorHAnsi" w:hAnsiTheme="minorHAnsi" w:cs="Arial"/>
                <w:b/>
                <w:color w:val="231F20"/>
                <w:sz w:val="16"/>
                <w:szCs w:val="16"/>
              </w:rPr>
              <w:t>)</w:t>
            </w:r>
          </w:p>
        </w:tc>
      </w:tr>
      <w:tr w:rsidR="00212C0B" w:rsidRPr="00E00321" w:rsidTr="00E00321">
        <w:trPr>
          <w:cantSplit/>
          <w:trHeight w:val="255"/>
          <w:jc w:val="center"/>
        </w:trPr>
        <w:tc>
          <w:tcPr>
            <w:tcW w:w="1814" w:type="dxa"/>
            <w:tcBorders>
              <w:top w:val="single" w:sz="8" w:space="0" w:color="FFFFFF"/>
              <w:left w:val="single" w:sz="8" w:space="0" w:color="FFFFFF"/>
              <w:bottom w:val="single" w:sz="8" w:space="0" w:color="FFFFFF"/>
              <w:right w:val="single" w:sz="8" w:space="0" w:color="FFFFFF"/>
            </w:tcBorders>
            <w:shd w:val="clear" w:color="auto" w:fill="6380C0"/>
          </w:tcPr>
          <w:p w:rsidR="00212C0B" w:rsidRPr="00E00321" w:rsidRDefault="00212C0B" w:rsidP="00E00321">
            <w:pPr>
              <w:pStyle w:val="TableParagraph"/>
              <w:ind w:left="338"/>
              <w:rPr>
                <w:rFonts w:asciiTheme="minorHAnsi" w:eastAsia="Calibri" w:hAnsiTheme="minorHAnsi" w:cs="Arial"/>
                <w:sz w:val="16"/>
                <w:szCs w:val="16"/>
              </w:rPr>
            </w:pPr>
            <w:r w:rsidRPr="00E00321">
              <w:rPr>
                <w:rFonts w:asciiTheme="minorHAnsi" w:hAnsiTheme="minorHAnsi" w:cs="Arial"/>
                <w:b/>
                <w:color w:val="231F20"/>
                <w:sz w:val="16"/>
                <w:szCs w:val="16"/>
              </w:rPr>
              <w:t>Ultraoligotrófico</w:t>
            </w:r>
          </w:p>
        </w:tc>
        <w:tc>
          <w:tcPr>
            <w:tcW w:w="1814" w:type="dxa"/>
            <w:tcBorders>
              <w:top w:val="single" w:sz="8" w:space="0" w:color="FFFFFF"/>
              <w:left w:val="single" w:sz="8" w:space="0" w:color="FFFFFF"/>
              <w:bottom w:val="single" w:sz="8" w:space="0" w:color="FFFFFF"/>
              <w:right w:val="single" w:sz="8" w:space="0" w:color="FFFFFF"/>
            </w:tcBorders>
            <w:shd w:val="clear" w:color="auto" w:fill="DFECF3"/>
          </w:tcPr>
          <w:p w:rsidR="00212C0B" w:rsidRPr="00E00321" w:rsidRDefault="00212C0B" w:rsidP="00E00321">
            <w:pPr>
              <w:pStyle w:val="TableParagraph"/>
              <w:jc w:val="center"/>
              <w:rPr>
                <w:rFonts w:asciiTheme="minorHAnsi" w:eastAsia="Calibri" w:hAnsiTheme="minorHAnsi" w:cs="Arial"/>
                <w:sz w:val="16"/>
                <w:szCs w:val="16"/>
              </w:rPr>
            </w:pPr>
            <w:r w:rsidRPr="00E00321">
              <w:rPr>
                <w:rFonts w:asciiTheme="minorHAnsi" w:eastAsia="Calibri" w:hAnsiTheme="minorHAnsi" w:cs="Arial"/>
                <w:color w:val="231F20"/>
                <w:sz w:val="16"/>
                <w:szCs w:val="16"/>
              </w:rPr>
              <w:t>IET</w:t>
            </w:r>
            <w:r w:rsidRPr="00E00321">
              <w:rPr>
                <w:rFonts w:asciiTheme="minorHAnsi" w:eastAsia="Calibri" w:hAnsiTheme="minorHAnsi" w:cs="Arial"/>
                <w:color w:val="231F20"/>
                <w:spacing w:val="-10"/>
                <w:sz w:val="16"/>
                <w:szCs w:val="16"/>
              </w:rPr>
              <w:t xml:space="preserve"> </w:t>
            </w:r>
            <w:r w:rsidRPr="00E00321">
              <w:rPr>
                <w:rFonts w:asciiTheme="minorHAnsi" w:eastAsia="Symbol" w:hAnsiTheme="minorHAnsi" w:cs="Arial"/>
                <w:color w:val="231F20"/>
                <w:sz w:val="16"/>
                <w:szCs w:val="16"/>
              </w:rPr>
              <w:t xml:space="preserve">≤ </w:t>
            </w:r>
            <w:r w:rsidRPr="00E00321">
              <w:rPr>
                <w:rFonts w:asciiTheme="minorHAnsi" w:eastAsia="Calibri" w:hAnsiTheme="minorHAnsi" w:cs="Arial"/>
                <w:color w:val="231F20"/>
                <w:sz w:val="16"/>
                <w:szCs w:val="16"/>
              </w:rPr>
              <w:t>47</w:t>
            </w:r>
          </w:p>
        </w:tc>
        <w:tc>
          <w:tcPr>
            <w:tcW w:w="1814" w:type="dxa"/>
            <w:tcBorders>
              <w:top w:val="single" w:sz="8" w:space="0" w:color="FFFFFF"/>
              <w:left w:val="single" w:sz="8" w:space="0" w:color="FFFFFF"/>
              <w:bottom w:val="single" w:sz="8" w:space="0" w:color="FFFFFF"/>
              <w:right w:val="single" w:sz="8" w:space="0" w:color="FFFFFF"/>
            </w:tcBorders>
            <w:shd w:val="clear" w:color="auto" w:fill="DFECF3"/>
          </w:tcPr>
          <w:p w:rsidR="00212C0B" w:rsidRPr="00E00321" w:rsidRDefault="00212C0B" w:rsidP="00E00321">
            <w:pPr>
              <w:spacing w:after="0"/>
              <w:rPr>
                <w:rFonts w:asciiTheme="minorHAnsi" w:hAnsiTheme="minorHAnsi" w:cs="Arial"/>
                <w:sz w:val="16"/>
                <w:szCs w:val="16"/>
              </w:rPr>
            </w:pPr>
          </w:p>
        </w:tc>
        <w:tc>
          <w:tcPr>
            <w:tcW w:w="1814" w:type="dxa"/>
            <w:tcBorders>
              <w:top w:val="single" w:sz="8" w:space="0" w:color="FFFFFF"/>
              <w:left w:val="single" w:sz="8" w:space="0" w:color="FFFFFF"/>
              <w:bottom w:val="single" w:sz="8" w:space="0" w:color="FFFFFF"/>
              <w:right w:val="single" w:sz="8" w:space="0" w:color="FFFFFF"/>
            </w:tcBorders>
            <w:shd w:val="clear" w:color="auto" w:fill="DFECF3"/>
          </w:tcPr>
          <w:p w:rsidR="00212C0B" w:rsidRPr="00E00321" w:rsidRDefault="00212C0B" w:rsidP="00E00321">
            <w:pPr>
              <w:pStyle w:val="TableParagraph"/>
              <w:jc w:val="center"/>
              <w:rPr>
                <w:rFonts w:asciiTheme="minorHAnsi" w:eastAsia="Calibri" w:hAnsiTheme="minorHAnsi" w:cs="Arial"/>
                <w:sz w:val="16"/>
                <w:szCs w:val="16"/>
              </w:rPr>
            </w:pPr>
            <w:r w:rsidRPr="00E00321">
              <w:rPr>
                <w:rFonts w:asciiTheme="minorHAnsi" w:eastAsia="Calibri" w:hAnsiTheme="minorHAnsi" w:cs="Arial"/>
                <w:color w:val="231F20"/>
                <w:sz w:val="16"/>
                <w:szCs w:val="16"/>
              </w:rPr>
              <w:t>P</w:t>
            </w:r>
            <w:r w:rsidRPr="00E00321">
              <w:rPr>
                <w:rFonts w:asciiTheme="minorHAnsi" w:eastAsia="Calibri" w:hAnsiTheme="minorHAnsi" w:cs="Arial"/>
                <w:color w:val="231F20"/>
                <w:spacing w:val="-6"/>
                <w:sz w:val="16"/>
                <w:szCs w:val="16"/>
              </w:rPr>
              <w:t xml:space="preserve"> </w:t>
            </w:r>
            <w:r w:rsidRPr="00E00321">
              <w:rPr>
                <w:rFonts w:asciiTheme="minorHAnsi" w:eastAsia="Symbol" w:hAnsiTheme="minorHAnsi" w:cs="Arial"/>
                <w:color w:val="231F20"/>
                <w:sz w:val="16"/>
                <w:szCs w:val="16"/>
              </w:rPr>
              <w:t xml:space="preserve">≤ </w:t>
            </w:r>
            <w:r w:rsidRPr="00E00321">
              <w:rPr>
                <w:rFonts w:asciiTheme="minorHAnsi" w:eastAsia="Calibri" w:hAnsiTheme="minorHAnsi" w:cs="Arial"/>
                <w:color w:val="231F20"/>
                <w:sz w:val="16"/>
                <w:szCs w:val="16"/>
              </w:rPr>
              <w:t>13</w:t>
            </w:r>
          </w:p>
        </w:tc>
        <w:tc>
          <w:tcPr>
            <w:tcW w:w="1815" w:type="dxa"/>
            <w:tcBorders>
              <w:top w:val="single" w:sz="8" w:space="0" w:color="FFFFFF"/>
              <w:left w:val="single" w:sz="8" w:space="0" w:color="FFFFFF"/>
              <w:bottom w:val="single" w:sz="8" w:space="0" w:color="FFFFFF"/>
              <w:right w:val="single" w:sz="8" w:space="0" w:color="FFFFFF"/>
            </w:tcBorders>
            <w:shd w:val="clear" w:color="auto" w:fill="DFECF3"/>
          </w:tcPr>
          <w:p w:rsidR="00212C0B" w:rsidRPr="00E00321" w:rsidRDefault="00212C0B" w:rsidP="00E00321">
            <w:pPr>
              <w:pStyle w:val="TableParagraph"/>
              <w:jc w:val="center"/>
              <w:rPr>
                <w:rFonts w:asciiTheme="minorHAnsi" w:eastAsia="Calibri" w:hAnsiTheme="minorHAnsi" w:cs="Arial"/>
                <w:sz w:val="16"/>
                <w:szCs w:val="16"/>
              </w:rPr>
            </w:pPr>
            <w:r w:rsidRPr="00E00321">
              <w:rPr>
                <w:rFonts w:asciiTheme="minorHAnsi" w:eastAsia="Calibri" w:hAnsiTheme="minorHAnsi" w:cs="Arial"/>
                <w:color w:val="231F20"/>
                <w:sz w:val="16"/>
                <w:szCs w:val="16"/>
              </w:rPr>
              <w:t>CL</w:t>
            </w:r>
            <w:r w:rsidRPr="00E00321">
              <w:rPr>
                <w:rFonts w:asciiTheme="minorHAnsi" w:eastAsia="Calibri" w:hAnsiTheme="minorHAnsi" w:cs="Arial"/>
                <w:color w:val="231F20"/>
                <w:spacing w:val="-8"/>
                <w:sz w:val="16"/>
                <w:szCs w:val="16"/>
              </w:rPr>
              <w:t xml:space="preserve"> </w:t>
            </w:r>
            <w:r w:rsidRPr="00E00321">
              <w:rPr>
                <w:rFonts w:asciiTheme="minorHAnsi" w:eastAsia="Symbol" w:hAnsiTheme="minorHAnsi" w:cs="Arial"/>
                <w:color w:val="231F20"/>
                <w:sz w:val="16"/>
                <w:szCs w:val="16"/>
              </w:rPr>
              <w:t xml:space="preserve">≤ </w:t>
            </w:r>
            <w:r w:rsidRPr="00E00321">
              <w:rPr>
                <w:rFonts w:asciiTheme="minorHAnsi" w:eastAsia="Calibri" w:hAnsiTheme="minorHAnsi" w:cs="Arial"/>
                <w:color w:val="231F20"/>
                <w:sz w:val="16"/>
                <w:szCs w:val="16"/>
              </w:rPr>
              <w:t>0,74</w:t>
            </w:r>
          </w:p>
        </w:tc>
      </w:tr>
      <w:tr w:rsidR="00212C0B" w:rsidRPr="00E00321" w:rsidTr="00E00321">
        <w:trPr>
          <w:cantSplit/>
          <w:trHeight w:val="255"/>
          <w:jc w:val="center"/>
        </w:trPr>
        <w:tc>
          <w:tcPr>
            <w:tcW w:w="1814" w:type="dxa"/>
            <w:tcBorders>
              <w:top w:val="single" w:sz="8" w:space="0" w:color="FFFFFF"/>
              <w:left w:val="single" w:sz="8" w:space="0" w:color="FFFFFF"/>
              <w:bottom w:val="single" w:sz="8" w:space="0" w:color="FFFFFF"/>
              <w:right w:val="single" w:sz="8" w:space="0" w:color="FFFFFF"/>
            </w:tcBorders>
            <w:shd w:val="clear" w:color="auto" w:fill="6BBE45"/>
          </w:tcPr>
          <w:p w:rsidR="00212C0B" w:rsidRPr="00E00321" w:rsidRDefault="00212C0B" w:rsidP="00E00321">
            <w:pPr>
              <w:pStyle w:val="TableParagraph"/>
              <w:ind w:left="495"/>
              <w:rPr>
                <w:rFonts w:asciiTheme="minorHAnsi" w:eastAsia="Calibri" w:hAnsiTheme="minorHAnsi" w:cs="Arial"/>
                <w:sz w:val="16"/>
                <w:szCs w:val="16"/>
              </w:rPr>
            </w:pPr>
            <w:r w:rsidRPr="00E00321">
              <w:rPr>
                <w:rFonts w:asciiTheme="minorHAnsi" w:hAnsiTheme="minorHAnsi" w:cs="Arial"/>
                <w:b/>
                <w:color w:val="231F20"/>
                <w:sz w:val="16"/>
                <w:szCs w:val="16"/>
              </w:rPr>
              <w:t>Oligotrófico</w:t>
            </w:r>
          </w:p>
        </w:tc>
        <w:tc>
          <w:tcPr>
            <w:tcW w:w="1814" w:type="dxa"/>
            <w:tcBorders>
              <w:top w:val="single" w:sz="8" w:space="0" w:color="FFFFFF"/>
              <w:left w:val="single" w:sz="8" w:space="0" w:color="FFFFFF"/>
              <w:bottom w:val="single" w:sz="8" w:space="0" w:color="FFFFFF"/>
              <w:right w:val="single" w:sz="8" w:space="0" w:color="FFFFFF"/>
            </w:tcBorders>
            <w:shd w:val="clear" w:color="auto" w:fill="C6DEEA"/>
          </w:tcPr>
          <w:p w:rsidR="00212C0B" w:rsidRPr="00E00321" w:rsidRDefault="00212C0B" w:rsidP="00E00321">
            <w:pPr>
              <w:pStyle w:val="TableParagraph"/>
              <w:ind w:left="482"/>
              <w:rPr>
                <w:rFonts w:asciiTheme="minorHAnsi" w:eastAsia="Calibri" w:hAnsiTheme="minorHAnsi" w:cs="Arial"/>
                <w:sz w:val="16"/>
                <w:szCs w:val="16"/>
              </w:rPr>
            </w:pPr>
            <w:r w:rsidRPr="00E00321">
              <w:rPr>
                <w:rFonts w:asciiTheme="minorHAnsi" w:eastAsia="Calibri" w:hAnsiTheme="minorHAnsi" w:cs="Arial"/>
                <w:color w:val="231F20"/>
                <w:sz w:val="16"/>
                <w:szCs w:val="16"/>
              </w:rPr>
              <w:t>47</w:t>
            </w:r>
            <w:r w:rsidRPr="00E00321">
              <w:rPr>
                <w:rFonts w:asciiTheme="minorHAnsi" w:eastAsia="Calibri" w:hAnsiTheme="minorHAnsi" w:cs="Arial"/>
                <w:color w:val="231F20"/>
                <w:spacing w:val="-3"/>
                <w:sz w:val="16"/>
                <w:szCs w:val="16"/>
              </w:rPr>
              <w:t xml:space="preserve"> </w:t>
            </w:r>
            <w:r w:rsidRPr="00E00321">
              <w:rPr>
                <w:rFonts w:asciiTheme="minorHAnsi" w:eastAsia="Calibri" w:hAnsiTheme="minorHAnsi" w:cs="Arial"/>
                <w:color w:val="231F20"/>
                <w:sz w:val="16"/>
                <w:szCs w:val="16"/>
              </w:rPr>
              <w:t>&lt;</w:t>
            </w:r>
            <w:r w:rsidRPr="00E00321">
              <w:rPr>
                <w:rFonts w:asciiTheme="minorHAnsi" w:eastAsia="Calibri" w:hAnsiTheme="minorHAnsi" w:cs="Arial"/>
                <w:color w:val="231F20"/>
                <w:spacing w:val="-2"/>
                <w:sz w:val="16"/>
                <w:szCs w:val="16"/>
              </w:rPr>
              <w:t xml:space="preserve"> </w:t>
            </w:r>
            <w:r w:rsidRPr="00E00321">
              <w:rPr>
                <w:rFonts w:asciiTheme="minorHAnsi" w:eastAsia="Calibri" w:hAnsiTheme="minorHAnsi" w:cs="Arial"/>
                <w:color w:val="231F20"/>
                <w:sz w:val="16"/>
                <w:szCs w:val="16"/>
              </w:rPr>
              <w:t>IET</w:t>
            </w:r>
            <w:r w:rsidRPr="00E00321">
              <w:rPr>
                <w:rFonts w:asciiTheme="minorHAnsi" w:eastAsia="Calibri" w:hAnsiTheme="minorHAnsi" w:cs="Arial"/>
                <w:color w:val="231F20"/>
                <w:spacing w:val="-2"/>
                <w:sz w:val="16"/>
                <w:szCs w:val="16"/>
              </w:rPr>
              <w:t xml:space="preserve"> </w:t>
            </w:r>
            <w:r w:rsidRPr="00E00321">
              <w:rPr>
                <w:rFonts w:asciiTheme="minorHAnsi" w:eastAsia="Symbol" w:hAnsiTheme="minorHAnsi" w:cs="Arial"/>
                <w:color w:val="231F20"/>
                <w:sz w:val="16"/>
                <w:szCs w:val="16"/>
              </w:rPr>
              <w:t xml:space="preserve">≤ </w:t>
            </w:r>
            <w:r w:rsidRPr="00E00321">
              <w:rPr>
                <w:rFonts w:asciiTheme="minorHAnsi" w:eastAsia="Calibri" w:hAnsiTheme="minorHAnsi" w:cs="Arial"/>
                <w:color w:val="231F20"/>
                <w:sz w:val="16"/>
                <w:szCs w:val="16"/>
              </w:rPr>
              <w:t>52</w:t>
            </w:r>
          </w:p>
        </w:tc>
        <w:tc>
          <w:tcPr>
            <w:tcW w:w="1814" w:type="dxa"/>
            <w:tcBorders>
              <w:top w:val="single" w:sz="8" w:space="0" w:color="FFFFFF"/>
              <w:left w:val="single" w:sz="8" w:space="0" w:color="FFFFFF"/>
              <w:bottom w:val="single" w:sz="8" w:space="0" w:color="FFFFFF"/>
              <w:right w:val="single" w:sz="8" w:space="0" w:color="FFFFFF"/>
            </w:tcBorders>
            <w:shd w:val="clear" w:color="auto" w:fill="C6DEEA"/>
          </w:tcPr>
          <w:p w:rsidR="00212C0B" w:rsidRPr="00E00321" w:rsidRDefault="00212C0B" w:rsidP="00E00321">
            <w:pPr>
              <w:spacing w:after="0"/>
              <w:rPr>
                <w:rFonts w:asciiTheme="minorHAnsi" w:hAnsiTheme="minorHAnsi" w:cs="Arial"/>
                <w:sz w:val="16"/>
                <w:szCs w:val="16"/>
              </w:rPr>
            </w:pPr>
          </w:p>
        </w:tc>
        <w:tc>
          <w:tcPr>
            <w:tcW w:w="1814" w:type="dxa"/>
            <w:tcBorders>
              <w:top w:val="single" w:sz="8" w:space="0" w:color="FFFFFF"/>
              <w:left w:val="single" w:sz="8" w:space="0" w:color="FFFFFF"/>
              <w:bottom w:val="single" w:sz="8" w:space="0" w:color="FFFFFF"/>
              <w:right w:val="single" w:sz="8" w:space="0" w:color="FFFFFF"/>
            </w:tcBorders>
            <w:shd w:val="clear" w:color="auto" w:fill="C6DEEA"/>
          </w:tcPr>
          <w:p w:rsidR="00212C0B" w:rsidRPr="00E00321" w:rsidRDefault="00212C0B" w:rsidP="00E00321">
            <w:pPr>
              <w:pStyle w:val="TableParagraph"/>
              <w:ind w:left="555"/>
              <w:rPr>
                <w:rFonts w:asciiTheme="minorHAnsi" w:eastAsia="Calibri" w:hAnsiTheme="minorHAnsi" w:cs="Arial"/>
                <w:sz w:val="16"/>
                <w:szCs w:val="16"/>
              </w:rPr>
            </w:pPr>
            <w:r w:rsidRPr="00E00321">
              <w:rPr>
                <w:rFonts w:asciiTheme="minorHAnsi" w:eastAsia="Calibri" w:hAnsiTheme="minorHAnsi" w:cs="Arial"/>
                <w:color w:val="231F20"/>
                <w:sz w:val="16"/>
                <w:szCs w:val="16"/>
              </w:rPr>
              <w:t>13&lt;</w:t>
            </w:r>
            <w:r w:rsidRPr="00E00321">
              <w:rPr>
                <w:rFonts w:asciiTheme="minorHAnsi" w:eastAsia="Calibri" w:hAnsiTheme="minorHAnsi" w:cs="Arial"/>
                <w:color w:val="231F20"/>
                <w:spacing w:val="-1"/>
                <w:sz w:val="16"/>
                <w:szCs w:val="16"/>
              </w:rPr>
              <w:t xml:space="preserve"> </w:t>
            </w:r>
            <w:r w:rsidRPr="00E00321">
              <w:rPr>
                <w:rFonts w:asciiTheme="minorHAnsi" w:eastAsia="Calibri" w:hAnsiTheme="minorHAnsi" w:cs="Arial"/>
                <w:color w:val="231F20"/>
                <w:sz w:val="16"/>
                <w:szCs w:val="16"/>
              </w:rPr>
              <w:t>P</w:t>
            </w:r>
            <w:r w:rsidRPr="00E00321">
              <w:rPr>
                <w:rFonts w:asciiTheme="minorHAnsi" w:eastAsia="Calibri" w:hAnsiTheme="minorHAnsi" w:cs="Arial"/>
                <w:color w:val="231F20"/>
                <w:spacing w:val="-1"/>
                <w:sz w:val="16"/>
                <w:szCs w:val="16"/>
              </w:rPr>
              <w:t xml:space="preserve"> </w:t>
            </w:r>
            <w:r w:rsidRPr="00E00321">
              <w:rPr>
                <w:rFonts w:asciiTheme="minorHAnsi" w:eastAsia="Symbol" w:hAnsiTheme="minorHAnsi" w:cs="Arial"/>
                <w:color w:val="231F20"/>
                <w:sz w:val="16"/>
                <w:szCs w:val="16"/>
              </w:rPr>
              <w:t xml:space="preserve">≤ </w:t>
            </w:r>
            <w:r w:rsidRPr="00E00321">
              <w:rPr>
                <w:rFonts w:asciiTheme="minorHAnsi" w:eastAsia="Calibri" w:hAnsiTheme="minorHAnsi" w:cs="Arial"/>
                <w:color w:val="231F20"/>
                <w:sz w:val="16"/>
                <w:szCs w:val="16"/>
              </w:rPr>
              <w:t>35</w:t>
            </w:r>
          </w:p>
        </w:tc>
        <w:tc>
          <w:tcPr>
            <w:tcW w:w="1815" w:type="dxa"/>
            <w:tcBorders>
              <w:top w:val="single" w:sz="8" w:space="0" w:color="FFFFFF"/>
              <w:left w:val="single" w:sz="8" w:space="0" w:color="FFFFFF"/>
              <w:bottom w:val="single" w:sz="8" w:space="0" w:color="FFFFFF"/>
              <w:right w:val="single" w:sz="8" w:space="0" w:color="FFFFFF"/>
            </w:tcBorders>
            <w:shd w:val="clear" w:color="auto" w:fill="C6DEEA"/>
          </w:tcPr>
          <w:p w:rsidR="00212C0B" w:rsidRPr="00E00321" w:rsidRDefault="00212C0B" w:rsidP="00E00321">
            <w:pPr>
              <w:pStyle w:val="TableParagraph"/>
              <w:ind w:left="384"/>
              <w:rPr>
                <w:rFonts w:asciiTheme="minorHAnsi" w:eastAsia="Calibri" w:hAnsiTheme="minorHAnsi" w:cs="Arial"/>
                <w:sz w:val="16"/>
                <w:szCs w:val="16"/>
              </w:rPr>
            </w:pPr>
            <w:r w:rsidRPr="00E00321">
              <w:rPr>
                <w:rFonts w:asciiTheme="minorHAnsi" w:eastAsia="Calibri" w:hAnsiTheme="minorHAnsi" w:cs="Arial"/>
                <w:color w:val="231F20"/>
                <w:sz w:val="16"/>
                <w:szCs w:val="16"/>
              </w:rPr>
              <w:t>0,74</w:t>
            </w:r>
            <w:r w:rsidRPr="00E00321">
              <w:rPr>
                <w:rFonts w:asciiTheme="minorHAnsi" w:eastAsia="Calibri" w:hAnsiTheme="minorHAnsi" w:cs="Arial"/>
                <w:color w:val="231F20"/>
                <w:spacing w:val="-3"/>
                <w:sz w:val="16"/>
                <w:szCs w:val="16"/>
              </w:rPr>
              <w:t xml:space="preserve"> </w:t>
            </w:r>
            <w:r w:rsidRPr="00E00321">
              <w:rPr>
                <w:rFonts w:asciiTheme="minorHAnsi" w:eastAsia="Calibri" w:hAnsiTheme="minorHAnsi" w:cs="Arial"/>
                <w:color w:val="231F20"/>
                <w:sz w:val="16"/>
                <w:szCs w:val="16"/>
              </w:rPr>
              <w:t>&lt;</w:t>
            </w:r>
            <w:r w:rsidRPr="00E00321">
              <w:rPr>
                <w:rFonts w:asciiTheme="minorHAnsi" w:eastAsia="Calibri" w:hAnsiTheme="minorHAnsi" w:cs="Arial"/>
                <w:color w:val="231F20"/>
                <w:spacing w:val="-3"/>
                <w:sz w:val="16"/>
                <w:szCs w:val="16"/>
              </w:rPr>
              <w:t xml:space="preserve"> </w:t>
            </w:r>
            <w:r w:rsidRPr="00E00321">
              <w:rPr>
                <w:rFonts w:asciiTheme="minorHAnsi" w:eastAsia="Calibri" w:hAnsiTheme="minorHAnsi" w:cs="Arial"/>
                <w:color w:val="231F20"/>
                <w:sz w:val="16"/>
                <w:szCs w:val="16"/>
              </w:rPr>
              <w:t>CL</w:t>
            </w:r>
            <w:r w:rsidRPr="00E00321">
              <w:rPr>
                <w:rFonts w:asciiTheme="minorHAnsi" w:eastAsia="Calibri" w:hAnsiTheme="minorHAnsi" w:cs="Arial"/>
                <w:color w:val="231F20"/>
                <w:spacing w:val="-3"/>
                <w:sz w:val="16"/>
                <w:szCs w:val="16"/>
              </w:rPr>
              <w:t xml:space="preserve"> </w:t>
            </w:r>
            <w:r w:rsidRPr="00E00321">
              <w:rPr>
                <w:rFonts w:asciiTheme="minorHAnsi" w:eastAsia="Symbol" w:hAnsiTheme="minorHAnsi" w:cs="Arial"/>
                <w:color w:val="231F20"/>
                <w:sz w:val="16"/>
                <w:szCs w:val="16"/>
              </w:rPr>
              <w:t xml:space="preserve">≤ </w:t>
            </w:r>
            <w:r w:rsidRPr="00E00321">
              <w:rPr>
                <w:rFonts w:asciiTheme="minorHAnsi" w:eastAsia="Calibri" w:hAnsiTheme="minorHAnsi" w:cs="Arial"/>
                <w:color w:val="231F20"/>
                <w:sz w:val="16"/>
                <w:szCs w:val="16"/>
              </w:rPr>
              <w:t>1,31</w:t>
            </w:r>
          </w:p>
        </w:tc>
      </w:tr>
      <w:tr w:rsidR="00212C0B" w:rsidRPr="00E00321" w:rsidTr="00E00321">
        <w:trPr>
          <w:cantSplit/>
          <w:trHeight w:val="255"/>
          <w:jc w:val="center"/>
        </w:trPr>
        <w:tc>
          <w:tcPr>
            <w:tcW w:w="1814" w:type="dxa"/>
            <w:tcBorders>
              <w:top w:val="single" w:sz="8" w:space="0" w:color="FFFFFF"/>
              <w:left w:val="single" w:sz="8" w:space="0" w:color="FFFFFF"/>
              <w:bottom w:val="single" w:sz="8" w:space="0" w:color="FFFFFF"/>
              <w:right w:val="single" w:sz="8" w:space="0" w:color="FFFFFF"/>
            </w:tcBorders>
            <w:shd w:val="clear" w:color="auto" w:fill="FBEA1E"/>
          </w:tcPr>
          <w:p w:rsidR="00212C0B" w:rsidRPr="00E00321" w:rsidRDefault="00212C0B" w:rsidP="00E00321">
            <w:pPr>
              <w:pStyle w:val="TableParagraph"/>
              <w:ind w:left="494"/>
              <w:rPr>
                <w:rFonts w:asciiTheme="minorHAnsi" w:eastAsia="Calibri" w:hAnsiTheme="minorHAnsi" w:cs="Arial"/>
                <w:sz w:val="16"/>
                <w:szCs w:val="16"/>
              </w:rPr>
            </w:pPr>
            <w:r w:rsidRPr="00E00321">
              <w:rPr>
                <w:rFonts w:asciiTheme="minorHAnsi" w:hAnsiTheme="minorHAnsi" w:cs="Arial"/>
                <w:b/>
                <w:color w:val="231F20"/>
                <w:sz w:val="16"/>
                <w:szCs w:val="16"/>
              </w:rPr>
              <w:t>Mesotrófico</w:t>
            </w:r>
          </w:p>
        </w:tc>
        <w:tc>
          <w:tcPr>
            <w:tcW w:w="1814" w:type="dxa"/>
            <w:tcBorders>
              <w:top w:val="single" w:sz="8" w:space="0" w:color="FFFFFF"/>
              <w:left w:val="single" w:sz="8" w:space="0" w:color="FFFFFF"/>
              <w:bottom w:val="single" w:sz="8" w:space="0" w:color="FFFFFF"/>
              <w:right w:val="single" w:sz="8" w:space="0" w:color="FFFFFF"/>
            </w:tcBorders>
            <w:shd w:val="clear" w:color="auto" w:fill="DFECF3"/>
          </w:tcPr>
          <w:p w:rsidR="00212C0B" w:rsidRPr="00E00321" w:rsidRDefault="00212C0B" w:rsidP="00E00321">
            <w:pPr>
              <w:pStyle w:val="TableParagraph"/>
              <w:ind w:left="482"/>
              <w:rPr>
                <w:rFonts w:asciiTheme="minorHAnsi" w:eastAsia="Calibri" w:hAnsiTheme="minorHAnsi" w:cs="Arial"/>
                <w:sz w:val="16"/>
                <w:szCs w:val="16"/>
              </w:rPr>
            </w:pPr>
            <w:r w:rsidRPr="00E00321">
              <w:rPr>
                <w:rFonts w:asciiTheme="minorHAnsi" w:eastAsia="Calibri" w:hAnsiTheme="minorHAnsi" w:cs="Arial"/>
                <w:color w:val="231F20"/>
                <w:sz w:val="16"/>
                <w:szCs w:val="16"/>
              </w:rPr>
              <w:t>52</w:t>
            </w:r>
            <w:r w:rsidRPr="00E00321">
              <w:rPr>
                <w:rFonts w:asciiTheme="minorHAnsi" w:eastAsia="Calibri" w:hAnsiTheme="minorHAnsi" w:cs="Arial"/>
                <w:color w:val="231F20"/>
                <w:spacing w:val="-3"/>
                <w:sz w:val="16"/>
                <w:szCs w:val="16"/>
              </w:rPr>
              <w:t xml:space="preserve"> </w:t>
            </w:r>
            <w:r w:rsidRPr="00E00321">
              <w:rPr>
                <w:rFonts w:asciiTheme="minorHAnsi" w:eastAsia="Calibri" w:hAnsiTheme="minorHAnsi" w:cs="Arial"/>
                <w:color w:val="231F20"/>
                <w:sz w:val="16"/>
                <w:szCs w:val="16"/>
              </w:rPr>
              <w:t>&lt;</w:t>
            </w:r>
            <w:r w:rsidRPr="00E00321">
              <w:rPr>
                <w:rFonts w:asciiTheme="minorHAnsi" w:eastAsia="Calibri" w:hAnsiTheme="minorHAnsi" w:cs="Arial"/>
                <w:color w:val="231F20"/>
                <w:spacing w:val="-2"/>
                <w:sz w:val="16"/>
                <w:szCs w:val="16"/>
              </w:rPr>
              <w:t xml:space="preserve"> </w:t>
            </w:r>
            <w:r w:rsidRPr="00E00321">
              <w:rPr>
                <w:rFonts w:asciiTheme="minorHAnsi" w:eastAsia="Calibri" w:hAnsiTheme="minorHAnsi" w:cs="Arial"/>
                <w:color w:val="231F20"/>
                <w:sz w:val="16"/>
                <w:szCs w:val="16"/>
              </w:rPr>
              <w:t>IET</w:t>
            </w:r>
            <w:r w:rsidRPr="00E00321">
              <w:rPr>
                <w:rFonts w:asciiTheme="minorHAnsi" w:eastAsia="Calibri" w:hAnsiTheme="minorHAnsi" w:cs="Arial"/>
                <w:color w:val="231F20"/>
                <w:spacing w:val="-2"/>
                <w:sz w:val="16"/>
                <w:szCs w:val="16"/>
              </w:rPr>
              <w:t xml:space="preserve"> </w:t>
            </w:r>
            <w:r w:rsidRPr="00E00321">
              <w:rPr>
                <w:rFonts w:asciiTheme="minorHAnsi" w:eastAsia="Symbol" w:hAnsiTheme="minorHAnsi" w:cs="Arial"/>
                <w:color w:val="231F20"/>
                <w:sz w:val="16"/>
                <w:szCs w:val="16"/>
              </w:rPr>
              <w:t xml:space="preserve">≤ </w:t>
            </w:r>
            <w:r w:rsidRPr="00E00321">
              <w:rPr>
                <w:rFonts w:asciiTheme="minorHAnsi" w:eastAsia="Calibri" w:hAnsiTheme="minorHAnsi" w:cs="Arial"/>
                <w:color w:val="231F20"/>
                <w:sz w:val="16"/>
                <w:szCs w:val="16"/>
              </w:rPr>
              <w:t>59</w:t>
            </w:r>
          </w:p>
        </w:tc>
        <w:tc>
          <w:tcPr>
            <w:tcW w:w="1814" w:type="dxa"/>
            <w:tcBorders>
              <w:top w:val="single" w:sz="8" w:space="0" w:color="FFFFFF"/>
              <w:left w:val="single" w:sz="8" w:space="0" w:color="FFFFFF"/>
              <w:bottom w:val="single" w:sz="8" w:space="0" w:color="FFFFFF"/>
              <w:right w:val="single" w:sz="8" w:space="0" w:color="FFFFFF"/>
            </w:tcBorders>
            <w:shd w:val="clear" w:color="auto" w:fill="DFECF3"/>
          </w:tcPr>
          <w:p w:rsidR="00212C0B" w:rsidRPr="00E00321" w:rsidRDefault="00212C0B" w:rsidP="00E00321">
            <w:pPr>
              <w:spacing w:after="0"/>
              <w:rPr>
                <w:rFonts w:asciiTheme="minorHAnsi" w:hAnsiTheme="minorHAnsi" w:cs="Arial"/>
                <w:sz w:val="16"/>
                <w:szCs w:val="16"/>
              </w:rPr>
            </w:pPr>
          </w:p>
        </w:tc>
        <w:tc>
          <w:tcPr>
            <w:tcW w:w="1814" w:type="dxa"/>
            <w:tcBorders>
              <w:top w:val="single" w:sz="8" w:space="0" w:color="FFFFFF"/>
              <w:left w:val="single" w:sz="8" w:space="0" w:color="FFFFFF"/>
              <w:bottom w:val="single" w:sz="8" w:space="0" w:color="FFFFFF"/>
              <w:right w:val="single" w:sz="8" w:space="0" w:color="FFFFFF"/>
            </w:tcBorders>
            <w:shd w:val="clear" w:color="auto" w:fill="DFECF3"/>
          </w:tcPr>
          <w:p w:rsidR="00212C0B" w:rsidRPr="00E00321" w:rsidRDefault="00212C0B" w:rsidP="00E00321">
            <w:pPr>
              <w:pStyle w:val="TableParagraph"/>
              <w:ind w:left="497"/>
              <w:rPr>
                <w:rFonts w:asciiTheme="minorHAnsi" w:eastAsia="Calibri" w:hAnsiTheme="minorHAnsi" w:cs="Arial"/>
                <w:sz w:val="16"/>
                <w:szCs w:val="16"/>
              </w:rPr>
            </w:pPr>
            <w:r w:rsidRPr="00E00321">
              <w:rPr>
                <w:rFonts w:asciiTheme="minorHAnsi" w:eastAsia="Calibri" w:hAnsiTheme="minorHAnsi" w:cs="Arial"/>
                <w:color w:val="231F20"/>
                <w:sz w:val="16"/>
                <w:szCs w:val="16"/>
              </w:rPr>
              <w:t>35</w:t>
            </w:r>
            <w:r w:rsidRPr="00E00321">
              <w:rPr>
                <w:rFonts w:asciiTheme="minorHAnsi" w:eastAsia="Calibri" w:hAnsiTheme="minorHAnsi" w:cs="Arial"/>
                <w:color w:val="231F20"/>
                <w:spacing w:val="-2"/>
                <w:sz w:val="16"/>
                <w:szCs w:val="16"/>
              </w:rPr>
              <w:t xml:space="preserve"> </w:t>
            </w:r>
            <w:r w:rsidRPr="00E00321">
              <w:rPr>
                <w:rFonts w:asciiTheme="minorHAnsi" w:eastAsia="Calibri" w:hAnsiTheme="minorHAnsi" w:cs="Arial"/>
                <w:color w:val="231F20"/>
                <w:sz w:val="16"/>
                <w:szCs w:val="16"/>
              </w:rPr>
              <w:t>&lt;</w:t>
            </w:r>
            <w:r w:rsidRPr="00E00321">
              <w:rPr>
                <w:rFonts w:asciiTheme="minorHAnsi" w:eastAsia="Calibri" w:hAnsiTheme="minorHAnsi" w:cs="Arial"/>
                <w:color w:val="231F20"/>
                <w:spacing w:val="-2"/>
                <w:sz w:val="16"/>
                <w:szCs w:val="16"/>
              </w:rPr>
              <w:t xml:space="preserve"> </w:t>
            </w:r>
            <w:r w:rsidRPr="00E00321">
              <w:rPr>
                <w:rFonts w:asciiTheme="minorHAnsi" w:eastAsia="Calibri" w:hAnsiTheme="minorHAnsi" w:cs="Arial"/>
                <w:color w:val="231F20"/>
                <w:sz w:val="16"/>
                <w:szCs w:val="16"/>
              </w:rPr>
              <w:t>P</w:t>
            </w:r>
            <w:r w:rsidRPr="00E00321">
              <w:rPr>
                <w:rFonts w:asciiTheme="minorHAnsi" w:eastAsia="Calibri" w:hAnsiTheme="minorHAnsi" w:cs="Arial"/>
                <w:color w:val="231F20"/>
                <w:spacing w:val="-1"/>
                <w:sz w:val="16"/>
                <w:szCs w:val="16"/>
              </w:rPr>
              <w:t xml:space="preserve"> </w:t>
            </w:r>
            <w:r w:rsidRPr="00E00321">
              <w:rPr>
                <w:rFonts w:asciiTheme="minorHAnsi" w:eastAsia="Symbol" w:hAnsiTheme="minorHAnsi" w:cs="Arial"/>
                <w:color w:val="231F20"/>
                <w:sz w:val="16"/>
                <w:szCs w:val="16"/>
              </w:rPr>
              <w:t xml:space="preserve">≤ </w:t>
            </w:r>
            <w:r w:rsidRPr="00E00321">
              <w:rPr>
                <w:rFonts w:asciiTheme="minorHAnsi" w:eastAsia="Calibri" w:hAnsiTheme="minorHAnsi" w:cs="Arial"/>
                <w:color w:val="231F20"/>
                <w:sz w:val="16"/>
                <w:szCs w:val="16"/>
              </w:rPr>
              <w:t>137</w:t>
            </w:r>
          </w:p>
        </w:tc>
        <w:tc>
          <w:tcPr>
            <w:tcW w:w="1815" w:type="dxa"/>
            <w:tcBorders>
              <w:top w:val="single" w:sz="8" w:space="0" w:color="FFFFFF"/>
              <w:left w:val="single" w:sz="8" w:space="0" w:color="FFFFFF"/>
              <w:bottom w:val="single" w:sz="8" w:space="0" w:color="FFFFFF"/>
              <w:right w:val="single" w:sz="8" w:space="0" w:color="FFFFFF"/>
            </w:tcBorders>
            <w:shd w:val="clear" w:color="auto" w:fill="DFECF3"/>
          </w:tcPr>
          <w:p w:rsidR="00212C0B" w:rsidRPr="00E00321" w:rsidRDefault="00212C0B" w:rsidP="00E00321">
            <w:pPr>
              <w:pStyle w:val="TableParagraph"/>
              <w:ind w:left="384"/>
              <w:rPr>
                <w:rFonts w:asciiTheme="minorHAnsi" w:eastAsia="Calibri" w:hAnsiTheme="minorHAnsi" w:cs="Arial"/>
                <w:sz w:val="16"/>
                <w:szCs w:val="16"/>
              </w:rPr>
            </w:pPr>
            <w:r w:rsidRPr="00E00321">
              <w:rPr>
                <w:rFonts w:asciiTheme="minorHAnsi" w:eastAsia="Calibri" w:hAnsiTheme="minorHAnsi" w:cs="Arial"/>
                <w:color w:val="231F20"/>
                <w:sz w:val="16"/>
                <w:szCs w:val="16"/>
              </w:rPr>
              <w:t>1,31</w:t>
            </w:r>
            <w:r w:rsidRPr="00E00321">
              <w:rPr>
                <w:rFonts w:asciiTheme="minorHAnsi" w:eastAsia="Calibri" w:hAnsiTheme="minorHAnsi" w:cs="Arial"/>
                <w:color w:val="231F20"/>
                <w:spacing w:val="-3"/>
                <w:sz w:val="16"/>
                <w:szCs w:val="16"/>
              </w:rPr>
              <w:t xml:space="preserve"> </w:t>
            </w:r>
            <w:r w:rsidRPr="00E00321">
              <w:rPr>
                <w:rFonts w:asciiTheme="minorHAnsi" w:eastAsia="Calibri" w:hAnsiTheme="minorHAnsi" w:cs="Arial"/>
                <w:color w:val="231F20"/>
                <w:sz w:val="16"/>
                <w:szCs w:val="16"/>
              </w:rPr>
              <w:t>&lt;</w:t>
            </w:r>
            <w:r w:rsidRPr="00E00321">
              <w:rPr>
                <w:rFonts w:asciiTheme="minorHAnsi" w:eastAsia="Calibri" w:hAnsiTheme="minorHAnsi" w:cs="Arial"/>
                <w:color w:val="231F20"/>
                <w:spacing w:val="-3"/>
                <w:sz w:val="16"/>
                <w:szCs w:val="16"/>
              </w:rPr>
              <w:t xml:space="preserve"> </w:t>
            </w:r>
            <w:r w:rsidRPr="00E00321">
              <w:rPr>
                <w:rFonts w:asciiTheme="minorHAnsi" w:eastAsia="Calibri" w:hAnsiTheme="minorHAnsi" w:cs="Arial"/>
                <w:color w:val="231F20"/>
                <w:sz w:val="16"/>
                <w:szCs w:val="16"/>
              </w:rPr>
              <w:t>CL</w:t>
            </w:r>
            <w:r w:rsidRPr="00E00321">
              <w:rPr>
                <w:rFonts w:asciiTheme="minorHAnsi" w:eastAsia="Calibri" w:hAnsiTheme="minorHAnsi" w:cs="Arial"/>
                <w:color w:val="231F20"/>
                <w:spacing w:val="-3"/>
                <w:sz w:val="16"/>
                <w:szCs w:val="16"/>
              </w:rPr>
              <w:t xml:space="preserve"> </w:t>
            </w:r>
            <w:r w:rsidRPr="00E00321">
              <w:rPr>
                <w:rFonts w:asciiTheme="minorHAnsi" w:eastAsia="Symbol" w:hAnsiTheme="minorHAnsi" w:cs="Arial"/>
                <w:color w:val="231F20"/>
                <w:sz w:val="16"/>
                <w:szCs w:val="16"/>
              </w:rPr>
              <w:t xml:space="preserve">≤ </w:t>
            </w:r>
            <w:r w:rsidRPr="00E00321">
              <w:rPr>
                <w:rFonts w:asciiTheme="minorHAnsi" w:eastAsia="Calibri" w:hAnsiTheme="minorHAnsi" w:cs="Arial"/>
                <w:color w:val="231F20"/>
                <w:sz w:val="16"/>
                <w:szCs w:val="16"/>
              </w:rPr>
              <w:t>2,96</w:t>
            </w:r>
          </w:p>
        </w:tc>
      </w:tr>
      <w:tr w:rsidR="00212C0B" w:rsidRPr="00E00321" w:rsidTr="00E00321">
        <w:trPr>
          <w:cantSplit/>
          <w:trHeight w:val="255"/>
          <w:jc w:val="center"/>
        </w:trPr>
        <w:tc>
          <w:tcPr>
            <w:tcW w:w="1814" w:type="dxa"/>
            <w:tcBorders>
              <w:top w:val="single" w:sz="8" w:space="0" w:color="FFFFFF"/>
              <w:left w:val="single" w:sz="8" w:space="0" w:color="FFFFFF"/>
              <w:bottom w:val="single" w:sz="8" w:space="0" w:color="FFFFFF"/>
              <w:right w:val="single" w:sz="8" w:space="0" w:color="FFFFFF"/>
            </w:tcBorders>
            <w:shd w:val="clear" w:color="auto" w:fill="F49522"/>
          </w:tcPr>
          <w:p w:rsidR="00212C0B" w:rsidRPr="00E00321" w:rsidRDefault="00212C0B" w:rsidP="00E00321">
            <w:pPr>
              <w:pStyle w:val="TableParagraph"/>
              <w:ind w:left="593"/>
              <w:rPr>
                <w:rFonts w:asciiTheme="minorHAnsi" w:eastAsia="Calibri" w:hAnsiTheme="minorHAnsi" w:cs="Arial"/>
                <w:sz w:val="16"/>
                <w:szCs w:val="16"/>
              </w:rPr>
            </w:pPr>
            <w:r w:rsidRPr="00E00321">
              <w:rPr>
                <w:rFonts w:asciiTheme="minorHAnsi" w:hAnsiTheme="minorHAnsi" w:cs="Arial"/>
                <w:b/>
                <w:color w:val="231F20"/>
                <w:sz w:val="16"/>
                <w:szCs w:val="16"/>
              </w:rPr>
              <w:t>Eutrófico</w:t>
            </w:r>
          </w:p>
        </w:tc>
        <w:tc>
          <w:tcPr>
            <w:tcW w:w="1814" w:type="dxa"/>
            <w:tcBorders>
              <w:top w:val="single" w:sz="8" w:space="0" w:color="FFFFFF"/>
              <w:left w:val="single" w:sz="8" w:space="0" w:color="FFFFFF"/>
              <w:bottom w:val="single" w:sz="8" w:space="0" w:color="FFFFFF"/>
              <w:right w:val="single" w:sz="8" w:space="0" w:color="FFFFFF"/>
            </w:tcBorders>
            <w:shd w:val="clear" w:color="auto" w:fill="C6DEEA"/>
          </w:tcPr>
          <w:p w:rsidR="00212C0B" w:rsidRPr="00E00321" w:rsidRDefault="00212C0B" w:rsidP="00E00321">
            <w:pPr>
              <w:pStyle w:val="TableParagraph"/>
              <w:ind w:left="482"/>
              <w:rPr>
                <w:rFonts w:asciiTheme="minorHAnsi" w:eastAsia="Calibri" w:hAnsiTheme="minorHAnsi" w:cs="Arial"/>
                <w:sz w:val="16"/>
                <w:szCs w:val="16"/>
              </w:rPr>
            </w:pPr>
            <w:r w:rsidRPr="00E00321">
              <w:rPr>
                <w:rFonts w:asciiTheme="minorHAnsi" w:eastAsia="Calibri" w:hAnsiTheme="minorHAnsi" w:cs="Arial"/>
                <w:color w:val="231F20"/>
                <w:sz w:val="16"/>
                <w:szCs w:val="16"/>
              </w:rPr>
              <w:t>59</w:t>
            </w:r>
            <w:r w:rsidRPr="00E00321">
              <w:rPr>
                <w:rFonts w:asciiTheme="minorHAnsi" w:eastAsia="Calibri" w:hAnsiTheme="minorHAnsi" w:cs="Arial"/>
                <w:color w:val="231F20"/>
                <w:spacing w:val="-3"/>
                <w:sz w:val="16"/>
                <w:szCs w:val="16"/>
              </w:rPr>
              <w:t xml:space="preserve"> </w:t>
            </w:r>
            <w:r w:rsidRPr="00E00321">
              <w:rPr>
                <w:rFonts w:asciiTheme="minorHAnsi" w:eastAsia="Calibri" w:hAnsiTheme="minorHAnsi" w:cs="Arial"/>
                <w:color w:val="231F20"/>
                <w:sz w:val="16"/>
                <w:szCs w:val="16"/>
              </w:rPr>
              <w:t>&lt;</w:t>
            </w:r>
            <w:r w:rsidRPr="00E00321">
              <w:rPr>
                <w:rFonts w:asciiTheme="minorHAnsi" w:eastAsia="Calibri" w:hAnsiTheme="minorHAnsi" w:cs="Arial"/>
                <w:color w:val="231F20"/>
                <w:spacing w:val="-2"/>
                <w:sz w:val="16"/>
                <w:szCs w:val="16"/>
              </w:rPr>
              <w:t xml:space="preserve"> </w:t>
            </w:r>
            <w:r w:rsidRPr="00E00321">
              <w:rPr>
                <w:rFonts w:asciiTheme="minorHAnsi" w:eastAsia="Calibri" w:hAnsiTheme="minorHAnsi" w:cs="Arial"/>
                <w:color w:val="231F20"/>
                <w:sz w:val="16"/>
                <w:szCs w:val="16"/>
              </w:rPr>
              <w:t>IET</w:t>
            </w:r>
            <w:r w:rsidRPr="00E00321">
              <w:rPr>
                <w:rFonts w:asciiTheme="minorHAnsi" w:eastAsia="Calibri" w:hAnsiTheme="minorHAnsi" w:cs="Arial"/>
                <w:color w:val="231F20"/>
                <w:spacing w:val="-2"/>
                <w:sz w:val="16"/>
                <w:szCs w:val="16"/>
              </w:rPr>
              <w:t xml:space="preserve"> </w:t>
            </w:r>
            <w:r w:rsidRPr="00E00321">
              <w:rPr>
                <w:rFonts w:asciiTheme="minorHAnsi" w:eastAsia="Symbol" w:hAnsiTheme="minorHAnsi" w:cs="Arial"/>
                <w:color w:val="231F20"/>
                <w:sz w:val="16"/>
                <w:szCs w:val="16"/>
              </w:rPr>
              <w:t xml:space="preserve">≤ </w:t>
            </w:r>
            <w:r w:rsidRPr="00E00321">
              <w:rPr>
                <w:rFonts w:asciiTheme="minorHAnsi" w:eastAsia="Calibri" w:hAnsiTheme="minorHAnsi" w:cs="Arial"/>
                <w:color w:val="231F20"/>
                <w:sz w:val="16"/>
                <w:szCs w:val="16"/>
              </w:rPr>
              <w:t>63</w:t>
            </w:r>
          </w:p>
        </w:tc>
        <w:tc>
          <w:tcPr>
            <w:tcW w:w="1814" w:type="dxa"/>
            <w:tcBorders>
              <w:top w:val="single" w:sz="8" w:space="0" w:color="FFFFFF"/>
              <w:left w:val="single" w:sz="8" w:space="0" w:color="FFFFFF"/>
              <w:bottom w:val="single" w:sz="8" w:space="0" w:color="FFFFFF"/>
              <w:right w:val="single" w:sz="8" w:space="0" w:color="FFFFFF"/>
            </w:tcBorders>
            <w:shd w:val="clear" w:color="auto" w:fill="C6DEEA"/>
          </w:tcPr>
          <w:p w:rsidR="00212C0B" w:rsidRPr="00E00321" w:rsidRDefault="00212C0B" w:rsidP="00E00321">
            <w:pPr>
              <w:spacing w:after="0"/>
              <w:rPr>
                <w:rFonts w:asciiTheme="minorHAnsi" w:hAnsiTheme="minorHAnsi" w:cs="Arial"/>
                <w:sz w:val="16"/>
                <w:szCs w:val="16"/>
              </w:rPr>
            </w:pPr>
          </w:p>
        </w:tc>
        <w:tc>
          <w:tcPr>
            <w:tcW w:w="1814" w:type="dxa"/>
            <w:tcBorders>
              <w:top w:val="single" w:sz="8" w:space="0" w:color="FFFFFF"/>
              <w:left w:val="single" w:sz="8" w:space="0" w:color="FFFFFF"/>
              <w:bottom w:val="single" w:sz="8" w:space="0" w:color="FFFFFF"/>
              <w:right w:val="single" w:sz="8" w:space="0" w:color="FFFFFF"/>
            </w:tcBorders>
            <w:shd w:val="clear" w:color="auto" w:fill="C6DEEA"/>
          </w:tcPr>
          <w:p w:rsidR="00212C0B" w:rsidRPr="00E00321" w:rsidRDefault="00212C0B" w:rsidP="00E00321">
            <w:pPr>
              <w:pStyle w:val="TableParagraph"/>
              <w:ind w:left="478"/>
              <w:rPr>
                <w:rFonts w:asciiTheme="minorHAnsi" w:eastAsia="Calibri" w:hAnsiTheme="minorHAnsi" w:cs="Arial"/>
                <w:sz w:val="16"/>
                <w:szCs w:val="16"/>
              </w:rPr>
            </w:pPr>
            <w:r w:rsidRPr="00E00321">
              <w:rPr>
                <w:rFonts w:asciiTheme="minorHAnsi" w:eastAsia="Calibri" w:hAnsiTheme="minorHAnsi" w:cs="Arial"/>
                <w:color w:val="231F20"/>
                <w:sz w:val="16"/>
                <w:szCs w:val="16"/>
              </w:rPr>
              <w:t>137&lt;</w:t>
            </w:r>
            <w:r w:rsidRPr="00E00321">
              <w:rPr>
                <w:rFonts w:asciiTheme="minorHAnsi" w:eastAsia="Calibri" w:hAnsiTheme="minorHAnsi" w:cs="Arial"/>
                <w:color w:val="231F20"/>
                <w:spacing w:val="-4"/>
                <w:sz w:val="16"/>
                <w:szCs w:val="16"/>
              </w:rPr>
              <w:t xml:space="preserve"> </w:t>
            </w:r>
            <w:r w:rsidRPr="00E00321">
              <w:rPr>
                <w:rFonts w:asciiTheme="minorHAnsi" w:eastAsia="Calibri" w:hAnsiTheme="minorHAnsi" w:cs="Arial"/>
                <w:color w:val="231F20"/>
                <w:sz w:val="16"/>
                <w:szCs w:val="16"/>
              </w:rPr>
              <w:t>P</w:t>
            </w:r>
            <w:r w:rsidRPr="00E00321">
              <w:rPr>
                <w:rFonts w:asciiTheme="minorHAnsi" w:eastAsia="Calibri" w:hAnsiTheme="minorHAnsi" w:cs="Arial"/>
                <w:color w:val="231F20"/>
                <w:spacing w:val="-4"/>
                <w:sz w:val="16"/>
                <w:szCs w:val="16"/>
              </w:rPr>
              <w:t xml:space="preserve"> </w:t>
            </w:r>
            <w:r w:rsidRPr="00E00321">
              <w:rPr>
                <w:rFonts w:asciiTheme="minorHAnsi" w:eastAsia="Symbol" w:hAnsiTheme="minorHAnsi" w:cs="Arial"/>
                <w:color w:val="231F20"/>
                <w:sz w:val="16"/>
                <w:szCs w:val="16"/>
              </w:rPr>
              <w:t xml:space="preserve">≤ </w:t>
            </w:r>
            <w:r w:rsidRPr="00E00321">
              <w:rPr>
                <w:rFonts w:asciiTheme="minorHAnsi" w:eastAsia="Calibri" w:hAnsiTheme="minorHAnsi" w:cs="Arial"/>
                <w:color w:val="231F20"/>
                <w:sz w:val="16"/>
                <w:szCs w:val="16"/>
              </w:rPr>
              <w:t>296</w:t>
            </w:r>
          </w:p>
        </w:tc>
        <w:tc>
          <w:tcPr>
            <w:tcW w:w="1815" w:type="dxa"/>
            <w:tcBorders>
              <w:top w:val="single" w:sz="8" w:space="0" w:color="FFFFFF"/>
              <w:left w:val="single" w:sz="8" w:space="0" w:color="FFFFFF"/>
              <w:bottom w:val="single" w:sz="8" w:space="0" w:color="FFFFFF"/>
              <w:right w:val="single" w:sz="8" w:space="0" w:color="FFFFFF"/>
            </w:tcBorders>
            <w:shd w:val="clear" w:color="auto" w:fill="C6DEEA"/>
          </w:tcPr>
          <w:p w:rsidR="00212C0B" w:rsidRPr="00E00321" w:rsidRDefault="00212C0B" w:rsidP="00E00321">
            <w:pPr>
              <w:pStyle w:val="TableParagraph"/>
              <w:ind w:left="384"/>
              <w:rPr>
                <w:rFonts w:asciiTheme="minorHAnsi" w:eastAsia="Calibri" w:hAnsiTheme="minorHAnsi" w:cs="Arial"/>
                <w:sz w:val="16"/>
                <w:szCs w:val="16"/>
              </w:rPr>
            </w:pPr>
            <w:r w:rsidRPr="00E00321">
              <w:rPr>
                <w:rFonts w:asciiTheme="minorHAnsi" w:eastAsia="Calibri" w:hAnsiTheme="minorHAnsi" w:cs="Arial"/>
                <w:color w:val="231F20"/>
                <w:sz w:val="16"/>
                <w:szCs w:val="16"/>
              </w:rPr>
              <w:t>2,96</w:t>
            </w:r>
            <w:r w:rsidRPr="00E00321">
              <w:rPr>
                <w:rFonts w:asciiTheme="minorHAnsi" w:eastAsia="Calibri" w:hAnsiTheme="minorHAnsi" w:cs="Arial"/>
                <w:color w:val="231F20"/>
                <w:spacing w:val="-3"/>
                <w:sz w:val="16"/>
                <w:szCs w:val="16"/>
              </w:rPr>
              <w:t xml:space="preserve"> </w:t>
            </w:r>
            <w:r w:rsidRPr="00E00321">
              <w:rPr>
                <w:rFonts w:asciiTheme="minorHAnsi" w:eastAsia="Calibri" w:hAnsiTheme="minorHAnsi" w:cs="Arial"/>
                <w:color w:val="231F20"/>
                <w:sz w:val="16"/>
                <w:szCs w:val="16"/>
              </w:rPr>
              <w:t>&lt;</w:t>
            </w:r>
            <w:r w:rsidRPr="00E00321">
              <w:rPr>
                <w:rFonts w:asciiTheme="minorHAnsi" w:eastAsia="Calibri" w:hAnsiTheme="minorHAnsi" w:cs="Arial"/>
                <w:color w:val="231F20"/>
                <w:spacing w:val="-3"/>
                <w:sz w:val="16"/>
                <w:szCs w:val="16"/>
              </w:rPr>
              <w:t xml:space="preserve"> </w:t>
            </w:r>
            <w:r w:rsidRPr="00E00321">
              <w:rPr>
                <w:rFonts w:asciiTheme="minorHAnsi" w:eastAsia="Calibri" w:hAnsiTheme="minorHAnsi" w:cs="Arial"/>
                <w:color w:val="231F20"/>
                <w:sz w:val="16"/>
                <w:szCs w:val="16"/>
              </w:rPr>
              <w:t>CL</w:t>
            </w:r>
            <w:r w:rsidRPr="00E00321">
              <w:rPr>
                <w:rFonts w:asciiTheme="minorHAnsi" w:eastAsia="Calibri" w:hAnsiTheme="minorHAnsi" w:cs="Arial"/>
                <w:color w:val="231F20"/>
                <w:spacing w:val="-3"/>
                <w:sz w:val="16"/>
                <w:szCs w:val="16"/>
              </w:rPr>
              <w:t xml:space="preserve"> </w:t>
            </w:r>
            <w:r w:rsidRPr="00E00321">
              <w:rPr>
                <w:rFonts w:asciiTheme="minorHAnsi" w:eastAsia="Symbol" w:hAnsiTheme="minorHAnsi" w:cs="Arial"/>
                <w:color w:val="231F20"/>
                <w:sz w:val="16"/>
                <w:szCs w:val="16"/>
              </w:rPr>
              <w:t xml:space="preserve">≤ </w:t>
            </w:r>
            <w:r w:rsidRPr="00E00321">
              <w:rPr>
                <w:rFonts w:asciiTheme="minorHAnsi" w:eastAsia="Calibri" w:hAnsiTheme="minorHAnsi" w:cs="Arial"/>
                <w:color w:val="231F20"/>
                <w:sz w:val="16"/>
                <w:szCs w:val="16"/>
              </w:rPr>
              <w:t>4,70</w:t>
            </w:r>
          </w:p>
        </w:tc>
      </w:tr>
      <w:tr w:rsidR="00212C0B" w:rsidRPr="00E00321" w:rsidTr="00E00321">
        <w:trPr>
          <w:cantSplit/>
          <w:trHeight w:val="255"/>
          <w:jc w:val="center"/>
        </w:trPr>
        <w:tc>
          <w:tcPr>
            <w:tcW w:w="1814" w:type="dxa"/>
            <w:tcBorders>
              <w:top w:val="single" w:sz="8" w:space="0" w:color="FFFFFF"/>
              <w:left w:val="single" w:sz="8" w:space="0" w:color="FFFFFF"/>
              <w:bottom w:val="single" w:sz="8" w:space="0" w:color="FFFFFF"/>
              <w:right w:val="single" w:sz="8" w:space="0" w:color="FFFFFF"/>
            </w:tcBorders>
            <w:shd w:val="clear" w:color="auto" w:fill="EB2627"/>
          </w:tcPr>
          <w:p w:rsidR="00212C0B" w:rsidRPr="00E00321" w:rsidRDefault="00212C0B" w:rsidP="00E00321">
            <w:pPr>
              <w:pStyle w:val="TableParagraph"/>
              <w:ind w:left="400"/>
              <w:rPr>
                <w:rFonts w:asciiTheme="minorHAnsi" w:eastAsia="Calibri" w:hAnsiTheme="minorHAnsi" w:cs="Arial"/>
                <w:sz w:val="16"/>
                <w:szCs w:val="16"/>
              </w:rPr>
            </w:pPr>
            <w:r w:rsidRPr="00E00321">
              <w:rPr>
                <w:rFonts w:asciiTheme="minorHAnsi" w:hAnsiTheme="minorHAnsi" w:cs="Arial"/>
                <w:b/>
                <w:color w:val="231F20"/>
                <w:sz w:val="16"/>
                <w:szCs w:val="16"/>
              </w:rPr>
              <w:t>Supereutrófico</w:t>
            </w:r>
          </w:p>
        </w:tc>
        <w:tc>
          <w:tcPr>
            <w:tcW w:w="1814" w:type="dxa"/>
            <w:tcBorders>
              <w:top w:val="single" w:sz="8" w:space="0" w:color="FFFFFF"/>
              <w:left w:val="single" w:sz="8" w:space="0" w:color="FFFFFF"/>
              <w:bottom w:val="single" w:sz="8" w:space="0" w:color="FFFFFF"/>
              <w:right w:val="single" w:sz="8" w:space="0" w:color="FFFFFF"/>
            </w:tcBorders>
            <w:shd w:val="clear" w:color="auto" w:fill="DFECF3"/>
          </w:tcPr>
          <w:p w:rsidR="00212C0B" w:rsidRPr="00E00321" w:rsidRDefault="00212C0B" w:rsidP="00E00321">
            <w:pPr>
              <w:pStyle w:val="TableParagraph"/>
              <w:ind w:left="482"/>
              <w:rPr>
                <w:rFonts w:asciiTheme="minorHAnsi" w:eastAsia="Calibri" w:hAnsiTheme="minorHAnsi" w:cs="Arial"/>
                <w:sz w:val="16"/>
                <w:szCs w:val="16"/>
              </w:rPr>
            </w:pPr>
            <w:r w:rsidRPr="00E00321">
              <w:rPr>
                <w:rFonts w:asciiTheme="minorHAnsi" w:eastAsia="Calibri" w:hAnsiTheme="minorHAnsi" w:cs="Arial"/>
                <w:color w:val="231F20"/>
                <w:sz w:val="16"/>
                <w:szCs w:val="16"/>
              </w:rPr>
              <w:t>63</w:t>
            </w:r>
            <w:r w:rsidRPr="00E00321">
              <w:rPr>
                <w:rFonts w:asciiTheme="minorHAnsi" w:eastAsia="Calibri" w:hAnsiTheme="minorHAnsi" w:cs="Arial"/>
                <w:color w:val="231F20"/>
                <w:spacing w:val="-3"/>
                <w:sz w:val="16"/>
                <w:szCs w:val="16"/>
              </w:rPr>
              <w:t xml:space="preserve"> </w:t>
            </w:r>
            <w:r w:rsidRPr="00E00321">
              <w:rPr>
                <w:rFonts w:asciiTheme="minorHAnsi" w:eastAsia="Calibri" w:hAnsiTheme="minorHAnsi" w:cs="Arial"/>
                <w:color w:val="231F20"/>
                <w:sz w:val="16"/>
                <w:szCs w:val="16"/>
              </w:rPr>
              <w:t>&lt;</w:t>
            </w:r>
            <w:r w:rsidRPr="00E00321">
              <w:rPr>
                <w:rFonts w:asciiTheme="minorHAnsi" w:eastAsia="Calibri" w:hAnsiTheme="minorHAnsi" w:cs="Arial"/>
                <w:color w:val="231F20"/>
                <w:spacing w:val="-2"/>
                <w:sz w:val="16"/>
                <w:szCs w:val="16"/>
              </w:rPr>
              <w:t xml:space="preserve"> </w:t>
            </w:r>
            <w:r w:rsidRPr="00E00321">
              <w:rPr>
                <w:rFonts w:asciiTheme="minorHAnsi" w:eastAsia="Calibri" w:hAnsiTheme="minorHAnsi" w:cs="Arial"/>
                <w:color w:val="231F20"/>
                <w:sz w:val="16"/>
                <w:szCs w:val="16"/>
              </w:rPr>
              <w:t>IET</w:t>
            </w:r>
            <w:r w:rsidRPr="00E00321">
              <w:rPr>
                <w:rFonts w:asciiTheme="minorHAnsi" w:eastAsia="Calibri" w:hAnsiTheme="minorHAnsi" w:cs="Arial"/>
                <w:color w:val="231F20"/>
                <w:spacing w:val="-2"/>
                <w:sz w:val="16"/>
                <w:szCs w:val="16"/>
              </w:rPr>
              <w:t xml:space="preserve"> </w:t>
            </w:r>
            <w:r w:rsidRPr="00E00321">
              <w:rPr>
                <w:rFonts w:asciiTheme="minorHAnsi" w:eastAsia="Symbol" w:hAnsiTheme="minorHAnsi" w:cs="Arial"/>
                <w:color w:val="231F20"/>
                <w:sz w:val="16"/>
                <w:szCs w:val="16"/>
              </w:rPr>
              <w:t xml:space="preserve">≤ </w:t>
            </w:r>
            <w:r w:rsidRPr="00E00321">
              <w:rPr>
                <w:rFonts w:asciiTheme="minorHAnsi" w:eastAsia="Calibri" w:hAnsiTheme="minorHAnsi" w:cs="Arial"/>
                <w:color w:val="231F20"/>
                <w:sz w:val="16"/>
                <w:szCs w:val="16"/>
              </w:rPr>
              <w:t>67</w:t>
            </w:r>
          </w:p>
        </w:tc>
        <w:tc>
          <w:tcPr>
            <w:tcW w:w="1814" w:type="dxa"/>
            <w:tcBorders>
              <w:top w:val="single" w:sz="8" w:space="0" w:color="FFFFFF"/>
              <w:left w:val="single" w:sz="8" w:space="0" w:color="FFFFFF"/>
              <w:bottom w:val="single" w:sz="8" w:space="0" w:color="FFFFFF"/>
              <w:right w:val="single" w:sz="8" w:space="0" w:color="FFFFFF"/>
            </w:tcBorders>
            <w:shd w:val="clear" w:color="auto" w:fill="DFECF3"/>
          </w:tcPr>
          <w:p w:rsidR="00212C0B" w:rsidRPr="00E00321" w:rsidRDefault="00212C0B" w:rsidP="00E00321">
            <w:pPr>
              <w:spacing w:after="0"/>
              <w:rPr>
                <w:rFonts w:asciiTheme="minorHAnsi" w:hAnsiTheme="minorHAnsi" w:cs="Arial"/>
                <w:sz w:val="16"/>
                <w:szCs w:val="16"/>
              </w:rPr>
            </w:pPr>
          </w:p>
        </w:tc>
        <w:tc>
          <w:tcPr>
            <w:tcW w:w="1814" w:type="dxa"/>
            <w:tcBorders>
              <w:top w:val="single" w:sz="8" w:space="0" w:color="FFFFFF"/>
              <w:left w:val="single" w:sz="8" w:space="0" w:color="FFFFFF"/>
              <w:bottom w:val="single" w:sz="8" w:space="0" w:color="FFFFFF"/>
              <w:right w:val="single" w:sz="8" w:space="0" w:color="FFFFFF"/>
            </w:tcBorders>
            <w:shd w:val="clear" w:color="auto" w:fill="DFECF3"/>
          </w:tcPr>
          <w:p w:rsidR="00212C0B" w:rsidRPr="00E00321" w:rsidRDefault="00212C0B" w:rsidP="00E00321">
            <w:pPr>
              <w:pStyle w:val="TableParagraph"/>
              <w:ind w:left="459"/>
              <w:rPr>
                <w:rFonts w:asciiTheme="minorHAnsi" w:eastAsia="Calibri" w:hAnsiTheme="minorHAnsi" w:cs="Arial"/>
                <w:sz w:val="16"/>
                <w:szCs w:val="16"/>
              </w:rPr>
            </w:pPr>
            <w:r w:rsidRPr="00E00321">
              <w:rPr>
                <w:rFonts w:asciiTheme="minorHAnsi" w:eastAsia="Calibri" w:hAnsiTheme="minorHAnsi" w:cs="Arial"/>
                <w:color w:val="231F20"/>
                <w:sz w:val="16"/>
                <w:szCs w:val="16"/>
              </w:rPr>
              <w:t>296</w:t>
            </w:r>
            <w:r w:rsidRPr="00E00321">
              <w:rPr>
                <w:rFonts w:asciiTheme="minorHAnsi" w:eastAsia="Calibri" w:hAnsiTheme="minorHAnsi" w:cs="Arial"/>
                <w:color w:val="231F20"/>
                <w:spacing w:val="-3"/>
                <w:sz w:val="16"/>
                <w:szCs w:val="16"/>
              </w:rPr>
              <w:t xml:space="preserve"> </w:t>
            </w:r>
            <w:r w:rsidRPr="00E00321">
              <w:rPr>
                <w:rFonts w:asciiTheme="minorHAnsi" w:eastAsia="Calibri" w:hAnsiTheme="minorHAnsi" w:cs="Arial"/>
                <w:color w:val="231F20"/>
                <w:sz w:val="16"/>
                <w:szCs w:val="16"/>
              </w:rPr>
              <w:t>&lt;</w:t>
            </w:r>
            <w:r w:rsidRPr="00E00321">
              <w:rPr>
                <w:rFonts w:asciiTheme="minorHAnsi" w:eastAsia="Calibri" w:hAnsiTheme="minorHAnsi" w:cs="Arial"/>
                <w:color w:val="231F20"/>
                <w:spacing w:val="-3"/>
                <w:sz w:val="16"/>
                <w:szCs w:val="16"/>
              </w:rPr>
              <w:t xml:space="preserve"> </w:t>
            </w:r>
            <w:r w:rsidRPr="00E00321">
              <w:rPr>
                <w:rFonts w:asciiTheme="minorHAnsi" w:eastAsia="Calibri" w:hAnsiTheme="minorHAnsi" w:cs="Arial"/>
                <w:color w:val="231F20"/>
                <w:sz w:val="16"/>
                <w:szCs w:val="16"/>
              </w:rPr>
              <w:t>P</w:t>
            </w:r>
            <w:r w:rsidRPr="00E00321">
              <w:rPr>
                <w:rFonts w:asciiTheme="minorHAnsi" w:eastAsia="Calibri" w:hAnsiTheme="minorHAnsi" w:cs="Arial"/>
                <w:color w:val="231F20"/>
                <w:spacing w:val="-3"/>
                <w:sz w:val="16"/>
                <w:szCs w:val="16"/>
              </w:rPr>
              <w:t xml:space="preserve"> </w:t>
            </w:r>
            <w:r w:rsidRPr="00E00321">
              <w:rPr>
                <w:rFonts w:asciiTheme="minorHAnsi" w:eastAsia="Symbol" w:hAnsiTheme="minorHAnsi" w:cs="Arial"/>
                <w:color w:val="231F20"/>
                <w:sz w:val="16"/>
                <w:szCs w:val="16"/>
              </w:rPr>
              <w:t xml:space="preserve">≤ </w:t>
            </w:r>
            <w:r w:rsidRPr="00E00321">
              <w:rPr>
                <w:rFonts w:asciiTheme="minorHAnsi" w:eastAsia="Calibri" w:hAnsiTheme="minorHAnsi" w:cs="Arial"/>
                <w:color w:val="231F20"/>
                <w:sz w:val="16"/>
                <w:szCs w:val="16"/>
              </w:rPr>
              <w:t>640</w:t>
            </w:r>
          </w:p>
        </w:tc>
        <w:tc>
          <w:tcPr>
            <w:tcW w:w="1815" w:type="dxa"/>
            <w:tcBorders>
              <w:top w:val="single" w:sz="8" w:space="0" w:color="FFFFFF"/>
              <w:left w:val="single" w:sz="8" w:space="0" w:color="FFFFFF"/>
              <w:bottom w:val="single" w:sz="8" w:space="0" w:color="FFFFFF"/>
              <w:right w:val="single" w:sz="8" w:space="0" w:color="FFFFFF"/>
            </w:tcBorders>
            <w:shd w:val="clear" w:color="auto" w:fill="DFECF3"/>
          </w:tcPr>
          <w:p w:rsidR="00212C0B" w:rsidRPr="00E00321" w:rsidRDefault="00212C0B" w:rsidP="00E00321">
            <w:pPr>
              <w:pStyle w:val="TableParagraph"/>
              <w:ind w:left="384"/>
              <w:rPr>
                <w:rFonts w:asciiTheme="minorHAnsi" w:eastAsia="Calibri" w:hAnsiTheme="minorHAnsi" w:cs="Arial"/>
                <w:sz w:val="16"/>
                <w:szCs w:val="16"/>
              </w:rPr>
            </w:pPr>
            <w:r w:rsidRPr="00E00321">
              <w:rPr>
                <w:rFonts w:asciiTheme="minorHAnsi" w:eastAsia="Calibri" w:hAnsiTheme="minorHAnsi" w:cs="Arial"/>
                <w:color w:val="231F20"/>
                <w:sz w:val="16"/>
                <w:szCs w:val="16"/>
              </w:rPr>
              <w:t>4,70</w:t>
            </w:r>
            <w:r w:rsidRPr="00E00321">
              <w:rPr>
                <w:rFonts w:asciiTheme="minorHAnsi" w:eastAsia="Calibri" w:hAnsiTheme="minorHAnsi" w:cs="Arial"/>
                <w:color w:val="231F20"/>
                <w:spacing w:val="-3"/>
                <w:sz w:val="16"/>
                <w:szCs w:val="16"/>
              </w:rPr>
              <w:t xml:space="preserve"> </w:t>
            </w:r>
            <w:r w:rsidRPr="00E00321">
              <w:rPr>
                <w:rFonts w:asciiTheme="minorHAnsi" w:eastAsia="Calibri" w:hAnsiTheme="minorHAnsi" w:cs="Arial"/>
                <w:color w:val="231F20"/>
                <w:sz w:val="16"/>
                <w:szCs w:val="16"/>
              </w:rPr>
              <w:t>&lt;</w:t>
            </w:r>
            <w:r w:rsidRPr="00E00321">
              <w:rPr>
                <w:rFonts w:asciiTheme="minorHAnsi" w:eastAsia="Calibri" w:hAnsiTheme="minorHAnsi" w:cs="Arial"/>
                <w:color w:val="231F20"/>
                <w:spacing w:val="-3"/>
                <w:sz w:val="16"/>
                <w:szCs w:val="16"/>
              </w:rPr>
              <w:t xml:space="preserve"> </w:t>
            </w:r>
            <w:r w:rsidRPr="00E00321">
              <w:rPr>
                <w:rFonts w:asciiTheme="minorHAnsi" w:eastAsia="Calibri" w:hAnsiTheme="minorHAnsi" w:cs="Arial"/>
                <w:color w:val="231F20"/>
                <w:sz w:val="16"/>
                <w:szCs w:val="16"/>
              </w:rPr>
              <w:t>CL</w:t>
            </w:r>
            <w:r w:rsidRPr="00E00321">
              <w:rPr>
                <w:rFonts w:asciiTheme="minorHAnsi" w:eastAsia="Calibri" w:hAnsiTheme="minorHAnsi" w:cs="Arial"/>
                <w:color w:val="231F20"/>
                <w:spacing w:val="-3"/>
                <w:sz w:val="16"/>
                <w:szCs w:val="16"/>
              </w:rPr>
              <w:t xml:space="preserve"> </w:t>
            </w:r>
            <w:r w:rsidRPr="00E00321">
              <w:rPr>
                <w:rFonts w:asciiTheme="minorHAnsi" w:eastAsia="Symbol" w:hAnsiTheme="minorHAnsi" w:cs="Arial"/>
                <w:color w:val="231F20"/>
                <w:sz w:val="16"/>
                <w:szCs w:val="16"/>
              </w:rPr>
              <w:t xml:space="preserve">≤ </w:t>
            </w:r>
            <w:r w:rsidRPr="00E00321">
              <w:rPr>
                <w:rFonts w:asciiTheme="minorHAnsi" w:eastAsia="Calibri" w:hAnsiTheme="minorHAnsi" w:cs="Arial"/>
                <w:color w:val="231F20"/>
                <w:sz w:val="16"/>
                <w:szCs w:val="16"/>
              </w:rPr>
              <w:t>7,46</w:t>
            </w:r>
          </w:p>
        </w:tc>
      </w:tr>
      <w:tr w:rsidR="00212C0B" w:rsidRPr="00E00321" w:rsidTr="00E00321">
        <w:trPr>
          <w:cantSplit/>
          <w:trHeight w:val="255"/>
          <w:jc w:val="center"/>
        </w:trPr>
        <w:tc>
          <w:tcPr>
            <w:tcW w:w="1814" w:type="dxa"/>
            <w:tcBorders>
              <w:top w:val="single" w:sz="8" w:space="0" w:color="FFFFFF"/>
              <w:left w:val="single" w:sz="8" w:space="0" w:color="FFFFFF"/>
              <w:bottom w:val="nil"/>
              <w:right w:val="single" w:sz="8" w:space="0" w:color="FFFFFF"/>
            </w:tcBorders>
            <w:shd w:val="clear" w:color="auto" w:fill="B695C5"/>
          </w:tcPr>
          <w:p w:rsidR="00212C0B" w:rsidRPr="00E00321" w:rsidRDefault="00212C0B" w:rsidP="00E00321">
            <w:pPr>
              <w:pStyle w:val="TableParagraph"/>
              <w:ind w:left="412"/>
              <w:rPr>
                <w:rFonts w:asciiTheme="minorHAnsi" w:eastAsia="Calibri" w:hAnsiTheme="minorHAnsi" w:cs="Arial"/>
                <w:sz w:val="16"/>
                <w:szCs w:val="16"/>
              </w:rPr>
            </w:pPr>
            <w:r w:rsidRPr="00E00321">
              <w:rPr>
                <w:rFonts w:asciiTheme="minorHAnsi" w:hAnsiTheme="minorHAnsi" w:cs="Arial"/>
                <w:b/>
                <w:color w:val="231F20"/>
                <w:sz w:val="16"/>
                <w:szCs w:val="16"/>
              </w:rPr>
              <w:t>Hipereutrófico</w:t>
            </w:r>
          </w:p>
        </w:tc>
        <w:tc>
          <w:tcPr>
            <w:tcW w:w="1814" w:type="dxa"/>
            <w:tcBorders>
              <w:top w:val="single" w:sz="8" w:space="0" w:color="FFFFFF"/>
              <w:left w:val="single" w:sz="8" w:space="0" w:color="FFFFFF"/>
              <w:bottom w:val="nil"/>
              <w:right w:val="single" w:sz="8" w:space="0" w:color="FFFFFF"/>
            </w:tcBorders>
            <w:shd w:val="clear" w:color="auto" w:fill="C6DEEA"/>
          </w:tcPr>
          <w:p w:rsidR="00212C0B" w:rsidRPr="00E00321" w:rsidRDefault="00212C0B" w:rsidP="00E00321">
            <w:pPr>
              <w:pStyle w:val="TableParagraph"/>
              <w:jc w:val="center"/>
              <w:rPr>
                <w:rFonts w:asciiTheme="minorHAnsi" w:eastAsia="Calibri" w:hAnsiTheme="minorHAnsi" w:cs="Arial"/>
                <w:sz w:val="16"/>
                <w:szCs w:val="16"/>
              </w:rPr>
            </w:pPr>
            <w:r w:rsidRPr="00E00321">
              <w:rPr>
                <w:rFonts w:asciiTheme="minorHAnsi" w:hAnsiTheme="minorHAnsi" w:cs="Arial"/>
                <w:color w:val="231F20"/>
                <w:sz w:val="16"/>
                <w:szCs w:val="16"/>
              </w:rPr>
              <w:t>IET &gt;</w:t>
            </w:r>
            <w:r w:rsidRPr="00E00321">
              <w:rPr>
                <w:rFonts w:asciiTheme="minorHAnsi" w:hAnsiTheme="minorHAnsi" w:cs="Arial"/>
                <w:color w:val="231F20"/>
                <w:spacing w:val="-5"/>
                <w:sz w:val="16"/>
                <w:szCs w:val="16"/>
              </w:rPr>
              <w:t xml:space="preserve"> </w:t>
            </w:r>
            <w:r w:rsidRPr="00E00321">
              <w:rPr>
                <w:rFonts w:asciiTheme="minorHAnsi" w:hAnsiTheme="minorHAnsi" w:cs="Arial"/>
                <w:color w:val="231F20"/>
                <w:sz w:val="16"/>
                <w:szCs w:val="16"/>
              </w:rPr>
              <w:t>67</w:t>
            </w:r>
          </w:p>
        </w:tc>
        <w:tc>
          <w:tcPr>
            <w:tcW w:w="1814" w:type="dxa"/>
            <w:tcBorders>
              <w:top w:val="single" w:sz="8" w:space="0" w:color="FFFFFF"/>
              <w:left w:val="single" w:sz="8" w:space="0" w:color="FFFFFF"/>
              <w:bottom w:val="nil"/>
              <w:right w:val="single" w:sz="8" w:space="0" w:color="FFFFFF"/>
            </w:tcBorders>
            <w:shd w:val="clear" w:color="auto" w:fill="C6DEEA"/>
          </w:tcPr>
          <w:p w:rsidR="00212C0B" w:rsidRPr="00E00321" w:rsidRDefault="00212C0B" w:rsidP="00E00321">
            <w:pPr>
              <w:spacing w:after="0"/>
              <w:rPr>
                <w:rFonts w:asciiTheme="minorHAnsi" w:hAnsiTheme="minorHAnsi" w:cs="Arial"/>
                <w:sz w:val="16"/>
                <w:szCs w:val="16"/>
              </w:rPr>
            </w:pPr>
          </w:p>
        </w:tc>
        <w:tc>
          <w:tcPr>
            <w:tcW w:w="1814" w:type="dxa"/>
            <w:tcBorders>
              <w:top w:val="single" w:sz="8" w:space="0" w:color="FFFFFF"/>
              <w:left w:val="single" w:sz="8" w:space="0" w:color="FFFFFF"/>
              <w:bottom w:val="nil"/>
              <w:right w:val="single" w:sz="8" w:space="0" w:color="FFFFFF"/>
            </w:tcBorders>
            <w:shd w:val="clear" w:color="auto" w:fill="C6DEEA"/>
          </w:tcPr>
          <w:p w:rsidR="00212C0B" w:rsidRPr="00E00321" w:rsidRDefault="00212C0B" w:rsidP="00E00321">
            <w:pPr>
              <w:pStyle w:val="TableParagraph"/>
              <w:jc w:val="center"/>
              <w:rPr>
                <w:rFonts w:asciiTheme="minorHAnsi" w:eastAsia="Calibri" w:hAnsiTheme="minorHAnsi" w:cs="Arial"/>
                <w:sz w:val="16"/>
                <w:szCs w:val="16"/>
              </w:rPr>
            </w:pPr>
            <w:r w:rsidRPr="00E00321">
              <w:rPr>
                <w:rFonts w:asciiTheme="minorHAnsi" w:hAnsiTheme="minorHAnsi" w:cs="Arial"/>
                <w:color w:val="231F20"/>
                <w:sz w:val="16"/>
                <w:szCs w:val="16"/>
              </w:rPr>
              <w:t>640</w:t>
            </w:r>
            <w:r w:rsidRPr="00E00321">
              <w:rPr>
                <w:rFonts w:asciiTheme="minorHAnsi" w:hAnsiTheme="minorHAnsi" w:cs="Arial"/>
                <w:color w:val="231F20"/>
                <w:spacing w:val="-1"/>
                <w:sz w:val="16"/>
                <w:szCs w:val="16"/>
              </w:rPr>
              <w:t xml:space="preserve"> </w:t>
            </w:r>
            <w:r w:rsidRPr="00E00321">
              <w:rPr>
                <w:rFonts w:asciiTheme="minorHAnsi" w:hAnsiTheme="minorHAnsi" w:cs="Arial"/>
                <w:color w:val="231F20"/>
                <w:sz w:val="16"/>
                <w:szCs w:val="16"/>
              </w:rPr>
              <w:t>&lt; P</w:t>
            </w:r>
          </w:p>
        </w:tc>
        <w:tc>
          <w:tcPr>
            <w:tcW w:w="1815" w:type="dxa"/>
            <w:tcBorders>
              <w:top w:val="single" w:sz="8" w:space="0" w:color="FFFFFF"/>
              <w:left w:val="single" w:sz="8" w:space="0" w:color="FFFFFF"/>
              <w:bottom w:val="nil"/>
              <w:right w:val="single" w:sz="8" w:space="0" w:color="FFFFFF"/>
            </w:tcBorders>
            <w:shd w:val="clear" w:color="auto" w:fill="C6DEEA"/>
          </w:tcPr>
          <w:p w:rsidR="00212C0B" w:rsidRPr="00E00321" w:rsidRDefault="00212C0B" w:rsidP="00E00321">
            <w:pPr>
              <w:pStyle w:val="TableParagraph"/>
              <w:jc w:val="center"/>
              <w:rPr>
                <w:rFonts w:asciiTheme="minorHAnsi" w:eastAsia="Calibri" w:hAnsiTheme="minorHAnsi" w:cs="Arial"/>
                <w:sz w:val="16"/>
                <w:szCs w:val="16"/>
              </w:rPr>
            </w:pPr>
            <w:r w:rsidRPr="00E00321">
              <w:rPr>
                <w:rFonts w:asciiTheme="minorHAnsi" w:hAnsiTheme="minorHAnsi" w:cs="Arial"/>
                <w:color w:val="231F20"/>
                <w:sz w:val="16"/>
                <w:szCs w:val="16"/>
              </w:rPr>
              <w:t>7,46 &lt;</w:t>
            </w:r>
            <w:r w:rsidRPr="00E00321">
              <w:rPr>
                <w:rFonts w:asciiTheme="minorHAnsi" w:hAnsiTheme="minorHAnsi" w:cs="Arial"/>
                <w:color w:val="231F20"/>
                <w:spacing w:val="1"/>
                <w:sz w:val="16"/>
                <w:szCs w:val="16"/>
              </w:rPr>
              <w:t xml:space="preserve"> </w:t>
            </w:r>
            <w:r w:rsidRPr="00E00321">
              <w:rPr>
                <w:rFonts w:asciiTheme="minorHAnsi" w:hAnsiTheme="minorHAnsi" w:cs="Arial"/>
                <w:color w:val="231F20"/>
                <w:sz w:val="16"/>
                <w:szCs w:val="16"/>
              </w:rPr>
              <w:t>CL</w:t>
            </w:r>
          </w:p>
        </w:tc>
      </w:tr>
    </w:tbl>
    <w:p w:rsidR="00212C0B" w:rsidRPr="00212C0B" w:rsidRDefault="00212C0B" w:rsidP="00212C0B">
      <w:pPr>
        <w:rPr>
          <w:sz w:val="16"/>
          <w:szCs w:val="16"/>
        </w:rPr>
      </w:pPr>
      <w:r w:rsidRPr="00212C0B">
        <w:rPr>
          <w:sz w:val="16"/>
          <w:szCs w:val="16"/>
        </w:rPr>
        <w:t>Fonte: CETESB (2014)</w:t>
      </w:r>
    </w:p>
    <w:p w:rsidR="00212C0B" w:rsidRPr="00773F2A" w:rsidRDefault="00212C0B" w:rsidP="00212C0B">
      <w:pPr>
        <w:pStyle w:val="Quadro"/>
      </w:pPr>
      <w:r w:rsidRPr="00773F2A">
        <w:t xml:space="preserve">Tabela </w:t>
      </w:r>
      <w:r w:rsidR="00C63BBC">
        <w:t>6.4.</w:t>
      </w:r>
      <w:r w:rsidR="00420418">
        <w:t>5-</w:t>
      </w:r>
      <w:r w:rsidR="00C63BBC">
        <w:t>2</w:t>
      </w:r>
      <w:r w:rsidR="00420418">
        <w:t>.</w:t>
      </w:r>
      <w:r>
        <w:t xml:space="preserve"> </w:t>
      </w:r>
      <w:r w:rsidRPr="00773F2A">
        <w:t>Classificação</w:t>
      </w:r>
      <w:r w:rsidRPr="00773F2A">
        <w:rPr>
          <w:spacing w:val="-22"/>
        </w:rPr>
        <w:t xml:space="preserve"> </w:t>
      </w:r>
      <w:r w:rsidRPr="00773F2A">
        <w:t>do</w:t>
      </w:r>
      <w:r w:rsidRPr="00773F2A">
        <w:rPr>
          <w:spacing w:val="-21"/>
        </w:rPr>
        <w:t xml:space="preserve"> </w:t>
      </w:r>
      <w:r w:rsidRPr="00773F2A">
        <w:t>Estado</w:t>
      </w:r>
      <w:r w:rsidRPr="00773F2A">
        <w:rPr>
          <w:spacing w:val="-22"/>
        </w:rPr>
        <w:t xml:space="preserve"> </w:t>
      </w:r>
      <w:r w:rsidRPr="00773F2A">
        <w:t>Trófico</w:t>
      </w:r>
      <w:r w:rsidRPr="00773F2A">
        <w:rPr>
          <w:spacing w:val="-21"/>
        </w:rPr>
        <w:t xml:space="preserve"> </w:t>
      </w:r>
      <w:r w:rsidRPr="00773F2A">
        <w:t>para</w:t>
      </w:r>
      <w:r w:rsidRPr="00773F2A">
        <w:rPr>
          <w:spacing w:val="-22"/>
        </w:rPr>
        <w:t xml:space="preserve"> </w:t>
      </w:r>
      <w:r w:rsidRPr="00773F2A">
        <w:rPr>
          <w:rFonts w:hint="eastAsia"/>
        </w:rPr>
        <w:t>Reservatórios</w:t>
      </w:r>
      <w:r w:rsidRPr="00773F2A">
        <w:rPr>
          <w:rFonts w:hint="eastAsia"/>
          <w:spacing w:val="-21"/>
        </w:rPr>
        <w:t xml:space="preserve"> </w:t>
      </w:r>
      <w:r w:rsidRPr="00773F2A">
        <w:t>segundo</w:t>
      </w:r>
      <w:r w:rsidRPr="00773F2A">
        <w:rPr>
          <w:spacing w:val="-21"/>
        </w:rPr>
        <w:t xml:space="preserve"> </w:t>
      </w:r>
      <w:r w:rsidRPr="00773F2A">
        <w:t>Índice</w:t>
      </w:r>
      <w:r w:rsidRPr="00773F2A">
        <w:rPr>
          <w:spacing w:val="-22"/>
        </w:rPr>
        <w:t xml:space="preserve"> </w:t>
      </w:r>
      <w:r w:rsidRPr="00773F2A">
        <w:t>de</w:t>
      </w:r>
      <w:r w:rsidRPr="00773F2A">
        <w:rPr>
          <w:spacing w:val="-21"/>
        </w:rPr>
        <w:t xml:space="preserve"> </w:t>
      </w:r>
      <w:r w:rsidRPr="00773F2A">
        <w:t>Carlson</w:t>
      </w:r>
      <w:r w:rsidRPr="00773F2A">
        <w:rPr>
          <w:spacing w:val="-22"/>
        </w:rPr>
        <w:t xml:space="preserve"> </w:t>
      </w:r>
      <w:r w:rsidRPr="00773F2A">
        <w:t>modificado</w:t>
      </w:r>
    </w:p>
    <w:tbl>
      <w:tblPr>
        <w:tblStyle w:val="TableNormal"/>
        <w:tblW w:w="9071" w:type="dxa"/>
        <w:jc w:val="center"/>
        <w:tblLayout w:type="fixed"/>
        <w:tblLook w:val="01E0" w:firstRow="1" w:lastRow="1" w:firstColumn="1" w:lastColumn="1" w:noHBand="0" w:noVBand="0"/>
      </w:tblPr>
      <w:tblGrid>
        <w:gridCol w:w="1814"/>
        <w:gridCol w:w="1814"/>
        <w:gridCol w:w="1814"/>
        <w:gridCol w:w="1814"/>
        <w:gridCol w:w="1815"/>
      </w:tblGrid>
      <w:tr w:rsidR="00212C0B" w:rsidRPr="00212C0B" w:rsidTr="00420418">
        <w:trPr>
          <w:cantSplit/>
          <w:trHeight w:val="255"/>
          <w:tblHeader/>
          <w:jc w:val="center"/>
        </w:trPr>
        <w:tc>
          <w:tcPr>
            <w:tcW w:w="9071" w:type="dxa"/>
            <w:gridSpan w:val="5"/>
            <w:tcBorders>
              <w:top w:val="nil"/>
              <w:left w:val="single" w:sz="8" w:space="0" w:color="FFFFFF"/>
              <w:bottom w:val="single" w:sz="8" w:space="0" w:color="FFFFFF"/>
              <w:right w:val="nil"/>
            </w:tcBorders>
            <w:shd w:val="clear" w:color="auto" w:fill="82B7D0"/>
            <w:vAlign w:val="center"/>
          </w:tcPr>
          <w:p w:rsidR="00212C0B" w:rsidRPr="001A666B" w:rsidRDefault="00212C0B" w:rsidP="00212C0B">
            <w:pPr>
              <w:pStyle w:val="TableParagraph"/>
              <w:ind w:left="2963"/>
              <w:rPr>
                <w:rFonts w:ascii="Calibri" w:eastAsia="Calibri" w:hAnsi="Calibri" w:cs="Calibri"/>
                <w:sz w:val="16"/>
                <w:szCs w:val="16"/>
                <w:lang w:val="pt-BR"/>
              </w:rPr>
            </w:pPr>
            <w:r w:rsidRPr="001A666B">
              <w:rPr>
                <w:rFonts w:ascii="Calibri" w:hAnsi="Calibri"/>
                <w:b/>
                <w:color w:val="231F20"/>
                <w:sz w:val="16"/>
                <w:lang w:val="pt-BR"/>
              </w:rPr>
              <w:t>Classificação</w:t>
            </w:r>
            <w:r w:rsidRPr="001A666B">
              <w:rPr>
                <w:rFonts w:ascii="Calibri" w:hAnsi="Calibri"/>
                <w:b/>
                <w:color w:val="231F20"/>
                <w:spacing w:val="9"/>
                <w:sz w:val="16"/>
                <w:lang w:val="pt-BR"/>
              </w:rPr>
              <w:t xml:space="preserve"> </w:t>
            </w:r>
            <w:r w:rsidRPr="001A666B">
              <w:rPr>
                <w:rFonts w:ascii="Calibri" w:hAnsi="Calibri"/>
                <w:b/>
                <w:color w:val="231F20"/>
                <w:sz w:val="16"/>
                <w:lang w:val="pt-BR"/>
              </w:rPr>
              <w:t>do</w:t>
            </w:r>
            <w:r w:rsidRPr="001A666B">
              <w:rPr>
                <w:rFonts w:ascii="Calibri" w:hAnsi="Calibri"/>
                <w:b/>
                <w:color w:val="231F20"/>
                <w:spacing w:val="9"/>
                <w:sz w:val="16"/>
                <w:lang w:val="pt-BR"/>
              </w:rPr>
              <w:t xml:space="preserve"> </w:t>
            </w:r>
            <w:r w:rsidRPr="001A666B">
              <w:rPr>
                <w:rFonts w:ascii="Calibri" w:hAnsi="Calibri"/>
                <w:b/>
                <w:color w:val="231F20"/>
                <w:sz w:val="16"/>
                <w:lang w:val="pt-BR"/>
              </w:rPr>
              <w:t>Estado</w:t>
            </w:r>
            <w:r w:rsidRPr="001A666B">
              <w:rPr>
                <w:rFonts w:ascii="Calibri" w:hAnsi="Calibri"/>
                <w:b/>
                <w:color w:val="231F20"/>
                <w:spacing w:val="9"/>
                <w:sz w:val="16"/>
                <w:lang w:val="pt-BR"/>
              </w:rPr>
              <w:t xml:space="preserve"> </w:t>
            </w:r>
            <w:r w:rsidRPr="001A666B">
              <w:rPr>
                <w:rFonts w:ascii="Calibri" w:hAnsi="Calibri"/>
                <w:b/>
                <w:color w:val="231F20"/>
                <w:sz w:val="16"/>
                <w:lang w:val="pt-BR"/>
              </w:rPr>
              <w:t>Trófico</w:t>
            </w:r>
            <w:r w:rsidRPr="001A666B">
              <w:rPr>
                <w:rFonts w:ascii="Calibri" w:hAnsi="Calibri"/>
                <w:b/>
                <w:color w:val="231F20"/>
                <w:spacing w:val="9"/>
                <w:sz w:val="16"/>
                <w:lang w:val="pt-BR"/>
              </w:rPr>
              <w:t xml:space="preserve"> </w:t>
            </w:r>
            <w:r w:rsidRPr="001A666B">
              <w:rPr>
                <w:rFonts w:ascii="Calibri" w:hAnsi="Calibri"/>
                <w:b/>
                <w:color w:val="231F20"/>
                <w:sz w:val="16"/>
                <w:lang w:val="pt-BR"/>
              </w:rPr>
              <w:t>-</w:t>
            </w:r>
            <w:r w:rsidRPr="001A666B">
              <w:rPr>
                <w:rFonts w:ascii="Calibri" w:hAnsi="Calibri"/>
                <w:b/>
                <w:color w:val="231F20"/>
                <w:spacing w:val="9"/>
                <w:sz w:val="16"/>
                <w:lang w:val="pt-BR"/>
              </w:rPr>
              <w:t xml:space="preserve"> </w:t>
            </w:r>
            <w:r w:rsidRPr="001A666B">
              <w:rPr>
                <w:rFonts w:ascii="Calibri" w:hAnsi="Calibri"/>
                <w:b/>
                <w:color w:val="231F20"/>
                <w:sz w:val="16"/>
                <w:lang w:val="pt-BR"/>
              </w:rPr>
              <w:t>Reservatórios</w:t>
            </w:r>
          </w:p>
        </w:tc>
      </w:tr>
      <w:tr w:rsidR="00212C0B" w:rsidRPr="00212C0B" w:rsidTr="00420418">
        <w:trPr>
          <w:cantSplit/>
          <w:trHeight w:val="255"/>
          <w:tblHeader/>
          <w:jc w:val="center"/>
        </w:trPr>
        <w:tc>
          <w:tcPr>
            <w:tcW w:w="1814" w:type="dxa"/>
            <w:tcBorders>
              <w:top w:val="single" w:sz="8" w:space="0" w:color="FFFFFF"/>
              <w:left w:val="single" w:sz="8" w:space="0" w:color="FFFFFF"/>
              <w:bottom w:val="single" w:sz="8" w:space="0" w:color="FFFFFF"/>
              <w:right w:val="single" w:sz="8" w:space="0" w:color="FFFFFF"/>
            </w:tcBorders>
            <w:shd w:val="clear" w:color="auto" w:fill="82B7D0"/>
            <w:vAlign w:val="center"/>
          </w:tcPr>
          <w:p w:rsidR="00212C0B" w:rsidRPr="00C63BBC" w:rsidRDefault="00212C0B" w:rsidP="00212C0B">
            <w:pPr>
              <w:pStyle w:val="TableParagraph"/>
              <w:ind w:left="369" w:right="367" w:firstLine="199"/>
              <w:rPr>
                <w:rFonts w:ascii="Calibri" w:eastAsia="Calibri" w:hAnsi="Calibri" w:cs="Calibri"/>
                <w:sz w:val="16"/>
                <w:szCs w:val="16"/>
                <w:lang w:val="pt-BR"/>
              </w:rPr>
            </w:pPr>
            <w:r w:rsidRPr="00C63BBC">
              <w:rPr>
                <w:rFonts w:ascii="Calibri" w:hAnsi="Calibri"/>
                <w:b/>
                <w:color w:val="231F20"/>
                <w:sz w:val="16"/>
                <w:lang w:val="pt-BR"/>
              </w:rPr>
              <w:t>Categoria (Estado</w:t>
            </w:r>
            <w:r w:rsidRPr="00C63BBC">
              <w:rPr>
                <w:rFonts w:ascii="Calibri" w:hAnsi="Calibri"/>
                <w:b/>
                <w:color w:val="231F20"/>
                <w:spacing w:val="-1"/>
                <w:sz w:val="16"/>
                <w:lang w:val="pt-BR"/>
              </w:rPr>
              <w:t xml:space="preserve"> </w:t>
            </w:r>
            <w:r w:rsidRPr="00C63BBC">
              <w:rPr>
                <w:rFonts w:ascii="Calibri" w:hAnsi="Calibri"/>
                <w:b/>
                <w:color w:val="231F20"/>
                <w:sz w:val="16"/>
                <w:lang w:val="pt-BR"/>
              </w:rPr>
              <w:t>Trófico)</w:t>
            </w:r>
          </w:p>
        </w:tc>
        <w:tc>
          <w:tcPr>
            <w:tcW w:w="1814" w:type="dxa"/>
            <w:tcBorders>
              <w:top w:val="single" w:sz="8" w:space="0" w:color="FFFFFF"/>
              <w:left w:val="single" w:sz="8" w:space="0" w:color="FFFFFF"/>
              <w:bottom w:val="single" w:sz="8" w:space="0" w:color="FFFFFF"/>
              <w:right w:val="single" w:sz="8" w:space="0" w:color="FFFFFF"/>
            </w:tcBorders>
            <w:shd w:val="clear" w:color="auto" w:fill="82B7D0"/>
            <w:vAlign w:val="center"/>
          </w:tcPr>
          <w:p w:rsidR="00212C0B" w:rsidRPr="00C63BBC" w:rsidRDefault="00212C0B" w:rsidP="00212C0B">
            <w:pPr>
              <w:pStyle w:val="TableParagraph"/>
              <w:ind w:left="502"/>
              <w:rPr>
                <w:rFonts w:ascii="Calibri" w:eastAsia="Calibri" w:hAnsi="Calibri" w:cs="Calibri"/>
                <w:sz w:val="16"/>
                <w:szCs w:val="16"/>
                <w:lang w:val="pt-BR"/>
              </w:rPr>
            </w:pPr>
            <w:r w:rsidRPr="00C63BBC">
              <w:rPr>
                <w:rFonts w:ascii="Calibri" w:hAnsi="Calibri"/>
                <w:b/>
                <w:color w:val="231F20"/>
                <w:sz w:val="16"/>
                <w:lang w:val="pt-BR"/>
              </w:rPr>
              <w:t>Ponderação</w:t>
            </w:r>
          </w:p>
        </w:tc>
        <w:tc>
          <w:tcPr>
            <w:tcW w:w="1814" w:type="dxa"/>
            <w:tcBorders>
              <w:top w:val="single" w:sz="8" w:space="0" w:color="FFFFFF"/>
              <w:left w:val="single" w:sz="8" w:space="0" w:color="FFFFFF"/>
              <w:bottom w:val="single" w:sz="8" w:space="0" w:color="FFFFFF"/>
              <w:right w:val="single" w:sz="8" w:space="0" w:color="FFFFFF"/>
            </w:tcBorders>
            <w:shd w:val="clear" w:color="auto" w:fill="82B7D0"/>
            <w:vAlign w:val="center"/>
          </w:tcPr>
          <w:p w:rsidR="00212C0B" w:rsidRPr="00C63BBC" w:rsidRDefault="00212C0B" w:rsidP="00212C0B">
            <w:pPr>
              <w:pStyle w:val="TableParagraph"/>
              <w:ind w:left="787" w:right="577" w:hanging="208"/>
              <w:rPr>
                <w:rFonts w:ascii="Calibri" w:eastAsia="Calibri" w:hAnsi="Calibri" w:cs="Calibri"/>
                <w:sz w:val="16"/>
                <w:szCs w:val="16"/>
                <w:lang w:val="pt-BR"/>
              </w:rPr>
            </w:pPr>
            <w:r w:rsidRPr="00C63BBC">
              <w:rPr>
                <w:rFonts w:ascii="Calibri"/>
                <w:b/>
                <w:color w:val="231F20"/>
                <w:sz w:val="16"/>
                <w:lang w:val="pt-BR"/>
              </w:rPr>
              <w:t>Secchi</w:t>
            </w:r>
            <w:r w:rsidRPr="00C63BBC">
              <w:rPr>
                <w:rFonts w:ascii="Calibri"/>
                <w:b/>
                <w:color w:val="231F20"/>
                <w:spacing w:val="9"/>
                <w:sz w:val="16"/>
                <w:lang w:val="pt-BR"/>
              </w:rPr>
              <w:t xml:space="preserve"> </w:t>
            </w:r>
            <w:r w:rsidRPr="00C63BBC">
              <w:rPr>
                <w:rFonts w:ascii="Calibri"/>
                <w:b/>
                <w:color w:val="231F20"/>
                <w:sz w:val="16"/>
                <w:lang w:val="pt-BR"/>
              </w:rPr>
              <w:t>-</w:t>
            </w:r>
            <w:r w:rsidRPr="00C63BBC">
              <w:rPr>
                <w:rFonts w:ascii="Calibri"/>
                <w:b/>
                <w:color w:val="231F20"/>
                <w:spacing w:val="9"/>
                <w:sz w:val="16"/>
                <w:lang w:val="pt-BR"/>
              </w:rPr>
              <w:t xml:space="preserve"> </w:t>
            </w:r>
            <w:r w:rsidRPr="00C63BBC">
              <w:rPr>
                <w:rFonts w:ascii="Calibri"/>
                <w:b/>
                <w:color w:val="231F20"/>
                <w:sz w:val="16"/>
                <w:lang w:val="pt-BR"/>
              </w:rPr>
              <w:t>S (m)</w:t>
            </w:r>
          </w:p>
        </w:tc>
        <w:tc>
          <w:tcPr>
            <w:tcW w:w="1814" w:type="dxa"/>
            <w:tcBorders>
              <w:top w:val="single" w:sz="8" w:space="0" w:color="FFFFFF"/>
              <w:left w:val="single" w:sz="8" w:space="0" w:color="FFFFFF"/>
              <w:bottom w:val="single" w:sz="8" w:space="0" w:color="FFFFFF"/>
              <w:right w:val="single" w:sz="8" w:space="0" w:color="FFFFFF"/>
            </w:tcBorders>
            <w:shd w:val="clear" w:color="auto" w:fill="82B7D0"/>
            <w:vAlign w:val="center"/>
          </w:tcPr>
          <w:p w:rsidR="00212C0B" w:rsidRPr="008440BF" w:rsidRDefault="00212C0B" w:rsidP="00212C0B">
            <w:pPr>
              <w:pStyle w:val="TableParagraph"/>
              <w:jc w:val="center"/>
              <w:rPr>
                <w:rFonts w:ascii="Calibri" w:eastAsia="Calibri" w:hAnsi="Calibri" w:cs="Calibri"/>
                <w:sz w:val="16"/>
                <w:szCs w:val="16"/>
              </w:rPr>
            </w:pPr>
            <w:r w:rsidRPr="008440BF">
              <w:rPr>
                <w:rFonts w:ascii="Calibri"/>
                <w:b/>
                <w:color w:val="231F20"/>
                <w:sz w:val="16"/>
              </w:rPr>
              <w:t>P-total</w:t>
            </w:r>
            <w:r w:rsidRPr="008440BF">
              <w:rPr>
                <w:rFonts w:ascii="Calibri"/>
                <w:b/>
                <w:color w:val="231F20"/>
                <w:spacing w:val="5"/>
                <w:sz w:val="16"/>
              </w:rPr>
              <w:t xml:space="preserve"> </w:t>
            </w:r>
            <w:r w:rsidRPr="008440BF">
              <w:rPr>
                <w:rFonts w:ascii="Calibri"/>
                <w:b/>
                <w:color w:val="231F20"/>
                <w:sz w:val="16"/>
              </w:rPr>
              <w:t>-</w:t>
            </w:r>
            <w:r w:rsidRPr="008440BF">
              <w:rPr>
                <w:rFonts w:ascii="Calibri"/>
                <w:b/>
                <w:color w:val="231F20"/>
                <w:spacing w:val="5"/>
                <w:sz w:val="16"/>
              </w:rPr>
              <w:t xml:space="preserve"> </w:t>
            </w:r>
            <w:r w:rsidRPr="008440BF">
              <w:rPr>
                <w:rFonts w:ascii="Calibri"/>
                <w:b/>
                <w:color w:val="231F20"/>
                <w:sz w:val="16"/>
              </w:rPr>
              <w:t>P</w:t>
            </w:r>
          </w:p>
          <w:p w:rsidR="00212C0B" w:rsidRPr="008440BF" w:rsidRDefault="00212C0B" w:rsidP="00212C0B">
            <w:pPr>
              <w:pStyle w:val="TableParagraph"/>
              <w:jc w:val="center"/>
              <w:rPr>
                <w:rFonts w:ascii="Calibri" w:eastAsia="Calibri" w:hAnsi="Calibri" w:cs="Calibri"/>
                <w:sz w:val="16"/>
                <w:szCs w:val="16"/>
              </w:rPr>
            </w:pPr>
            <w:r w:rsidRPr="008440BF">
              <w:rPr>
                <w:rFonts w:ascii="Calibri"/>
                <w:b/>
                <w:color w:val="231F20"/>
                <w:sz w:val="16"/>
              </w:rPr>
              <w:t>(mg/m</w:t>
            </w:r>
            <w:r w:rsidRPr="008440BF">
              <w:rPr>
                <w:rFonts w:ascii="Calibri"/>
                <w:b/>
                <w:color w:val="231F20"/>
                <w:sz w:val="16"/>
                <w:vertAlign w:val="superscript"/>
              </w:rPr>
              <w:t>3</w:t>
            </w:r>
            <w:r w:rsidRPr="008440BF">
              <w:rPr>
                <w:rFonts w:ascii="Calibri"/>
                <w:b/>
                <w:color w:val="231F20"/>
                <w:sz w:val="16"/>
              </w:rPr>
              <w:t>)</w:t>
            </w:r>
          </w:p>
        </w:tc>
        <w:tc>
          <w:tcPr>
            <w:tcW w:w="1815" w:type="dxa"/>
            <w:tcBorders>
              <w:top w:val="single" w:sz="8" w:space="0" w:color="FFFFFF"/>
              <w:left w:val="single" w:sz="8" w:space="0" w:color="FFFFFF"/>
              <w:bottom w:val="single" w:sz="8" w:space="0" w:color="FFFFFF"/>
              <w:right w:val="single" w:sz="8" w:space="0" w:color="FFFFFF"/>
            </w:tcBorders>
            <w:shd w:val="clear" w:color="auto" w:fill="82B7D0"/>
            <w:vAlign w:val="center"/>
          </w:tcPr>
          <w:p w:rsidR="00212C0B" w:rsidRPr="00212C0B" w:rsidRDefault="00212C0B" w:rsidP="00212C0B">
            <w:pPr>
              <w:pStyle w:val="TableParagraph"/>
              <w:jc w:val="center"/>
              <w:rPr>
                <w:rFonts w:ascii="Calibri" w:eastAsia="Calibri" w:hAnsi="Calibri" w:cs="Calibri"/>
                <w:sz w:val="16"/>
                <w:szCs w:val="16"/>
              </w:rPr>
            </w:pPr>
            <w:r w:rsidRPr="00C63BBC">
              <w:rPr>
                <w:rFonts w:ascii="Calibri"/>
                <w:b/>
                <w:color w:val="231F20"/>
                <w:sz w:val="16"/>
                <w:lang w:val="pt-BR"/>
              </w:rPr>
              <w:t>Clor</w:t>
            </w:r>
            <w:r w:rsidRPr="00212C0B">
              <w:rPr>
                <w:rFonts w:ascii="Calibri"/>
                <w:b/>
                <w:color w:val="231F20"/>
                <w:sz w:val="16"/>
              </w:rPr>
              <w:t>ofila</w:t>
            </w:r>
            <w:r w:rsidRPr="00212C0B">
              <w:rPr>
                <w:rFonts w:ascii="Calibri"/>
                <w:b/>
                <w:color w:val="231F20"/>
                <w:spacing w:val="5"/>
                <w:sz w:val="16"/>
              </w:rPr>
              <w:t xml:space="preserve"> </w:t>
            </w:r>
            <w:r w:rsidRPr="00212C0B">
              <w:rPr>
                <w:rFonts w:ascii="Calibri"/>
                <w:b/>
                <w:i/>
                <w:color w:val="231F20"/>
                <w:sz w:val="16"/>
              </w:rPr>
              <w:t>a</w:t>
            </w:r>
          </w:p>
          <w:p w:rsidR="00212C0B" w:rsidRPr="00212C0B" w:rsidRDefault="00212C0B" w:rsidP="00212C0B">
            <w:pPr>
              <w:pStyle w:val="TableParagraph"/>
              <w:jc w:val="center"/>
              <w:rPr>
                <w:rFonts w:ascii="Calibri" w:eastAsia="Calibri" w:hAnsi="Calibri" w:cs="Calibri"/>
                <w:sz w:val="16"/>
                <w:szCs w:val="16"/>
              </w:rPr>
            </w:pPr>
            <w:r w:rsidRPr="00212C0B">
              <w:rPr>
                <w:rFonts w:ascii="Calibri"/>
                <w:b/>
                <w:color w:val="231F20"/>
                <w:sz w:val="16"/>
              </w:rPr>
              <w:t>(mg</w:t>
            </w:r>
            <w:r>
              <w:rPr>
                <w:rFonts w:ascii="Calibri"/>
                <w:b/>
                <w:color w:val="231F20"/>
                <w:sz w:val="16"/>
              </w:rPr>
              <w:t>/</w:t>
            </w:r>
            <w:r w:rsidRPr="00212C0B">
              <w:rPr>
                <w:rFonts w:ascii="Calibri"/>
                <w:b/>
                <w:color w:val="231F20"/>
                <w:sz w:val="16"/>
              </w:rPr>
              <w:t>m</w:t>
            </w:r>
            <w:r w:rsidRPr="00212C0B">
              <w:rPr>
                <w:rFonts w:ascii="Calibri"/>
                <w:b/>
                <w:color w:val="231F20"/>
                <w:position w:val="5"/>
                <w:sz w:val="9"/>
              </w:rPr>
              <w:t>-3</w:t>
            </w:r>
            <w:r w:rsidRPr="00212C0B">
              <w:rPr>
                <w:rFonts w:ascii="Calibri"/>
                <w:b/>
                <w:color w:val="231F20"/>
                <w:sz w:val="16"/>
              </w:rPr>
              <w:t>)</w:t>
            </w:r>
          </w:p>
        </w:tc>
      </w:tr>
      <w:tr w:rsidR="00212C0B" w:rsidRPr="00212C0B" w:rsidTr="00E00321">
        <w:trPr>
          <w:cantSplit/>
          <w:trHeight w:val="255"/>
          <w:jc w:val="center"/>
        </w:trPr>
        <w:tc>
          <w:tcPr>
            <w:tcW w:w="1814" w:type="dxa"/>
            <w:tcBorders>
              <w:top w:val="single" w:sz="8" w:space="0" w:color="FFFFFF"/>
              <w:left w:val="single" w:sz="8" w:space="0" w:color="FFFFFF"/>
              <w:bottom w:val="single" w:sz="8" w:space="0" w:color="FFFFFF"/>
              <w:right w:val="single" w:sz="8" w:space="0" w:color="FFFFFF"/>
            </w:tcBorders>
            <w:shd w:val="clear" w:color="auto" w:fill="6380C0"/>
            <w:vAlign w:val="center"/>
          </w:tcPr>
          <w:p w:rsidR="00212C0B" w:rsidRPr="00212C0B" w:rsidRDefault="00212C0B" w:rsidP="00212C0B">
            <w:pPr>
              <w:pStyle w:val="TableParagraph"/>
              <w:ind w:left="338"/>
              <w:rPr>
                <w:rFonts w:ascii="Calibri" w:eastAsia="Calibri" w:hAnsi="Calibri" w:cs="Calibri"/>
                <w:sz w:val="16"/>
                <w:szCs w:val="16"/>
              </w:rPr>
            </w:pPr>
            <w:r w:rsidRPr="00212C0B">
              <w:rPr>
                <w:rFonts w:ascii="Calibri" w:hAnsi="Calibri"/>
                <w:b/>
                <w:color w:val="231F20"/>
                <w:sz w:val="16"/>
              </w:rPr>
              <w:t>Ultraoligotrófico</w:t>
            </w:r>
          </w:p>
        </w:tc>
        <w:tc>
          <w:tcPr>
            <w:tcW w:w="1814" w:type="dxa"/>
            <w:tcBorders>
              <w:top w:val="single" w:sz="8" w:space="0" w:color="FFFFFF"/>
              <w:left w:val="single" w:sz="8" w:space="0" w:color="FFFFFF"/>
              <w:bottom w:val="single" w:sz="8" w:space="0" w:color="FFFFFF"/>
              <w:right w:val="single" w:sz="8" w:space="0" w:color="FFFFFF"/>
            </w:tcBorders>
            <w:shd w:val="clear" w:color="auto" w:fill="DFECF3"/>
            <w:vAlign w:val="center"/>
          </w:tcPr>
          <w:p w:rsidR="00212C0B" w:rsidRPr="00212C0B" w:rsidRDefault="00212C0B" w:rsidP="00212C0B">
            <w:pPr>
              <w:pStyle w:val="TableParagraph"/>
              <w:jc w:val="center"/>
              <w:rPr>
                <w:rFonts w:ascii="Calibri" w:eastAsia="Calibri" w:hAnsi="Calibri" w:cs="Calibri"/>
                <w:sz w:val="16"/>
                <w:szCs w:val="16"/>
              </w:rPr>
            </w:pPr>
            <w:r w:rsidRPr="00212C0B">
              <w:rPr>
                <w:rFonts w:ascii="Calibri" w:eastAsia="Calibri" w:hAnsi="Calibri" w:cs="Calibri"/>
                <w:color w:val="231F20"/>
                <w:sz w:val="16"/>
                <w:szCs w:val="16"/>
              </w:rPr>
              <w:t>IET</w:t>
            </w:r>
            <w:r w:rsidRPr="00212C0B">
              <w:rPr>
                <w:rFonts w:ascii="Calibri" w:eastAsia="Calibri" w:hAnsi="Calibri" w:cs="Calibri"/>
                <w:color w:val="231F20"/>
                <w:spacing w:val="-10"/>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14"/>
                <w:sz w:val="16"/>
                <w:szCs w:val="16"/>
              </w:rPr>
              <w:t></w:t>
            </w:r>
            <w:r w:rsidRPr="00212C0B">
              <w:rPr>
                <w:rFonts w:ascii="Calibri" w:eastAsia="Calibri" w:hAnsi="Calibri" w:cs="Calibri"/>
                <w:color w:val="231F20"/>
                <w:sz w:val="16"/>
                <w:szCs w:val="16"/>
              </w:rPr>
              <w:t>47</w:t>
            </w:r>
          </w:p>
        </w:tc>
        <w:tc>
          <w:tcPr>
            <w:tcW w:w="1814" w:type="dxa"/>
            <w:tcBorders>
              <w:top w:val="single" w:sz="8" w:space="0" w:color="FFFFFF"/>
              <w:left w:val="single" w:sz="8" w:space="0" w:color="FFFFFF"/>
              <w:bottom w:val="single" w:sz="8" w:space="0" w:color="FFFFFF"/>
              <w:right w:val="single" w:sz="8" w:space="0" w:color="FFFFFF"/>
            </w:tcBorders>
            <w:shd w:val="clear" w:color="auto" w:fill="DFECF3"/>
            <w:vAlign w:val="center"/>
          </w:tcPr>
          <w:p w:rsidR="00212C0B" w:rsidRPr="00212C0B" w:rsidRDefault="00212C0B" w:rsidP="00212C0B">
            <w:pPr>
              <w:pStyle w:val="TableParagraph"/>
              <w:jc w:val="center"/>
              <w:rPr>
                <w:rFonts w:ascii="Calibri" w:eastAsia="Calibri" w:hAnsi="Calibri" w:cs="Calibri"/>
                <w:sz w:val="16"/>
                <w:szCs w:val="16"/>
              </w:rPr>
            </w:pPr>
            <w:r w:rsidRPr="00212C0B">
              <w:rPr>
                <w:rFonts w:ascii="Calibri" w:eastAsia="Calibri" w:hAnsi="Calibri" w:cs="Calibri"/>
                <w:color w:val="231F20"/>
                <w:sz w:val="16"/>
                <w:szCs w:val="16"/>
              </w:rPr>
              <w:t>S</w:t>
            </w:r>
            <w:r w:rsidRPr="00212C0B">
              <w:rPr>
                <w:rFonts w:ascii="Calibri" w:eastAsia="Calibri" w:hAnsi="Calibri" w:cs="Calibri"/>
                <w:color w:val="231F20"/>
                <w:spacing w:val="-6"/>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10"/>
                <w:sz w:val="16"/>
                <w:szCs w:val="16"/>
              </w:rPr>
              <w:t></w:t>
            </w:r>
            <w:r w:rsidRPr="00212C0B">
              <w:rPr>
                <w:rFonts w:ascii="Calibri" w:eastAsia="Calibri" w:hAnsi="Calibri" w:cs="Calibri"/>
                <w:color w:val="231F20"/>
                <w:sz w:val="16"/>
                <w:szCs w:val="16"/>
              </w:rPr>
              <w:t>2,4</w:t>
            </w:r>
          </w:p>
        </w:tc>
        <w:tc>
          <w:tcPr>
            <w:tcW w:w="1814" w:type="dxa"/>
            <w:tcBorders>
              <w:top w:val="single" w:sz="8" w:space="0" w:color="FFFFFF"/>
              <w:left w:val="single" w:sz="8" w:space="0" w:color="FFFFFF"/>
              <w:bottom w:val="single" w:sz="8" w:space="0" w:color="FFFFFF"/>
              <w:right w:val="single" w:sz="8" w:space="0" w:color="FFFFFF"/>
            </w:tcBorders>
            <w:shd w:val="clear" w:color="auto" w:fill="DFECF3"/>
            <w:vAlign w:val="center"/>
          </w:tcPr>
          <w:p w:rsidR="00212C0B" w:rsidRPr="00212C0B" w:rsidRDefault="00212C0B" w:rsidP="00212C0B">
            <w:pPr>
              <w:pStyle w:val="TableParagraph"/>
              <w:jc w:val="center"/>
              <w:rPr>
                <w:rFonts w:ascii="Calibri" w:eastAsia="Calibri" w:hAnsi="Calibri" w:cs="Calibri"/>
                <w:sz w:val="16"/>
                <w:szCs w:val="16"/>
              </w:rPr>
            </w:pPr>
            <w:r w:rsidRPr="00212C0B">
              <w:rPr>
                <w:rFonts w:ascii="Calibri" w:eastAsia="Calibri" w:hAnsi="Calibri" w:cs="Calibri"/>
                <w:color w:val="231F20"/>
                <w:sz w:val="16"/>
                <w:szCs w:val="16"/>
              </w:rPr>
              <w:t>P</w:t>
            </w:r>
            <w:r w:rsidRPr="00212C0B">
              <w:rPr>
                <w:rFonts w:ascii="Calibri" w:eastAsia="Calibri" w:hAnsi="Calibri" w:cs="Calibri"/>
                <w:color w:val="231F20"/>
                <w:spacing w:val="-4"/>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7"/>
                <w:sz w:val="16"/>
                <w:szCs w:val="16"/>
              </w:rPr>
              <w:t></w:t>
            </w:r>
            <w:r w:rsidRPr="00212C0B">
              <w:rPr>
                <w:rFonts w:ascii="Calibri" w:eastAsia="Calibri" w:hAnsi="Calibri" w:cs="Calibri"/>
                <w:color w:val="231F20"/>
                <w:sz w:val="16"/>
                <w:szCs w:val="16"/>
              </w:rPr>
              <w:t>8</w:t>
            </w:r>
          </w:p>
        </w:tc>
        <w:tc>
          <w:tcPr>
            <w:tcW w:w="1815" w:type="dxa"/>
            <w:tcBorders>
              <w:top w:val="single" w:sz="8" w:space="0" w:color="FFFFFF"/>
              <w:left w:val="single" w:sz="8" w:space="0" w:color="FFFFFF"/>
              <w:bottom w:val="single" w:sz="8" w:space="0" w:color="FFFFFF"/>
              <w:right w:val="single" w:sz="8" w:space="0" w:color="FFFFFF"/>
            </w:tcBorders>
            <w:shd w:val="clear" w:color="auto" w:fill="DFECF3"/>
            <w:vAlign w:val="center"/>
          </w:tcPr>
          <w:p w:rsidR="00212C0B" w:rsidRPr="00212C0B" w:rsidRDefault="00212C0B" w:rsidP="00212C0B">
            <w:pPr>
              <w:pStyle w:val="TableParagraph"/>
              <w:jc w:val="center"/>
              <w:rPr>
                <w:rFonts w:ascii="Calibri" w:eastAsia="Calibri" w:hAnsi="Calibri" w:cs="Calibri"/>
                <w:sz w:val="16"/>
                <w:szCs w:val="16"/>
              </w:rPr>
            </w:pPr>
            <w:r w:rsidRPr="00212C0B">
              <w:rPr>
                <w:rFonts w:ascii="Calibri" w:eastAsia="Calibri" w:hAnsi="Calibri" w:cs="Calibri"/>
                <w:color w:val="231F20"/>
                <w:sz w:val="16"/>
                <w:szCs w:val="16"/>
              </w:rPr>
              <w:t>CL</w:t>
            </w:r>
            <w:r w:rsidRPr="00212C0B">
              <w:rPr>
                <w:rFonts w:ascii="Calibri" w:eastAsia="Calibri" w:hAnsi="Calibri" w:cs="Calibri"/>
                <w:color w:val="231F20"/>
                <w:spacing w:val="-8"/>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11"/>
                <w:sz w:val="16"/>
                <w:szCs w:val="16"/>
              </w:rPr>
              <w:t></w:t>
            </w:r>
            <w:r w:rsidRPr="00212C0B">
              <w:rPr>
                <w:rFonts w:ascii="Calibri" w:eastAsia="Calibri" w:hAnsi="Calibri" w:cs="Calibri"/>
                <w:color w:val="231F20"/>
                <w:sz w:val="16"/>
                <w:szCs w:val="16"/>
              </w:rPr>
              <w:t>1,17</w:t>
            </w:r>
          </w:p>
        </w:tc>
      </w:tr>
      <w:tr w:rsidR="00212C0B" w:rsidRPr="00212C0B" w:rsidTr="00E00321">
        <w:trPr>
          <w:cantSplit/>
          <w:trHeight w:val="255"/>
          <w:jc w:val="center"/>
        </w:trPr>
        <w:tc>
          <w:tcPr>
            <w:tcW w:w="1814" w:type="dxa"/>
            <w:tcBorders>
              <w:top w:val="single" w:sz="8" w:space="0" w:color="FFFFFF"/>
              <w:left w:val="single" w:sz="8" w:space="0" w:color="FFFFFF"/>
              <w:bottom w:val="single" w:sz="8" w:space="0" w:color="FFFFFF"/>
              <w:right w:val="single" w:sz="8" w:space="0" w:color="FFFFFF"/>
            </w:tcBorders>
            <w:shd w:val="clear" w:color="auto" w:fill="6BBE45"/>
            <w:vAlign w:val="center"/>
          </w:tcPr>
          <w:p w:rsidR="00212C0B" w:rsidRPr="00212C0B" w:rsidRDefault="00212C0B" w:rsidP="00212C0B">
            <w:pPr>
              <w:pStyle w:val="TableParagraph"/>
              <w:ind w:left="495"/>
              <w:rPr>
                <w:rFonts w:ascii="Calibri" w:eastAsia="Calibri" w:hAnsi="Calibri" w:cs="Calibri"/>
                <w:sz w:val="16"/>
                <w:szCs w:val="16"/>
              </w:rPr>
            </w:pPr>
            <w:r w:rsidRPr="00212C0B">
              <w:rPr>
                <w:rFonts w:ascii="Calibri" w:hAnsi="Calibri"/>
                <w:b/>
                <w:color w:val="231F20"/>
                <w:sz w:val="16"/>
              </w:rPr>
              <w:t>Oligotrófico</w:t>
            </w:r>
          </w:p>
        </w:tc>
        <w:tc>
          <w:tcPr>
            <w:tcW w:w="1814" w:type="dxa"/>
            <w:tcBorders>
              <w:top w:val="single" w:sz="8" w:space="0" w:color="FFFFFF"/>
              <w:left w:val="single" w:sz="8" w:space="0" w:color="FFFFFF"/>
              <w:bottom w:val="single" w:sz="8" w:space="0" w:color="FFFFFF"/>
              <w:right w:val="single" w:sz="8" w:space="0" w:color="FFFFFF"/>
            </w:tcBorders>
            <w:shd w:val="clear" w:color="auto" w:fill="C6DEEA"/>
            <w:vAlign w:val="center"/>
          </w:tcPr>
          <w:p w:rsidR="00212C0B" w:rsidRPr="00212C0B" w:rsidRDefault="00212C0B" w:rsidP="00212C0B">
            <w:pPr>
              <w:pStyle w:val="TableParagraph"/>
              <w:ind w:left="502"/>
              <w:rPr>
                <w:rFonts w:ascii="Calibri" w:eastAsia="Calibri" w:hAnsi="Calibri" w:cs="Calibri"/>
                <w:sz w:val="16"/>
                <w:szCs w:val="16"/>
              </w:rPr>
            </w:pPr>
            <w:r w:rsidRPr="00212C0B">
              <w:rPr>
                <w:rFonts w:ascii="Calibri" w:eastAsia="Calibri" w:hAnsi="Calibri" w:cs="Calibri"/>
                <w:color w:val="231F20"/>
                <w:sz w:val="16"/>
                <w:szCs w:val="16"/>
              </w:rPr>
              <w:t>47</w:t>
            </w:r>
            <w:r w:rsidRPr="00212C0B">
              <w:rPr>
                <w:rFonts w:ascii="Calibri" w:eastAsia="Calibri" w:hAnsi="Calibri" w:cs="Calibri"/>
                <w:color w:val="231F20"/>
                <w:spacing w:val="-3"/>
                <w:sz w:val="16"/>
                <w:szCs w:val="16"/>
              </w:rPr>
              <w:t xml:space="preserve"> </w:t>
            </w:r>
            <w:r w:rsidRPr="00212C0B">
              <w:rPr>
                <w:rFonts w:ascii="Calibri" w:eastAsia="Calibri" w:hAnsi="Calibri" w:cs="Calibri"/>
                <w:color w:val="231F20"/>
                <w:sz w:val="16"/>
                <w:szCs w:val="16"/>
              </w:rPr>
              <w:t>&lt;</w:t>
            </w:r>
            <w:r w:rsidRPr="00212C0B">
              <w:rPr>
                <w:rFonts w:ascii="Calibri" w:eastAsia="Calibri" w:hAnsi="Calibri" w:cs="Calibri"/>
                <w:color w:val="231F20"/>
                <w:spacing w:val="-2"/>
                <w:sz w:val="16"/>
                <w:szCs w:val="16"/>
              </w:rPr>
              <w:t xml:space="preserve"> </w:t>
            </w:r>
            <w:r w:rsidRPr="00212C0B">
              <w:rPr>
                <w:rFonts w:ascii="Calibri" w:eastAsia="Calibri" w:hAnsi="Calibri" w:cs="Calibri"/>
                <w:color w:val="231F20"/>
                <w:sz w:val="16"/>
                <w:szCs w:val="16"/>
              </w:rPr>
              <w:t>IET</w:t>
            </w:r>
            <w:r w:rsidRPr="00212C0B">
              <w:rPr>
                <w:rFonts w:ascii="Calibri" w:eastAsia="Calibri" w:hAnsi="Calibri" w:cs="Calibri"/>
                <w:color w:val="231F20"/>
                <w:spacing w:val="-2"/>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7"/>
                <w:sz w:val="16"/>
                <w:szCs w:val="16"/>
              </w:rPr>
              <w:t></w:t>
            </w:r>
            <w:r w:rsidRPr="00212C0B">
              <w:rPr>
                <w:rFonts w:ascii="Calibri" w:eastAsia="Calibri" w:hAnsi="Calibri" w:cs="Calibri"/>
                <w:color w:val="231F20"/>
                <w:sz w:val="16"/>
                <w:szCs w:val="16"/>
              </w:rPr>
              <w:t>52</w:t>
            </w:r>
          </w:p>
        </w:tc>
        <w:tc>
          <w:tcPr>
            <w:tcW w:w="1814" w:type="dxa"/>
            <w:tcBorders>
              <w:top w:val="single" w:sz="8" w:space="0" w:color="FFFFFF"/>
              <w:left w:val="single" w:sz="8" w:space="0" w:color="FFFFFF"/>
              <w:bottom w:val="single" w:sz="8" w:space="0" w:color="FFFFFF"/>
              <w:right w:val="single" w:sz="8" w:space="0" w:color="FFFFFF"/>
            </w:tcBorders>
            <w:shd w:val="clear" w:color="auto" w:fill="C6DEEA"/>
            <w:vAlign w:val="center"/>
          </w:tcPr>
          <w:p w:rsidR="00212C0B" w:rsidRPr="00212C0B" w:rsidRDefault="00212C0B" w:rsidP="00212C0B">
            <w:pPr>
              <w:pStyle w:val="TableParagraph"/>
              <w:ind w:left="500"/>
              <w:rPr>
                <w:rFonts w:ascii="Calibri" w:eastAsia="Calibri" w:hAnsi="Calibri" w:cs="Calibri"/>
                <w:sz w:val="16"/>
                <w:szCs w:val="16"/>
              </w:rPr>
            </w:pPr>
            <w:r w:rsidRPr="00212C0B">
              <w:rPr>
                <w:rFonts w:ascii="Calibri" w:eastAsia="Calibri" w:hAnsi="Calibri" w:cs="Calibri"/>
                <w:color w:val="231F20"/>
                <w:sz w:val="16"/>
                <w:szCs w:val="16"/>
              </w:rPr>
              <w:t>2,4</w:t>
            </w:r>
            <w:r w:rsidRPr="00212C0B">
              <w:rPr>
                <w:rFonts w:ascii="Calibri" w:eastAsia="Calibri" w:hAnsi="Calibri" w:cs="Calibri"/>
                <w:color w:val="231F20"/>
                <w:spacing w:val="-1"/>
                <w:sz w:val="16"/>
                <w:szCs w:val="16"/>
              </w:rPr>
              <w:t xml:space="preserve"> </w:t>
            </w:r>
            <w:r w:rsidRPr="00212C0B">
              <w:rPr>
                <w:rFonts w:ascii="Calibri" w:eastAsia="Calibri" w:hAnsi="Calibri" w:cs="Calibri"/>
                <w:color w:val="231F20"/>
                <w:sz w:val="16"/>
                <w:szCs w:val="16"/>
              </w:rPr>
              <w:t>&gt;</w:t>
            </w:r>
            <w:r w:rsidRPr="00212C0B">
              <w:rPr>
                <w:rFonts w:ascii="Calibri" w:eastAsia="Calibri" w:hAnsi="Calibri" w:cs="Calibri"/>
                <w:color w:val="231F20"/>
                <w:spacing w:val="-1"/>
                <w:sz w:val="16"/>
                <w:szCs w:val="16"/>
              </w:rPr>
              <w:t xml:space="preserve"> </w:t>
            </w:r>
            <w:r w:rsidRPr="00212C0B">
              <w:rPr>
                <w:rFonts w:ascii="Calibri" w:eastAsia="Calibri" w:hAnsi="Calibri" w:cs="Calibri"/>
                <w:color w:val="231F20"/>
                <w:sz w:val="16"/>
                <w:szCs w:val="16"/>
              </w:rPr>
              <w:t>S</w:t>
            </w:r>
            <w:r w:rsidRPr="00212C0B">
              <w:rPr>
                <w:rFonts w:ascii="Calibri" w:eastAsia="Calibri" w:hAnsi="Calibri" w:cs="Calibri"/>
                <w:color w:val="231F20"/>
                <w:spacing w:val="-1"/>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5"/>
                <w:sz w:val="16"/>
                <w:szCs w:val="16"/>
              </w:rPr>
              <w:t></w:t>
            </w:r>
            <w:r w:rsidRPr="00212C0B">
              <w:rPr>
                <w:rFonts w:ascii="Calibri" w:eastAsia="Calibri" w:hAnsi="Calibri" w:cs="Calibri"/>
                <w:color w:val="231F20"/>
                <w:sz w:val="16"/>
                <w:szCs w:val="16"/>
              </w:rPr>
              <w:t>1,7</w:t>
            </w:r>
          </w:p>
        </w:tc>
        <w:tc>
          <w:tcPr>
            <w:tcW w:w="1814" w:type="dxa"/>
            <w:tcBorders>
              <w:top w:val="single" w:sz="8" w:space="0" w:color="FFFFFF"/>
              <w:left w:val="single" w:sz="8" w:space="0" w:color="FFFFFF"/>
              <w:bottom w:val="single" w:sz="8" w:space="0" w:color="FFFFFF"/>
              <w:right w:val="single" w:sz="8" w:space="0" w:color="FFFFFF"/>
            </w:tcBorders>
            <w:shd w:val="clear" w:color="auto" w:fill="C6DEEA"/>
            <w:vAlign w:val="center"/>
          </w:tcPr>
          <w:p w:rsidR="00212C0B" w:rsidRPr="00212C0B" w:rsidRDefault="00212C0B" w:rsidP="00212C0B">
            <w:pPr>
              <w:pStyle w:val="TableParagraph"/>
              <w:ind w:left="574"/>
              <w:rPr>
                <w:rFonts w:ascii="Calibri" w:eastAsia="Calibri" w:hAnsi="Calibri" w:cs="Calibri"/>
                <w:sz w:val="16"/>
                <w:szCs w:val="16"/>
              </w:rPr>
            </w:pPr>
            <w:r w:rsidRPr="00212C0B">
              <w:rPr>
                <w:rFonts w:ascii="Calibri" w:eastAsia="Calibri" w:hAnsi="Calibri" w:cs="Calibri"/>
                <w:color w:val="231F20"/>
                <w:sz w:val="16"/>
                <w:szCs w:val="16"/>
              </w:rPr>
              <w:t>8 &lt;</w:t>
            </w:r>
            <w:r w:rsidRPr="00212C0B">
              <w:rPr>
                <w:rFonts w:ascii="Calibri" w:eastAsia="Calibri" w:hAnsi="Calibri" w:cs="Calibri"/>
                <w:color w:val="231F20"/>
                <w:spacing w:val="1"/>
                <w:sz w:val="16"/>
                <w:szCs w:val="16"/>
              </w:rPr>
              <w:t xml:space="preserve"> </w:t>
            </w:r>
            <w:r w:rsidRPr="00212C0B">
              <w:rPr>
                <w:rFonts w:ascii="Calibri" w:eastAsia="Calibri" w:hAnsi="Calibri" w:cs="Calibri"/>
                <w:color w:val="231F20"/>
                <w:sz w:val="16"/>
                <w:szCs w:val="16"/>
              </w:rPr>
              <w:t>P</w:t>
            </w:r>
            <w:r w:rsidRPr="00212C0B">
              <w:rPr>
                <w:rFonts w:ascii="Calibri" w:eastAsia="Calibri" w:hAnsi="Calibri" w:cs="Calibri"/>
                <w:color w:val="231F20"/>
                <w:spacing w:val="1"/>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3"/>
                <w:sz w:val="16"/>
                <w:szCs w:val="16"/>
              </w:rPr>
              <w:t></w:t>
            </w:r>
            <w:r w:rsidRPr="00212C0B">
              <w:rPr>
                <w:rFonts w:ascii="Calibri" w:eastAsia="Calibri" w:hAnsi="Calibri" w:cs="Calibri"/>
                <w:color w:val="231F20"/>
                <w:sz w:val="16"/>
                <w:szCs w:val="16"/>
              </w:rPr>
              <w:t>19</w:t>
            </w:r>
          </w:p>
        </w:tc>
        <w:tc>
          <w:tcPr>
            <w:tcW w:w="1815" w:type="dxa"/>
            <w:tcBorders>
              <w:top w:val="single" w:sz="8" w:space="0" w:color="FFFFFF"/>
              <w:left w:val="single" w:sz="8" w:space="0" w:color="FFFFFF"/>
              <w:bottom w:val="single" w:sz="8" w:space="0" w:color="FFFFFF"/>
              <w:right w:val="single" w:sz="8" w:space="0" w:color="FFFFFF"/>
            </w:tcBorders>
            <w:shd w:val="clear" w:color="auto" w:fill="C6DEEA"/>
            <w:vAlign w:val="center"/>
          </w:tcPr>
          <w:p w:rsidR="00212C0B" w:rsidRPr="00212C0B" w:rsidRDefault="00212C0B" w:rsidP="00212C0B">
            <w:pPr>
              <w:pStyle w:val="TableParagraph"/>
              <w:ind w:left="403"/>
              <w:rPr>
                <w:rFonts w:ascii="Calibri" w:eastAsia="Calibri" w:hAnsi="Calibri" w:cs="Calibri"/>
                <w:sz w:val="16"/>
                <w:szCs w:val="16"/>
              </w:rPr>
            </w:pPr>
            <w:r w:rsidRPr="00212C0B">
              <w:rPr>
                <w:rFonts w:ascii="Calibri" w:eastAsia="Calibri" w:hAnsi="Calibri" w:cs="Calibri"/>
                <w:color w:val="231F20"/>
                <w:sz w:val="16"/>
                <w:szCs w:val="16"/>
              </w:rPr>
              <w:t>1,17</w:t>
            </w:r>
            <w:r w:rsidRPr="00212C0B">
              <w:rPr>
                <w:rFonts w:ascii="Calibri" w:eastAsia="Calibri" w:hAnsi="Calibri" w:cs="Calibri"/>
                <w:color w:val="231F20"/>
                <w:spacing w:val="-3"/>
                <w:sz w:val="16"/>
                <w:szCs w:val="16"/>
              </w:rPr>
              <w:t xml:space="preserve"> </w:t>
            </w:r>
            <w:r w:rsidRPr="00212C0B">
              <w:rPr>
                <w:rFonts w:ascii="Calibri" w:eastAsia="Calibri" w:hAnsi="Calibri" w:cs="Calibri"/>
                <w:color w:val="231F20"/>
                <w:sz w:val="16"/>
                <w:szCs w:val="16"/>
              </w:rPr>
              <w:t>&lt;</w:t>
            </w:r>
            <w:r w:rsidRPr="00212C0B">
              <w:rPr>
                <w:rFonts w:ascii="Calibri" w:eastAsia="Calibri" w:hAnsi="Calibri" w:cs="Calibri"/>
                <w:color w:val="231F20"/>
                <w:spacing w:val="-3"/>
                <w:sz w:val="16"/>
                <w:szCs w:val="16"/>
              </w:rPr>
              <w:t xml:space="preserve"> </w:t>
            </w:r>
            <w:r w:rsidRPr="00212C0B">
              <w:rPr>
                <w:rFonts w:ascii="Calibri" w:eastAsia="Calibri" w:hAnsi="Calibri" w:cs="Calibri"/>
                <w:color w:val="231F20"/>
                <w:sz w:val="16"/>
                <w:szCs w:val="16"/>
              </w:rPr>
              <w:t>CL</w:t>
            </w:r>
            <w:r w:rsidRPr="00212C0B">
              <w:rPr>
                <w:rFonts w:ascii="Calibri" w:eastAsia="Calibri" w:hAnsi="Calibri" w:cs="Calibri"/>
                <w:color w:val="231F20"/>
                <w:spacing w:val="-3"/>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7"/>
                <w:sz w:val="16"/>
                <w:szCs w:val="16"/>
              </w:rPr>
              <w:t></w:t>
            </w:r>
            <w:r w:rsidRPr="00212C0B">
              <w:rPr>
                <w:rFonts w:ascii="Calibri" w:eastAsia="Calibri" w:hAnsi="Calibri" w:cs="Calibri"/>
                <w:color w:val="231F20"/>
                <w:sz w:val="16"/>
                <w:szCs w:val="16"/>
              </w:rPr>
              <w:t>3,24</w:t>
            </w:r>
          </w:p>
        </w:tc>
      </w:tr>
      <w:tr w:rsidR="00212C0B" w:rsidRPr="00212C0B" w:rsidTr="00E00321">
        <w:trPr>
          <w:cantSplit/>
          <w:trHeight w:val="255"/>
          <w:jc w:val="center"/>
        </w:trPr>
        <w:tc>
          <w:tcPr>
            <w:tcW w:w="1814" w:type="dxa"/>
            <w:tcBorders>
              <w:top w:val="single" w:sz="8" w:space="0" w:color="FFFFFF"/>
              <w:left w:val="single" w:sz="8" w:space="0" w:color="FFFFFF"/>
              <w:bottom w:val="single" w:sz="8" w:space="0" w:color="FFFFFF"/>
              <w:right w:val="single" w:sz="8" w:space="0" w:color="FFFFFF"/>
            </w:tcBorders>
            <w:shd w:val="clear" w:color="auto" w:fill="FBEA1E"/>
            <w:vAlign w:val="center"/>
          </w:tcPr>
          <w:p w:rsidR="00212C0B" w:rsidRPr="00212C0B" w:rsidRDefault="00212C0B" w:rsidP="00212C0B">
            <w:pPr>
              <w:pStyle w:val="TableParagraph"/>
              <w:ind w:left="494"/>
              <w:rPr>
                <w:rFonts w:ascii="Calibri" w:eastAsia="Calibri" w:hAnsi="Calibri" w:cs="Calibri"/>
                <w:sz w:val="16"/>
                <w:szCs w:val="16"/>
              </w:rPr>
            </w:pPr>
            <w:r w:rsidRPr="00212C0B">
              <w:rPr>
                <w:rFonts w:ascii="Calibri" w:hAnsi="Calibri"/>
                <w:b/>
                <w:color w:val="231F20"/>
                <w:sz w:val="16"/>
              </w:rPr>
              <w:t>Mesotrófico</w:t>
            </w:r>
          </w:p>
        </w:tc>
        <w:tc>
          <w:tcPr>
            <w:tcW w:w="1814" w:type="dxa"/>
            <w:tcBorders>
              <w:top w:val="single" w:sz="8" w:space="0" w:color="FFFFFF"/>
              <w:left w:val="single" w:sz="8" w:space="0" w:color="FFFFFF"/>
              <w:bottom w:val="single" w:sz="8" w:space="0" w:color="FFFFFF"/>
              <w:right w:val="single" w:sz="8" w:space="0" w:color="FFFFFF"/>
            </w:tcBorders>
            <w:shd w:val="clear" w:color="auto" w:fill="DFECF3"/>
            <w:vAlign w:val="center"/>
          </w:tcPr>
          <w:p w:rsidR="00212C0B" w:rsidRPr="00212C0B" w:rsidRDefault="00212C0B" w:rsidP="00212C0B">
            <w:pPr>
              <w:pStyle w:val="TableParagraph"/>
              <w:ind w:left="502"/>
              <w:rPr>
                <w:rFonts w:ascii="Calibri" w:eastAsia="Calibri" w:hAnsi="Calibri" w:cs="Calibri"/>
                <w:sz w:val="16"/>
                <w:szCs w:val="16"/>
              </w:rPr>
            </w:pPr>
            <w:r w:rsidRPr="00212C0B">
              <w:rPr>
                <w:rFonts w:ascii="Calibri" w:eastAsia="Calibri" w:hAnsi="Calibri" w:cs="Calibri"/>
                <w:color w:val="231F20"/>
                <w:sz w:val="16"/>
                <w:szCs w:val="16"/>
              </w:rPr>
              <w:t>52</w:t>
            </w:r>
            <w:r w:rsidRPr="00212C0B">
              <w:rPr>
                <w:rFonts w:ascii="Calibri" w:eastAsia="Calibri" w:hAnsi="Calibri" w:cs="Calibri"/>
                <w:color w:val="231F20"/>
                <w:spacing w:val="-3"/>
                <w:sz w:val="16"/>
                <w:szCs w:val="16"/>
              </w:rPr>
              <w:t xml:space="preserve"> </w:t>
            </w:r>
            <w:r w:rsidRPr="00212C0B">
              <w:rPr>
                <w:rFonts w:ascii="Calibri" w:eastAsia="Calibri" w:hAnsi="Calibri" w:cs="Calibri"/>
                <w:color w:val="231F20"/>
                <w:sz w:val="16"/>
                <w:szCs w:val="16"/>
              </w:rPr>
              <w:t>&lt;</w:t>
            </w:r>
            <w:r w:rsidRPr="00212C0B">
              <w:rPr>
                <w:rFonts w:ascii="Calibri" w:eastAsia="Calibri" w:hAnsi="Calibri" w:cs="Calibri"/>
                <w:color w:val="231F20"/>
                <w:spacing w:val="-2"/>
                <w:sz w:val="16"/>
                <w:szCs w:val="16"/>
              </w:rPr>
              <w:t xml:space="preserve"> </w:t>
            </w:r>
            <w:r w:rsidRPr="00212C0B">
              <w:rPr>
                <w:rFonts w:ascii="Calibri" w:eastAsia="Calibri" w:hAnsi="Calibri" w:cs="Calibri"/>
                <w:color w:val="231F20"/>
                <w:sz w:val="16"/>
                <w:szCs w:val="16"/>
              </w:rPr>
              <w:t>IET</w:t>
            </w:r>
            <w:r w:rsidRPr="00212C0B">
              <w:rPr>
                <w:rFonts w:ascii="Calibri" w:eastAsia="Calibri" w:hAnsi="Calibri" w:cs="Calibri"/>
                <w:color w:val="231F20"/>
                <w:spacing w:val="-2"/>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7"/>
                <w:sz w:val="16"/>
                <w:szCs w:val="16"/>
              </w:rPr>
              <w:t></w:t>
            </w:r>
            <w:r w:rsidRPr="00212C0B">
              <w:rPr>
                <w:rFonts w:ascii="Calibri" w:eastAsia="Calibri" w:hAnsi="Calibri" w:cs="Calibri"/>
                <w:color w:val="231F20"/>
                <w:sz w:val="16"/>
                <w:szCs w:val="16"/>
              </w:rPr>
              <w:t>59</w:t>
            </w:r>
          </w:p>
        </w:tc>
        <w:tc>
          <w:tcPr>
            <w:tcW w:w="1814" w:type="dxa"/>
            <w:tcBorders>
              <w:top w:val="single" w:sz="8" w:space="0" w:color="FFFFFF"/>
              <w:left w:val="single" w:sz="8" w:space="0" w:color="FFFFFF"/>
              <w:bottom w:val="single" w:sz="8" w:space="0" w:color="FFFFFF"/>
              <w:right w:val="single" w:sz="8" w:space="0" w:color="FFFFFF"/>
            </w:tcBorders>
            <w:shd w:val="clear" w:color="auto" w:fill="DFECF3"/>
            <w:vAlign w:val="center"/>
          </w:tcPr>
          <w:p w:rsidR="00212C0B" w:rsidRPr="00212C0B" w:rsidRDefault="00212C0B" w:rsidP="00212C0B">
            <w:pPr>
              <w:pStyle w:val="TableParagraph"/>
              <w:ind w:left="500"/>
              <w:rPr>
                <w:rFonts w:ascii="Calibri" w:eastAsia="Calibri" w:hAnsi="Calibri" w:cs="Calibri"/>
                <w:sz w:val="16"/>
                <w:szCs w:val="16"/>
              </w:rPr>
            </w:pPr>
            <w:r w:rsidRPr="00212C0B">
              <w:rPr>
                <w:rFonts w:ascii="Calibri" w:eastAsia="Calibri" w:hAnsi="Calibri" w:cs="Calibri"/>
                <w:color w:val="231F20"/>
                <w:sz w:val="16"/>
                <w:szCs w:val="16"/>
              </w:rPr>
              <w:t>1,7</w:t>
            </w:r>
            <w:r w:rsidRPr="00212C0B">
              <w:rPr>
                <w:rFonts w:ascii="Calibri" w:eastAsia="Calibri" w:hAnsi="Calibri" w:cs="Calibri"/>
                <w:color w:val="231F20"/>
                <w:spacing w:val="-1"/>
                <w:sz w:val="16"/>
                <w:szCs w:val="16"/>
              </w:rPr>
              <w:t xml:space="preserve"> </w:t>
            </w:r>
            <w:r w:rsidRPr="00212C0B">
              <w:rPr>
                <w:rFonts w:ascii="Calibri" w:eastAsia="Calibri" w:hAnsi="Calibri" w:cs="Calibri"/>
                <w:color w:val="231F20"/>
                <w:sz w:val="16"/>
                <w:szCs w:val="16"/>
              </w:rPr>
              <w:t>&gt;</w:t>
            </w:r>
            <w:r w:rsidRPr="00212C0B">
              <w:rPr>
                <w:rFonts w:ascii="Calibri" w:eastAsia="Calibri" w:hAnsi="Calibri" w:cs="Calibri"/>
                <w:color w:val="231F20"/>
                <w:spacing w:val="-1"/>
                <w:sz w:val="16"/>
                <w:szCs w:val="16"/>
              </w:rPr>
              <w:t xml:space="preserve"> </w:t>
            </w:r>
            <w:r w:rsidRPr="00212C0B">
              <w:rPr>
                <w:rFonts w:ascii="Calibri" w:eastAsia="Calibri" w:hAnsi="Calibri" w:cs="Calibri"/>
                <w:color w:val="231F20"/>
                <w:sz w:val="16"/>
                <w:szCs w:val="16"/>
              </w:rPr>
              <w:t>S</w:t>
            </w:r>
            <w:r w:rsidRPr="00212C0B">
              <w:rPr>
                <w:rFonts w:ascii="Calibri" w:eastAsia="Calibri" w:hAnsi="Calibri" w:cs="Calibri"/>
                <w:color w:val="231F20"/>
                <w:spacing w:val="-1"/>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5"/>
                <w:sz w:val="16"/>
                <w:szCs w:val="16"/>
              </w:rPr>
              <w:t></w:t>
            </w:r>
            <w:r w:rsidRPr="00212C0B">
              <w:rPr>
                <w:rFonts w:ascii="Calibri" w:eastAsia="Calibri" w:hAnsi="Calibri" w:cs="Calibri"/>
                <w:color w:val="231F20"/>
                <w:sz w:val="16"/>
                <w:szCs w:val="16"/>
              </w:rPr>
              <w:t>1,1</w:t>
            </w:r>
          </w:p>
        </w:tc>
        <w:tc>
          <w:tcPr>
            <w:tcW w:w="1814" w:type="dxa"/>
            <w:tcBorders>
              <w:top w:val="single" w:sz="8" w:space="0" w:color="FFFFFF"/>
              <w:left w:val="single" w:sz="8" w:space="0" w:color="FFFFFF"/>
              <w:bottom w:val="single" w:sz="8" w:space="0" w:color="FFFFFF"/>
              <w:right w:val="single" w:sz="8" w:space="0" w:color="FFFFFF"/>
            </w:tcBorders>
            <w:shd w:val="clear" w:color="auto" w:fill="DFECF3"/>
            <w:vAlign w:val="center"/>
          </w:tcPr>
          <w:p w:rsidR="00212C0B" w:rsidRPr="00212C0B" w:rsidRDefault="00212C0B" w:rsidP="00212C0B">
            <w:pPr>
              <w:pStyle w:val="TableParagraph"/>
              <w:ind w:left="536"/>
              <w:rPr>
                <w:rFonts w:ascii="Calibri" w:eastAsia="Calibri" w:hAnsi="Calibri" w:cs="Calibri"/>
                <w:sz w:val="16"/>
                <w:szCs w:val="16"/>
              </w:rPr>
            </w:pPr>
            <w:r w:rsidRPr="00212C0B">
              <w:rPr>
                <w:rFonts w:ascii="Calibri" w:eastAsia="Calibri" w:hAnsi="Calibri" w:cs="Calibri"/>
                <w:color w:val="231F20"/>
                <w:sz w:val="16"/>
                <w:szCs w:val="16"/>
              </w:rPr>
              <w:t>19</w:t>
            </w:r>
            <w:r w:rsidRPr="00212C0B">
              <w:rPr>
                <w:rFonts w:ascii="Calibri" w:eastAsia="Calibri" w:hAnsi="Calibri" w:cs="Calibri"/>
                <w:color w:val="231F20"/>
                <w:spacing w:val="-1"/>
                <w:sz w:val="16"/>
                <w:szCs w:val="16"/>
              </w:rPr>
              <w:t xml:space="preserve"> </w:t>
            </w:r>
            <w:r w:rsidRPr="00212C0B">
              <w:rPr>
                <w:rFonts w:ascii="Calibri" w:eastAsia="Calibri" w:hAnsi="Calibri" w:cs="Calibri"/>
                <w:color w:val="231F20"/>
                <w:sz w:val="16"/>
                <w:szCs w:val="16"/>
              </w:rPr>
              <w:t xml:space="preserve">&lt; P </w:t>
            </w:r>
            <w:r w:rsidRPr="00212C0B">
              <w:rPr>
                <w:rFonts w:ascii="Symbol" w:eastAsia="Symbol" w:hAnsi="Symbol" w:cs="Symbol"/>
                <w:color w:val="231F20"/>
                <w:sz w:val="16"/>
                <w:szCs w:val="16"/>
              </w:rPr>
              <w:t></w:t>
            </w:r>
            <w:r w:rsidRPr="00212C0B">
              <w:rPr>
                <w:rFonts w:ascii="Symbol" w:eastAsia="Symbol" w:hAnsi="Symbol" w:cs="Symbol"/>
                <w:color w:val="231F20"/>
                <w:spacing w:val="-5"/>
                <w:sz w:val="16"/>
                <w:szCs w:val="16"/>
              </w:rPr>
              <w:t></w:t>
            </w:r>
            <w:r w:rsidRPr="00212C0B">
              <w:rPr>
                <w:rFonts w:ascii="Calibri" w:eastAsia="Calibri" w:hAnsi="Calibri" w:cs="Calibri"/>
                <w:color w:val="231F20"/>
                <w:sz w:val="16"/>
                <w:szCs w:val="16"/>
              </w:rPr>
              <w:t>52</w:t>
            </w:r>
          </w:p>
        </w:tc>
        <w:tc>
          <w:tcPr>
            <w:tcW w:w="1815" w:type="dxa"/>
            <w:tcBorders>
              <w:top w:val="single" w:sz="8" w:space="0" w:color="FFFFFF"/>
              <w:left w:val="single" w:sz="8" w:space="0" w:color="FFFFFF"/>
              <w:bottom w:val="single" w:sz="8" w:space="0" w:color="FFFFFF"/>
              <w:right w:val="single" w:sz="8" w:space="0" w:color="FFFFFF"/>
            </w:tcBorders>
            <w:shd w:val="clear" w:color="auto" w:fill="DFECF3"/>
            <w:vAlign w:val="center"/>
          </w:tcPr>
          <w:p w:rsidR="00212C0B" w:rsidRPr="00212C0B" w:rsidRDefault="00212C0B" w:rsidP="00212C0B">
            <w:pPr>
              <w:pStyle w:val="TableParagraph"/>
              <w:ind w:left="364"/>
              <w:rPr>
                <w:rFonts w:ascii="Calibri" w:eastAsia="Calibri" w:hAnsi="Calibri" w:cs="Calibri"/>
                <w:sz w:val="16"/>
                <w:szCs w:val="16"/>
              </w:rPr>
            </w:pPr>
            <w:r w:rsidRPr="00212C0B">
              <w:rPr>
                <w:rFonts w:ascii="Calibri" w:eastAsia="Calibri" w:hAnsi="Calibri" w:cs="Calibri"/>
                <w:color w:val="231F20"/>
                <w:sz w:val="16"/>
                <w:szCs w:val="16"/>
              </w:rPr>
              <w:t>3,24</w:t>
            </w:r>
            <w:r w:rsidRPr="00212C0B">
              <w:rPr>
                <w:rFonts w:ascii="Calibri" w:eastAsia="Calibri" w:hAnsi="Calibri" w:cs="Calibri"/>
                <w:color w:val="231F20"/>
                <w:spacing w:val="-5"/>
                <w:sz w:val="16"/>
                <w:szCs w:val="16"/>
              </w:rPr>
              <w:t xml:space="preserve"> </w:t>
            </w:r>
            <w:r w:rsidRPr="00212C0B">
              <w:rPr>
                <w:rFonts w:ascii="Calibri" w:eastAsia="Calibri" w:hAnsi="Calibri" w:cs="Calibri"/>
                <w:color w:val="231F20"/>
                <w:sz w:val="16"/>
                <w:szCs w:val="16"/>
              </w:rPr>
              <w:t>&lt;</w:t>
            </w:r>
            <w:r w:rsidRPr="00212C0B">
              <w:rPr>
                <w:rFonts w:ascii="Calibri" w:eastAsia="Calibri" w:hAnsi="Calibri" w:cs="Calibri"/>
                <w:color w:val="231F20"/>
                <w:spacing w:val="-4"/>
                <w:sz w:val="16"/>
                <w:szCs w:val="16"/>
              </w:rPr>
              <w:t xml:space="preserve"> </w:t>
            </w:r>
            <w:r w:rsidRPr="00212C0B">
              <w:rPr>
                <w:rFonts w:ascii="Calibri" w:eastAsia="Calibri" w:hAnsi="Calibri" w:cs="Calibri"/>
                <w:color w:val="231F20"/>
                <w:sz w:val="16"/>
                <w:szCs w:val="16"/>
              </w:rPr>
              <w:t>CL</w:t>
            </w:r>
            <w:r w:rsidRPr="00212C0B">
              <w:rPr>
                <w:rFonts w:ascii="Calibri" w:eastAsia="Calibri" w:hAnsi="Calibri" w:cs="Calibri"/>
                <w:color w:val="231F20"/>
                <w:spacing w:val="-4"/>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8"/>
                <w:sz w:val="16"/>
                <w:szCs w:val="16"/>
              </w:rPr>
              <w:t></w:t>
            </w:r>
            <w:r w:rsidRPr="00212C0B">
              <w:rPr>
                <w:rFonts w:ascii="Calibri" w:eastAsia="Calibri" w:hAnsi="Calibri" w:cs="Calibri"/>
                <w:color w:val="231F20"/>
                <w:sz w:val="16"/>
                <w:szCs w:val="16"/>
              </w:rPr>
              <w:t>11,03</w:t>
            </w:r>
          </w:p>
        </w:tc>
      </w:tr>
      <w:tr w:rsidR="00212C0B" w:rsidRPr="00212C0B" w:rsidTr="00E00321">
        <w:trPr>
          <w:cantSplit/>
          <w:trHeight w:val="255"/>
          <w:jc w:val="center"/>
        </w:trPr>
        <w:tc>
          <w:tcPr>
            <w:tcW w:w="1814" w:type="dxa"/>
            <w:tcBorders>
              <w:top w:val="single" w:sz="8" w:space="0" w:color="FFFFFF"/>
              <w:left w:val="single" w:sz="8" w:space="0" w:color="FFFFFF"/>
              <w:bottom w:val="single" w:sz="8" w:space="0" w:color="FFFFFF"/>
              <w:right w:val="single" w:sz="8" w:space="0" w:color="FFFFFF"/>
            </w:tcBorders>
            <w:shd w:val="clear" w:color="auto" w:fill="F49522"/>
            <w:vAlign w:val="center"/>
          </w:tcPr>
          <w:p w:rsidR="00212C0B" w:rsidRPr="00212C0B" w:rsidRDefault="00212C0B" w:rsidP="00212C0B">
            <w:pPr>
              <w:pStyle w:val="TableParagraph"/>
              <w:ind w:left="593"/>
              <w:rPr>
                <w:rFonts w:ascii="Calibri" w:eastAsia="Calibri" w:hAnsi="Calibri" w:cs="Calibri"/>
                <w:sz w:val="16"/>
                <w:szCs w:val="16"/>
              </w:rPr>
            </w:pPr>
            <w:r w:rsidRPr="00212C0B">
              <w:rPr>
                <w:rFonts w:ascii="Calibri" w:hAnsi="Calibri"/>
                <w:b/>
                <w:color w:val="231F20"/>
                <w:sz w:val="16"/>
              </w:rPr>
              <w:t>Eutrófico</w:t>
            </w:r>
          </w:p>
        </w:tc>
        <w:tc>
          <w:tcPr>
            <w:tcW w:w="1814" w:type="dxa"/>
            <w:tcBorders>
              <w:top w:val="single" w:sz="8" w:space="0" w:color="FFFFFF"/>
              <w:left w:val="single" w:sz="8" w:space="0" w:color="FFFFFF"/>
              <w:bottom w:val="single" w:sz="8" w:space="0" w:color="FFFFFF"/>
              <w:right w:val="single" w:sz="8" w:space="0" w:color="FFFFFF"/>
            </w:tcBorders>
            <w:shd w:val="clear" w:color="auto" w:fill="C6DEEA"/>
            <w:vAlign w:val="center"/>
          </w:tcPr>
          <w:p w:rsidR="00212C0B" w:rsidRPr="00212C0B" w:rsidRDefault="00212C0B" w:rsidP="00212C0B">
            <w:pPr>
              <w:pStyle w:val="TableParagraph"/>
              <w:ind w:left="482"/>
              <w:rPr>
                <w:rFonts w:ascii="Calibri" w:eastAsia="Calibri" w:hAnsi="Calibri" w:cs="Calibri"/>
                <w:sz w:val="16"/>
                <w:szCs w:val="16"/>
              </w:rPr>
            </w:pPr>
            <w:r w:rsidRPr="00212C0B">
              <w:rPr>
                <w:rFonts w:ascii="Calibri" w:eastAsia="Calibri" w:hAnsi="Calibri" w:cs="Calibri"/>
                <w:color w:val="231F20"/>
                <w:sz w:val="16"/>
                <w:szCs w:val="16"/>
              </w:rPr>
              <w:t>59</w:t>
            </w:r>
            <w:r w:rsidRPr="00212C0B">
              <w:rPr>
                <w:rFonts w:ascii="Calibri" w:eastAsia="Calibri" w:hAnsi="Calibri" w:cs="Calibri"/>
                <w:color w:val="231F20"/>
                <w:spacing w:val="-3"/>
                <w:sz w:val="16"/>
                <w:szCs w:val="16"/>
              </w:rPr>
              <w:t xml:space="preserve"> </w:t>
            </w:r>
            <w:r w:rsidRPr="00212C0B">
              <w:rPr>
                <w:rFonts w:ascii="Calibri" w:eastAsia="Calibri" w:hAnsi="Calibri" w:cs="Calibri"/>
                <w:color w:val="231F20"/>
                <w:sz w:val="16"/>
                <w:szCs w:val="16"/>
              </w:rPr>
              <w:t>&lt;</w:t>
            </w:r>
            <w:r w:rsidRPr="00212C0B">
              <w:rPr>
                <w:rFonts w:ascii="Calibri" w:eastAsia="Calibri" w:hAnsi="Calibri" w:cs="Calibri"/>
                <w:color w:val="231F20"/>
                <w:spacing w:val="-2"/>
                <w:sz w:val="16"/>
                <w:szCs w:val="16"/>
              </w:rPr>
              <w:t xml:space="preserve"> </w:t>
            </w:r>
            <w:r w:rsidRPr="00212C0B">
              <w:rPr>
                <w:rFonts w:ascii="Calibri" w:eastAsia="Calibri" w:hAnsi="Calibri" w:cs="Calibri"/>
                <w:color w:val="231F20"/>
                <w:sz w:val="16"/>
                <w:szCs w:val="16"/>
              </w:rPr>
              <w:t>IET</w:t>
            </w:r>
            <w:r w:rsidRPr="00212C0B">
              <w:rPr>
                <w:rFonts w:ascii="Calibri" w:eastAsia="Calibri" w:hAnsi="Calibri" w:cs="Calibri"/>
                <w:color w:val="231F20"/>
                <w:spacing w:val="-2"/>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7"/>
                <w:sz w:val="16"/>
                <w:szCs w:val="16"/>
              </w:rPr>
              <w:t></w:t>
            </w:r>
            <w:r w:rsidRPr="00212C0B">
              <w:rPr>
                <w:rFonts w:ascii="Calibri" w:eastAsia="Calibri" w:hAnsi="Calibri" w:cs="Calibri"/>
                <w:color w:val="231F20"/>
                <w:sz w:val="16"/>
                <w:szCs w:val="16"/>
              </w:rPr>
              <w:t>63</w:t>
            </w:r>
          </w:p>
        </w:tc>
        <w:tc>
          <w:tcPr>
            <w:tcW w:w="1814" w:type="dxa"/>
            <w:tcBorders>
              <w:top w:val="single" w:sz="8" w:space="0" w:color="FFFFFF"/>
              <w:left w:val="single" w:sz="8" w:space="0" w:color="FFFFFF"/>
              <w:bottom w:val="single" w:sz="8" w:space="0" w:color="FFFFFF"/>
              <w:right w:val="single" w:sz="8" w:space="0" w:color="FFFFFF"/>
            </w:tcBorders>
            <w:shd w:val="clear" w:color="auto" w:fill="C6DEEA"/>
            <w:vAlign w:val="center"/>
          </w:tcPr>
          <w:p w:rsidR="00212C0B" w:rsidRPr="00212C0B" w:rsidRDefault="00212C0B" w:rsidP="00212C0B">
            <w:pPr>
              <w:pStyle w:val="TableParagraph"/>
              <w:ind w:left="500"/>
              <w:rPr>
                <w:rFonts w:ascii="Calibri" w:eastAsia="Calibri" w:hAnsi="Calibri" w:cs="Calibri"/>
                <w:sz w:val="16"/>
                <w:szCs w:val="16"/>
              </w:rPr>
            </w:pPr>
            <w:r w:rsidRPr="00212C0B">
              <w:rPr>
                <w:rFonts w:ascii="Calibri" w:eastAsia="Calibri" w:hAnsi="Calibri" w:cs="Calibri"/>
                <w:color w:val="231F20"/>
                <w:sz w:val="16"/>
                <w:szCs w:val="16"/>
              </w:rPr>
              <w:t>1,1</w:t>
            </w:r>
            <w:r w:rsidRPr="00212C0B">
              <w:rPr>
                <w:rFonts w:ascii="Calibri" w:eastAsia="Calibri" w:hAnsi="Calibri" w:cs="Calibri"/>
                <w:color w:val="231F20"/>
                <w:spacing w:val="-1"/>
                <w:sz w:val="16"/>
                <w:szCs w:val="16"/>
              </w:rPr>
              <w:t xml:space="preserve"> </w:t>
            </w:r>
            <w:r w:rsidRPr="00212C0B">
              <w:rPr>
                <w:rFonts w:ascii="Calibri" w:eastAsia="Calibri" w:hAnsi="Calibri" w:cs="Calibri"/>
                <w:color w:val="231F20"/>
                <w:sz w:val="16"/>
                <w:szCs w:val="16"/>
              </w:rPr>
              <w:t>&gt;</w:t>
            </w:r>
            <w:r w:rsidRPr="00212C0B">
              <w:rPr>
                <w:rFonts w:ascii="Calibri" w:eastAsia="Calibri" w:hAnsi="Calibri" w:cs="Calibri"/>
                <w:color w:val="231F20"/>
                <w:spacing w:val="-1"/>
                <w:sz w:val="16"/>
                <w:szCs w:val="16"/>
              </w:rPr>
              <w:t xml:space="preserve"> </w:t>
            </w:r>
            <w:r w:rsidRPr="00212C0B">
              <w:rPr>
                <w:rFonts w:ascii="Calibri" w:eastAsia="Calibri" w:hAnsi="Calibri" w:cs="Calibri"/>
                <w:color w:val="231F20"/>
                <w:sz w:val="16"/>
                <w:szCs w:val="16"/>
              </w:rPr>
              <w:t>S</w:t>
            </w:r>
            <w:r w:rsidRPr="00212C0B">
              <w:rPr>
                <w:rFonts w:ascii="Calibri" w:eastAsia="Calibri" w:hAnsi="Calibri" w:cs="Calibri"/>
                <w:color w:val="231F20"/>
                <w:spacing w:val="-1"/>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5"/>
                <w:sz w:val="16"/>
                <w:szCs w:val="16"/>
              </w:rPr>
              <w:t></w:t>
            </w:r>
            <w:r w:rsidRPr="00212C0B">
              <w:rPr>
                <w:rFonts w:ascii="Calibri" w:eastAsia="Calibri" w:hAnsi="Calibri" w:cs="Calibri"/>
                <w:color w:val="231F20"/>
                <w:sz w:val="16"/>
                <w:szCs w:val="16"/>
              </w:rPr>
              <w:t>0,8</w:t>
            </w:r>
          </w:p>
        </w:tc>
        <w:tc>
          <w:tcPr>
            <w:tcW w:w="1814" w:type="dxa"/>
            <w:tcBorders>
              <w:top w:val="single" w:sz="8" w:space="0" w:color="FFFFFF"/>
              <w:left w:val="single" w:sz="8" w:space="0" w:color="FFFFFF"/>
              <w:bottom w:val="single" w:sz="8" w:space="0" w:color="FFFFFF"/>
              <w:right w:val="single" w:sz="8" w:space="0" w:color="FFFFFF"/>
            </w:tcBorders>
            <w:shd w:val="clear" w:color="auto" w:fill="C6DEEA"/>
            <w:vAlign w:val="center"/>
          </w:tcPr>
          <w:p w:rsidR="00212C0B" w:rsidRPr="00212C0B" w:rsidRDefault="00212C0B" w:rsidP="00212C0B">
            <w:pPr>
              <w:pStyle w:val="TableParagraph"/>
              <w:ind w:left="517"/>
              <w:rPr>
                <w:rFonts w:ascii="Calibri" w:eastAsia="Calibri" w:hAnsi="Calibri" w:cs="Calibri"/>
                <w:sz w:val="16"/>
                <w:szCs w:val="16"/>
              </w:rPr>
            </w:pPr>
            <w:r w:rsidRPr="00212C0B">
              <w:rPr>
                <w:rFonts w:ascii="Calibri" w:eastAsia="Calibri" w:hAnsi="Calibri" w:cs="Calibri"/>
                <w:color w:val="231F20"/>
                <w:sz w:val="16"/>
                <w:szCs w:val="16"/>
              </w:rPr>
              <w:t>52</w:t>
            </w:r>
            <w:r w:rsidRPr="00212C0B">
              <w:rPr>
                <w:rFonts w:ascii="Calibri" w:eastAsia="Calibri" w:hAnsi="Calibri" w:cs="Calibri"/>
                <w:color w:val="231F20"/>
                <w:spacing w:val="-2"/>
                <w:sz w:val="16"/>
                <w:szCs w:val="16"/>
              </w:rPr>
              <w:t xml:space="preserve"> </w:t>
            </w:r>
            <w:r w:rsidRPr="00212C0B">
              <w:rPr>
                <w:rFonts w:ascii="Calibri" w:eastAsia="Calibri" w:hAnsi="Calibri" w:cs="Calibri"/>
                <w:color w:val="231F20"/>
                <w:sz w:val="16"/>
                <w:szCs w:val="16"/>
              </w:rPr>
              <w:t>&lt;</w:t>
            </w:r>
            <w:r w:rsidRPr="00212C0B">
              <w:rPr>
                <w:rFonts w:ascii="Calibri" w:eastAsia="Calibri" w:hAnsi="Calibri" w:cs="Calibri"/>
                <w:color w:val="231F20"/>
                <w:spacing w:val="-2"/>
                <w:sz w:val="16"/>
                <w:szCs w:val="16"/>
              </w:rPr>
              <w:t xml:space="preserve"> </w:t>
            </w:r>
            <w:r w:rsidRPr="00212C0B">
              <w:rPr>
                <w:rFonts w:ascii="Calibri" w:eastAsia="Calibri" w:hAnsi="Calibri" w:cs="Calibri"/>
                <w:color w:val="231F20"/>
                <w:sz w:val="16"/>
                <w:szCs w:val="16"/>
              </w:rPr>
              <w:t>P</w:t>
            </w:r>
            <w:r w:rsidRPr="00212C0B">
              <w:rPr>
                <w:rFonts w:ascii="Calibri" w:eastAsia="Calibri" w:hAnsi="Calibri" w:cs="Calibri"/>
                <w:color w:val="231F20"/>
                <w:spacing w:val="-1"/>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6"/>
                <w:sz w:val="16"/>
                <w:szCs w:val="16"/>
              </w:rPr>
              <w:t></w:t>
            </w:r>
            <w:r w:rsidRPr="00212C0B">
              <w:rPr>
                <w:rFonts w:ascii="Calibri" w:eastAsia="Calibri" w:hAnsi="Calibri" w:cs="Calibri"/>
                <w:color w:val="231F20"/>
                <w:sz w:val="16"/>
                <w:szCs w:val="16"/>
              </w:rPr>
              <w:t>120</w:t>
            </w:r>
          </w:p>
        </w:tc>
        <w:tc>
          <w:tcPr>
            <w:tcW w:w="1815" w:type="dxa"/>
            <w:tcBorders>
              <w:top w:val="single" w:sz="8" w:space="0" w:color="FFFFFF"/>
              <w:left w:val="single" w:sz="8" w:space="0" w:color="FFFFFF"/>
              <w:bottom w:val="single" w:sz="8" w:space="0" w:color="FFFFFF"/>
              <w:right w:val="single" w:sz="8" w:space="0" w:color="FFFFFF"/>
            </w:tcBorders>
            <w:shd w:val="clear" w:color="auto" w:fill="C6DEEA"/>
            <w:vAlign w:val="center"/>
          </w:tcPr>
          <w:p w:rsidR="00212C0B" w:rsidRPr="00212C0B" w:rsidRDefault="00212C0B" w:rsidP="00212C0B">
            <w:pPr>
              <w:pStyle w:val="TableParagraph"/>
              <w:ind w:left="307"/>
              <w:rPr>
                <w:rFonts w:ascii="Calibri" w:eastAsia="Calibri" w:hAnsi="Calibri" w:cs="Calibri"/>
                <w:sz w:val="16"/>
                <w:szCs w:val="16"/>
              </w:rPr>
            </w:pPr>
            <w:r w:rsidRPr="00212C0B">
              <w:rPr>
                <w:rFonts w:ascii="Calibri" w:eastAsia="Calibri" w:hAnsi="Calibri" w:cs="Calibri"/>
                <w:color w:val="231F20"/>
                <w:sz w:val="16"/>
                <w:szCs w:val="16"/>
              </w:rPr>
              <w:t>11,03</w:t>
            </w:r>
            <w:r w:rsidRPr="00212C0B">
              <w:rPr>
                <w:rFonts w:ascii="Calibri" w:eastAsia="Calibri" w:hAnsi="Calibri" w:cs="Calibri"/>
                <w:color w:val="231F20"/>
                <w:spacing w:val="-6"/>
                <w:sz w:val="16"/>
                <w:szCs w:val="16"/>
              </w:rPr>
              <w:t xml:space="preserve"> </w:t>
            </w:r>
            <w:r w:rsidRPr="00212C0B">
              <w:rPr>
                <w:rFonts w:ascii="Calibri" w:eastAsia="Calibri" w:hAnsi="Calibri" w:cs="Calibri"/>
                <w:color w:val="231F20"/>
                <w:sz w:val="16"/>
                <w:szCs w:val="16"/>
              </w:rPr>
              <w:t>&lt;</w:t>
            </w:r>
            <w:r w:rsidRPr="00212C0B">
              <w:rPr>
                <w:rFonts w:ascii="Calibri" w:eastAsia="Calibri" w:hAnsi="Calibri" w:cs="Calibri"/>
                <w:color w:val="231F20"/>
                <w:spacing w:val="-5"/>
                <w:sz w:val="16"/>
                <w:szCs w:val="16"/>
              </w:rPr>
              <w:t xml:space="preserve"> </w:t>
            </w:r>
            <w:r w:rsidRPr="00212C0B">
              <w:rPr>
                <w:rFonts w:ascii="Calibri" w:eastAsia="Calibri" w:hAnsi="Calibri" w:cs="Calibri"/>
                <w:color w:val="231F20"/>
                <w:sz w:val="16"/>
                <w:szCs w:val="16"/>
              </w:rPr>
              <w:t>CL</w:t>
            </w:r>
            <w:r w:rsidRPr="00212C0B">
              <w:rPr>
                <w:rFonts w:ascii="Calibri" w:eastAsia="Calibri" w:hAnsi="Calibri" w:cs="Calibri"/>
                <w:color w:val="231F20"/>
                <w:spacing w:val="-5"/>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10"/>
                <w:sz w:val="16"/>
                <w:szCs w:val="16"/>
              </w:rPr>
              <w:t></w:t>
            </w:r>
            <w:r w:rsidRPr="00212C0B">
              <w:rPr>
                <w:rFonts w:ascii="Calibri" w:eastAsia="Calibri" w:hAnsi="Calibri" w:cs="Calibri"/>
                <w:color w:val="231F20"/>
                <w:sz w:val="16"/>
                <w:szCs w:val="16"/>
              </w:rPr>
              <w:t>30,55</w:t>
            </w:r>
          </w:p>
        </w:tc>
      </w:tr>
      <w:tr w:rsidR="00212C0B" w:rsidRPr="00212C0B" w:rsidTr="00E00321">
        <w:trPr>
          <w:cantSplit/>
          <w:trHeight w:val="255"/>
          <w:jc w:val="center"/>
        </w:trPr>
        <w:tc>
          <w:tcPr>
            <w:tcW w:w="1814" w:type="dxa"/>
            <w:tcBorders>
              <w:top w:val="single" w:sz="8" w:space="0" w:color="FFFFFF"/>
              <w:left w:val="single" w:sz="8" w:space="0" w:color="FFFFFF"/>
              <w:bottom w:val="single" w:sz="8" w:space="0" w:color="FFFFFF"/>
              <w:right w:val="single" w:sz="8" w:space="0" w:color="FFFFFF"/>
            </w:tcBorders>
            <w:shd w:val="clear" w:color="auto" w:fill="EB2627"/>
            <w:vAlign w:val="center"/>
          </w:tcPr>
          <w:p w:rsidR="00212C0B" w:rsidRPr="00212C0B" w:rsidRDefault="00212C0B" w:rsidP="00212C0B">
            <w:pPr>
              <w:pStyle w:val="TableParagraph"/>
              <w:ind w:left="400"/>
              <w:rPr>
                <w:rFonts w:ascii="Calibri" w:eastAsia="Calibri" w:hAnsi="Calibri" w:cs="Calibri"/>
                <w:sz w:val="16"/>
                <w:szCs w:val="16"/>
              </w:rPr>
            </w:pPr>
            <w:r w:rsidRPr="00212C0B">
              <w:rPr>
                <w:rFonts w:ascii="Calibri" w:hAnsi="Calibri"/>
                <w:b/>
                <w:color w:val="231F20"/>
                <w:sz w:val="16"/>
              </w:rPr>
              <w:t>Supereutrófico</w:t>
            </w:r>
          </w:p>
        </w:tc>
        <w:tc>
          <w:tcPr>
            <w:tcW w:w="1814" w:type="dxa"/>
            <w:tcBorders>
              <w:top w:val="single" w:sz="8" w:space="0" w:color="FFFFFF"/>
              <w:left w:val="single" w:sz="8" w:space="0" w:color="FFFFFF"/>
              <w:bottom w:val="single" w:sz="8" w:space="0" w:color="FFFFFF"/>
              <w:right w:val="single" w:sz="8" w:space="0" w:color="FFFFFF"/>
            </w:tcBorders>
            <w:shd w:val="clear" w:color="auto" w:fill="DFECF3"/>
            <w:vAlign w:val="center"/>
          </w:tcPr>
          <w:p w:rsidR="00212C0B" w:rsidRPr="00212C0B" w:rsidRDefault="00212C0B" w:rsidP="00212C0B">
            <w:pPr>
              <w:pStyle w:val="TableParagraph"/>
              <w:ind w:left="482"/>
              <w:rPr>
                <w:rFonts w:ascii="Calibri" w:eastAsia="Calibri" w:hAnsi="Calibri" w:cs="Calibri"/>
                <w:sz w:val="16"/>
                <w:szCs w:val="16"/>
              </w:rPr>
            </w:pPr>
            <w:r w:rsidRPr="00212C0B">
              <w:rPr>
                <w:rFonts w:ascii="Calibri" w:eastAsia="Calibri" w:hAnsi="Calibri" w:cs="Calibri"/>
                <w:color w:val="231F20"/>
                <w:sz w:val="16"/>
                <w:szCs w:val="16"/>
              </w:rPr>
              <w:t>63</w:t>
            </w:r>
            <w:r w:rsidRPr="00212C0B">
              <w:rPr>
                <w:rFonts w:ascii="Calibri" w:eastAsia="Calibri" w:hAnsi="Calibri" w:cs="Calibri"/>
                <w:color w:val="231F20"/>
                <w:spacing w:val="-3"/>
                <w:sz w:val="16"/>
                <w:szCs w:val="16"/>
              </w:rPr>
              <w:t xml:space="preserve"> </w:t>
            </w:r>
            <w:r w:rsidRPr="00212C0B">
              <w:rPr>
                <w:rFonts w:ascii="Calibri" w:eastAsia="Calibri" w:hAnsi="Calibri" w:cs="Calibri"/>
                <w:color w:val="231F20"/>
                <w:sz w:val="16"/>
                <w:szCs w:val="16"/>
              </w:rPr>
              <w:t>&lt;</w:t>
            </w:r>
            <w:r w:rsidRPr="00212C0B">
              <w:rPr>
                <w:rFonts w:ascii="Calibri" w:eastAsia="Calibri" w:hAnsi="Calibri" w:cs="Calibri"/>
                <w:color w:val="231F20"/>
                <w:spacing w:val="-2"/>
                <w:sz w:val="16"/>
                <w:szCs w:val="16"/>
              </w:rPr>
              <w:t xml:space="preserve"> </w:t>
            </w:r>
            <w:r w:rsidRPr="00212C0B">
              <w:rPr>
                <w:rFonts w:ascii="Calibri" w:eastAsia="Calibri" w:hAnsi="Calibri" w:cs="Calibri"/>
                <w:color w:val="231F20"/>
                <w:sz w:val="16"/>
                <w:szCs w:val="16"/>
              </w:rPr>
              <w:t>IET</w:t>
            </w:r>
            <w:r w:rsidRPr="00212C0B">
              <w:rPr>
                <w:rFonts w:ascii="Calibri" w:eastAsia="Calibri" w:hAnsi="Calibri" w:cs="Calibri"/>
                <w:color w:val="231F20"/>
                <w:spacing w:val="-2"/>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7"/>
                <w:sz w:val="16"/>
                <w:szCs w:val="16"/>
              </w:rPr>
              <w:t></w:t>
            </w:r>
            <w:r w:rsidRPr="00212C0B">
              <w:rPr>
                <w:rFonts w:ascii="Calibri" w:eastAsia="Calibri" w:hAnsi="Calibri" w:cs="Calibri"/>
                <w:color w:val="231F20"/>
                <w:sz w:val="16"/>
                <w:szCs w:val="16"/>
              </w:rPr>
              <w:t>67</w:t>
            </w:r>
          </w:p>
        </w:tc>
        <w:tc>
          <w:tcPr>
            <w:tcW w:w="1814" w:type="dxa"/>
            <w:tcBorders>
              <w:top w:val="single" w:sz="8" w:space="0" w:color="FFFFFF"/>
              <w:left w:val="single" w:sz="8" w:space="0" w:color="FFFFFF"/>
              <w:bottom w:val="single" w:sz="8" w:space="0" w:color="FFFFFF"/>
              <w:right w:val="single" w:sz="8" w:space="0" w:color="FFFFFF"/>
            </w:tcBorders>
            <w:shd w:val="clear" w:color="auto" w:fill="DFECF3"/>
            <w:vAlign w:val="center"/>
          </w:tcPr>
          <w:p w:rsidR="00212C0B" w:rsidRPr="00212C0B" w:rsidRDefault="00212C0B" w:rsidP="00212C0B">
            <w:pPr>
              <w:pStyle w:val="TableParagraph"/>
              <w:ind w:left="500"/>
              <w:rPr>
                <w:rFonts w:ascii="Calibri" w:eastAsia="Calibri" w:hAnsi="Calibri" w:cs="Calibri"/>
                <w:sz w:val="16"/>
                <w:szCs w:val="16"/>
              </w:rPr>
            </w:pPr>
            <w:r w:rsidRPr="00212C0B">
              <w:rPr>
                <w:rFonts w:ascii="Calibri" w:eastAsia="Calibri" w:hAnsi="Calibri" w:cs="Calibri"/>
                <w:color w:val="231F20"/>
                <w:sz w:val="16"/>
                <w:szCs w:val="16"/>
              </w:rPr>
              <w:t>0,8</w:t>
            </w:r>
            <w:r w:rsidRPr="00212C0B">
              <w:rPr>
                <w:rFonts w:ascii="Calibri" w:eastAsia="Calibri" w:hAnsi="Calibri" w:cs="Calibri"/>
                <w:color w:val="231F20"/>
                <w:spacing w:val="-1"/>
                <w:sz w:val="16"/>
                <w:szCs w:val="16"/>
              </w:rPr>
              <w:t xml:space="preserve"> </w:t>
            </w:r>
            <w:r w:rsidRPr="00212C0B">
              <w:rPr>
                <w:rFonts w:ascii="Calibri" w:eastAsia="Calibri" w:hAnsi="Calibri" w:cs="Calibri"/>
                <w:color w:val="231F20"/>
                <w:sz w:val="16"/>
                <w:szCs w:val="16"/>
              </w:rPr>
              <w:t>&gt;</w:t>
            </w:r>
            <w:r w:rsidRPr="00212C0B">
              <w:rPr>
                <w:rFonts w:ascii="Calibri" w:eastAsia="Calibri" w:hAnsi="Calibri" w:cs="Calibri"/>
                <w:color w:val="231F20"/>
                <w:spacing w:val="-1"/>
                <w:sz w:val="16"/>
                <w:szCs w:val="16"/>
              </w:rPr>
              <w:t xml:space="preserve"> </w:t>
            </w:r>
            <w:r w:rsidRPr="00212C0B">
              <w:rPr>
                <w:rFonts w:ascii="Calibri" w:eastAsia="Calibri" w:hAnsi="Calibri" w:cs="Calibri"/>
                <w:color w:val="231F20"/>
                <w:sz w:val="16"/>
                <w:szCs w:val="16"/>
              </w:rPr>
              <w:t>S</w:t>
            </w:r>
            <w:r w:rsidRPr="00212C0B">
              <w:rPr>
                <w:rFonts w:ascii="Calibri" w:eastAsia="Calibri" w:hAnsi="Calibri" w:cs="Calibri"/>
                <w:color w:val="231F20"/>
                <w:spacing w:val="-1"/>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5"/>
                <w:sz w:val="16"/>
                <w:szCs w:val="16"/>
              </w:rPr>
              <w:t></w:t>
            </w:r>
            <w:r w:rsidRPr="00212C0B">
              <w:rPr>
                <w:rFonts w:ascii="Calibri" w:eastAsia="Calibri" w:hAnsi="Calibri" w:cs="Calibri"/>
                <w:color w:val="231F20"/>
                <w:sz w:val="16"/>
                <w:szCs w:val="16"/>
              </w:rPr>
              <w:t>0,6</w:t>
            </w:r>
          </w:p>
        </w:tc>
        <w:tc>
          <w:tcPr>
            <w:tcW w:w="1814" w:type="dxa"/>
            <w:tcBorders>
              <w:top w:val="single" w:sz="8" w:space="0" w:color="FFFFFF"/>
              <w:left w:val="single" w:sz="8" w:space="0" w:color="FFFFFF"/>
              <w:bottom w:val="single" w:sz="8" w:space="0" w:color="FFFFFF"/>
              <w:right w:val="single" w:sz="8" w:space="0" w:color="FFFFFF"/>
            </w:tcBorders>
            <w:shd w:val="clear" w:color="auto" w:fill="DFECF3"/>
            <w:vAlign w:val="center"/>
          </w:tcPr>
          <w:p w:rsidR="00212C0B" w:rsidRPr="00212C0B" w:rsidRDefault="00212C0B" w:rsidP="00212C0B">
            <w:pPr>
              <w:pStyle w:val="TableParagraph"/>
              <w:ind w:left="459"/>
              <w:rPr>
                <w:rFonts w:ascii="Calibri" w:eastAsia="Calibri" w:hAnsi="Calibri" w:cs="Calibri"/>
                <w:sz w:val="16"/>
                <w:szCs w:val="16"/>
              </w:rPr>
            </w:pPr>
            <w:r w:rsidRPr="00212C0B">
              <w:rPr>
                <w:rFonts w:ascii="Calibri" w:eastAsia="Calibri" w:hAnsi="Calibri" w:cs="Calibri"/>
                <w:color w:val="231F20"/>
                <w:sz w:val="16"/>
                <w:szCs w:val="16"/>
              </w:rPr>
              <w:t>120</w:t>
            </w:r>
            <w:r w:rsidRPr="00212C0B">
              <w:rPr>
                <w:rFonts w:ascii="Calibri" w:eastAsia="Calibri" w:hAnsi="Calibri" w:cs="Calibri"/>
                <w:color w:val="231F20"/>
                <w:spacing w:val="-3"/>
                <w:sz w:val="16"/>
                <w:szCs w:val="16"/>
              </w:rPr>
              <w:t xml:space="preserve"> </w:t>
            </w:r>
            <w:r w:rsidRPr="00212C0B">
              <w:rPr>
                <w:rFonts w:ascii="Calibri" w:eastAsia="Calibri" w:hAnsi="Calibri" w:cs="Calibri"/>
                <w:color w:val="231F20"/>
                <w:sz w:val="16"/>
                <w:szCs w:val="16"/>
              </w:rPr>
              <w:t>&lt;</w:t>
            </w:r>
            <w:r w:rsidRPr="00212C0B">
              <w:rPr>
                <w:rFonts w:ascii="Calibri" w:eastAsia="Calibri" w:hAnsi="Calibri" w:cs="Calibri"/>
                <w:color w:val="231F20"/>
                <w:spacing w:val="-3"/>
                <w:sz w:val="16"/>
                <w:szCs w:val="16"/>
              </w:rPr>
              <w:t xml:space="preserve"> </w:t>
            </w:r>
            <w:r w:rsidRPr="00212C0B">
              <w:rPr>
                <w:rFonts w:ascii="Calibri" w:eastAsia="Calibri" w:hAnsi="Calibri" w:cs="Calibri"/>
                <w:color w:val="231F20"/>
                <w:sz w:val="16"/>
                <w:szCs w:val="16"/>
              </w:rPr>
              <w:t>P</w:t>
            </w:r>
            <w:r w:rsidRPr="00212C0B">
              <w:rPr>
                <w:rFonts w:ascii="Calibri" w:eastAsia="Calibri" w:hAnsi="Calibri" w:cs="Calibri"/>
                <w:color w:val="231F20"/>
                <w:spacing w:val="-3"/>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7"/>
                <w:sz w:val="16"/>
                <w:szCs w:val="16"/>
              </w:rPr>
              <w:t></w:t>
            </w:r>
            <w:r w:rsidRPr="00212C0B">
              <w:rPr>
                <w:rFonts w:ascii="Calibri" w:eastAsia="Calibri" w:hAnsi="Calibri" w:cs="Calibri"/>
                <w:color w:val="231F20"/>
                <w:sz w:val="16"/>
                <w:szCs w:val="16"/>
              </w:rPr>
              <w:t>233</w:t>
            </w:r>
          </w:p>
        </w:tc>
        <w:tc>
          <w:tcPr>
            <w:tcW w:w="1815" w:type="dxa"/>
            <w:tcBorders>
              <w:top w:val="single" w:sz="8" w:space="0" w:color="FFFFFF"/>
              <w:left w:val="single" w:sz="8" w:space="0" w:color="FFFFFF"/>
              <w:bottom w:val="single" w:sz="8" w:space="0" w:color="FFFFFF"/>
              <w:right w:val="single" w:sz="8" w:space="0" w:color="FFFFFF"/>
            </w:tcBorders>
            <w:shd w:val="clear" w:color="auto" w:fill="DFECF3"/>
            <w:vAlign w:val="center"/>
          </w:tcPr>
          <w:p w:rsidR="00212C0B" w:rsidRPr="00212C0B" w:rsidRDefault="00212C0B" w:rsidP="00212C0B">
            <w:pPr>
              <w:pStyle w:val="TableParagraph"/>
              <w:ind w:left="307"/>
              <w:rPr>
                <w:rFonts w:ascii="Calibri" w:eastAsia="Calibri" w:hAnsi="Calibri" w:cs="Calibri"/>
                <w:sz w:val="16"/>
                <w:szCs w:val="16"/>
              </w:rPr>
            </w:pPr>
            <w:r w:rsidRPr="00212C0B">
              <w:rPr>
                <w:rFonts w:ascii="Calibri" w:eastAsia="Calibri" w:hAnsi="Calibri" w:cs="Calibri"/>
                <w:color w:val="231F20"/>
                <w:sz w:val="16"/>
                <w:szCs w:val="16"/>
              </w:rPr>
              <w:t>30,55</w:t>
            </w:r>
            <w:r w:rsidRPr="00212C0B">
              <w:rPr>
                <w:rFonts w:ascii="Calibri" w:eastAsia="Calibri" w:hAnsi="Calibri" w:cs="Calibri"/>
                <w:color w:val="231F20"/>
                <w:spacing w:val="-6"/>
                <w:sz w:val="16"/>
                <w:szCs w:val="16"/>
              </w:rPr>
              <w:t xml:space="preserve"> </w:t>
            </w:r>
            <w:r w:rsidRPr="00212C0B">
              <w:rPr>
                <w:rFonts w:ascii="Calibri" w:eastAsia="Calibri" w:hAnsi="Calibri" w:cs="Calibri"/>
                <w:color w:val="231F20"/>
                <w:sz w:val="16"/>
                <w:szCs w:val="16"/>
              </w:rPr>
              <w:t>&lt;</w:t>
            </w:r>
            <w:r w:rsidRPr="00212C0B">
              <w:rPr>
                <w:rFonts w:ascii="Calibri" w:eastAsia="Calibri" w:hAnsi="Calibri" w:cs="Calibri"/>
                <w:color w:val="231F20"/>
                <w:spacing w:val="-5"/>
                <w:sz w:val="16"/>
                <w:szCs w:val="16"/>
              </w:rPr>
              <w:t xml:space="preserve"> </w:t>
            </w:r>
            <w:r w:rsidRPr="00212C0B">
              <w:rPr>
                <w:rFonts w:ascii="Calibri" w:eastAsia="Calibri" w:hAnsi="Calibri" w:cs="Calibri"/>
                <w:color w:val="231F20"/>
                <w:sz w:val="16"/>
                <w:szCs w:val="16"/>
              </w:rPr>
              <w:t>CL</w:t>
            </w:r>
            <w:r w:rsidRPr="00212C0B">
              <w:rPr>
                <w:rFonts w:ascii="Calibri" w:eastAsia="Calibri" w:hAnsi="Calibri" w:cs="Calibri"/>
                <w:color w:val="231F20"/>
                <w:spacing w:val="-5"/>
                <w:sz w:val="16"/>
                <w:szCs w:val="16"/>
              </w:rPr>
              <w:t xml:space="preserve"> </w:t>
            </w:r>
            <w:r w:rsidRPr="00212C0B">
              <w:rPr>
                <w:rFonts w:ascii="Symbol" w:eastAsia="Symbol" w:hAnsi="Symbol" w:cs="Symbol"/>
                <w:color w:val="231F20"/>
                <w:sz w:val="16"/>
                <w:szCs w:val="16"/>
              </w:rPr>
              <w:t></w:t>
            </w:r>
            <w:r w:rsidRPr="00212C0B">
              <w:rPr>
                <w:rFonts w:ascii="Symbol" w:eastAsia="Symbol" w:hAnsi="Symbol" w:cs="Symbol"/>
                <w:color w:val="231F20"/>
                <w:spacing w:val="-10"/>
                <w:sz w:val="16"/>
                <w:szCs w:val="16"/>
              </w:rPr>
              <w:t></w:t>
            </w:r>
            <w:r w:rsidRPr="00212C0B">
              <w:rPr>
                <w:rFonts w:ascii="Calibri" w:eastAsia="Calibri" w:hAnsi="Calibri" w:cs="Calibri"/>
                <w:color w:val="231F20"/>
                <w:sz w:val="16"/>
                <w:szCs w:val="16"/>
              </w:rPr>
              <w:t>69,05</w:t>
            </w:r>
          </w:p>
        </w:tc>
      </w:tr>
      <w:tr w:rsidR="00212C0B" w:rsidRPr="00212C0B" w:rsidTr="00E00321">
        <w:trPr>
          <w:cantSplit/>
          <w:trHeight w:val="255"/>
          <w:jc w:val="center"/>
        </w:trPr>
        <w:tc>
          <w:tcPr>
            <w:tcW w:w="1814" w:type="dxa"/>
            <w:tcBorders>
              <w:top w:val="single" w:sz="8" w:space="0" w:color="FFFFFF"/>
              <w:left w:val="single" w:sz="8" w:space="0" w:color="FFFFFF"/>
              <w:bottom w:val="single" w:sz="8" w:space="0" w:color="FFFFFF"/>
              <w:right w:val="single" w:sz="8" w:space="0" w:color="FFFFFF"/>
            </w:tcBorders>
            <w:shd w:val="clear" w:color="auto" w:fill="B695C5"/>
            <w:vAlign w:val="center"/>
          </w:tcPr>
          <w:p w:rsidR="00212C0B" w:rsidRPr="00212C0B" w:rsidRDefault="00212C0B" w:rsidP="00212C0B">
            <w:pPr>
              <w:pStyle w:val="TableParagraph"/>
              <w:ind w:left="412"/>
              <w:rPr>
                <w:rFonts w:ascii="Calibri" w:eastAsia="Calibri" w:hAnsi="Calibri" w:cs="Calibri"/>
                <w:sz w:val="16"/>
                <w:szCs w:val="16"/>
              </w:rPr>
            </w:pPr>
            <w:r w:rsidRPr="00212C0B">
              <w:rPr>
                <w:rFonts w:ascii="Calibri" w:hAnsi="Calibri"/>
                <w:b/>
                <w:color w:val="231F20"/>
                <w:sz w:val="16"/>
              </w:rPr>
              <w:t>Hipereutrófico</w:t>
            </w:r>
          </w:p>
        </w:tc>
        <w:tc>
          <w:tcPr>
            <w:tcW w:w="1814" w:type="dxa"/>
            <w:tcBorders>
              <w:top w:val="single" w:sz="8" w:space="0" w:color="FFFFFF"/>
              <w:left w:val="single" w:sz="8" w:space="0" w:color="FFFFFF"/>
              <w:bottom w:val="single" w:sz="8" w:space="0" w:color="FFFFFF"/>
              <w:right w:val="single" w:sz="8" w:space="0" w:color="FFFFFF"/>
            </w:tcBorders>
            <w:shd w:val="clear" w:color="auto" w:fill="C6DEEA"/>
            <w:vAlign w:val="center"/>
          </w:tcPr>
          <w:p w:rsidR="00212C0B" w:rsidRPr="00212C0B" w:rsidRDefault="00212C0B" w:rsidP="00212C0B">
            <w:pPr>
              <w:pStyle w:val="TableParagraph"/>
              <w:jc w:val="center"/>
              <w:rPr>
                <w:rFonts w:ascii="Calibri" w:eastAsia="Calibri" w:hAnsi="Calibri" w:cs="Calibri"/>
                <w:sz w:val="16"/>
                <w:szCs w:val="16"/>
              </w:rPr>
            </w:pPr>
            <w:r w:rsidRPr="00212C0B">
              <w:rPr>
                <w:rFonts w:ascii="Calibri"/>
                <w:color w:val="231F20"/>
                <w:sz w:val="16"/>
              </w:rPr>
              <w:t>IET&gt;</w:t>
            </w:r>
            <w:r w:rsidRPr="00212C0B">
              <w:rPr>
                <w:rFonts w:ascii="Calibri"/>
                <w:color w:val="231F20"/>
                <w:spacing w:val="-5"/>
                <w:sz w:val="16"/>
              </w:rPr>
              <w:t xml:space="preserve"> </w:t>
            </w:r>
            <w:r w:rsidRPr="00212C0B">
              <w:rPr>
                <w:rFonts w:ascii="Calibri"/>
                <w:color w:val="231F20"/>
                <w:sz w:val="16"/>
              </w:rPr>
              <w:t>67</w:t>
            </w:r>
          </w:p>
        </w:tc>
        <w:tc>
          <w:tcPr>
            <w:tcW w:w="1814" w:type="dxa"/>
            <w:tcBorders>
              <w:top w:val="single" w:sz="8" w:space="0" w:color="FFFFFF"/>
              <w:left w:val="single" w:sz="8" w:space="0" w:color="FFFFFF"/>
              <w:bottom w:val="single" w:sz="8" w:space="0" w:color="FFFFFF"/>
              <w:right w:val="single" w:sz="8" w:space="0" w:color="FFFFFF"/>
            </w:tcBorders>
            <w:shd w:val="clear" w:color="auto" w:fill="C6DEEA"/>
            <w:vAlign w:val="center"/>
          </w:tcPr>
          <w:p w:rsidR="00212C0B" w:rsidRPr="00212C0B" w:rsidRDefault="00212C0B" w:rsidP="00212C0B">
            <w:pPr>
              <w:pStyle w:val="TableParagraph"/>
              <w:jc w:val="center"/>
              <w:rPr>
                <w:rFonts w:ascii="Calibri" w:eastAsia="Calibri" w:hAnsi="Calibri" w:cs="Calibri"/>
                <w:sz w:val="16"/>
                <w:szCs w:val="16"/>
              </w:rPr>
            </w:pPr>
            <w:r w:rsidRPr="00212C0B">
              <w:rPr>
                <w:rFonts w:ascii="Calibri"/>
                <w:color w:val="231F20"/>
                <w:sz w:val="16"/>
              </w:rPr>
              <w:t>0,6</w:t>
            </w:r>
            <w:r w:rsidRPr="00212C0B">
              <w:rPr>
                <w:rFonts w:ascii="Calibri"/>
                <w:color w:val="231F20"/>
                <w:spacing w:val="2"/>
                <w:sz w:val="16"/>
              </w:rPr>
              <w:t xml:space="preserve"> </w:t>
            </w:r>
            <w:r w:rsidRPr="00212C0B">
              <w:rPr>
                <w:rFonts w:ascii="Calibri"/>
                <w:color w:val="231F20"/>
                <w:sz w:val="16"/>
              </w:rPr>
              <w:t>&gt;</w:t>
            </w:r>
            <w:r w:rsidRPr="00212C0B">
              <w:rPr>
                <w:rFonts w:ascii="Calibri"/>
                <w:color w:val="231F20"/>
                <w:spacing w:val="2"/>
                <w:sz w:val="16"/>
              </w:rPr>
              <w:t xml:space="preserve"> </w:t>
            </w:r>
            <w:r w:rsidRPr="00212C0B">
              <w:rPr>
                <w:rFonts w:ascii="Calibri"/>
                <w:color w:val="231F20"/>
                <w:sz w:val="16"/>
              </w:rPr>
              <w:t>S</w:t>
            </w:r>
          </w:p>
        </w:tc>
        <w:tc>
          <w:tcPr>
            <w:tcW w:w="1814" w:type="dxa"/>
            <w:tcBorders>
              <w:top w:val="single" w:sz="8" w:space="0" w:color="FFFFFF"/>
              <w:left w:val="single" w:sz="8" w:space="0" w:color="FFFFFF"/>
              <w:bottom w:val="single" w:sz="8" w:space="0" w:color="FFFFFF"/>
              <w:right w:val="single" w:sz="8" w:space="0" w:color="FFFFFF"/>
            </w:tcBorders>
            <w:shd w:val="clear" w:color="auto" w:fill="C6DEEA"/>
            <w:vAlign w:val="center"/>
          </w:tcPr>
          <w:p w:rsidR="00212C0B" w:rsidRPr="00212C0B" w:rsidRDefault="00212C0B" w:rsidP="00212C0B">
            <w:pPr>
              <w:pStyle w:val="TableParagraph"/>
              <w:jc w:val="center"/>
              <w:rPr>
                <w:rFonts w:ascii="Calibri" w:eastAsia="Calibri" w:hAnsi="Calibri" w:cs="Calibri"/>
                <w:sz w:val="16"/>
                <w:szCs w:val="16"/>
              </w:rPr>
            </w:pPr>
            <w:r w:rsidRPr="00212C0B">
              <w:rPr>
                <w:rFonts w:ascii="Calibri"/>
                <w:color w:val="231F20"/>
                <w:sz w:val="16"/>
              </w:rPr>
              <w:t>233</w:t>
            </w:r>
            <w:r w:rsidRPr="00212C0B">
              <w:rPr>
                <w:rFonts w:ascii="Calibri"/>
                <w:color w:val="231F20"/>
                <w:spacing w:val="-1"/>
                <w:sz w:val="16"/>
              </w:rPr>
              <w:t xml:space="preserve"> </w:t>
            </w:r>
            <w:r w:rsidRPr="00212C0B">
              <w:rPr>
                <w:rFonts w:ascii="Calibri"/>
                <w:color w:val="231F20"/>
                <w:sz w:val="16"/>
              </w:rPr>
              <w:t>&lt; P</w:t>
            </w:r>
          </w:p>
        </w:tc>
        <w:tc>
          <w:tcPr>
            <w:tcW w:w="1815" w:type="dxa"/>
            <w:tcBorders>
              <w:top w:val="single" w:sz="8" w:space="0" w:color="FFFFFF"/>
              <w:left w:val="single" w:sz="8" w:space="0" w:color="FFFFFF"/>
              <w:bottom w:val="single" w:sz="8" w:space="0" w:color="FFFFFF"/>
              <w:right w:val="single" w:sz="8" w:space="0" w:color="FFFFFF"/>
            </w:tcBorders>
            <w:shd w:val="clear" w:color="auto" w:fill="C6DEEA"/>
            <w:vAlign w:val="center"/>
          </w:tcPr>
          <w:p w:rsidR="00212C0B" w:rsidRPr="00212C0B" w:rsidRDefault="00212C0B" w:rsidP="00212C0B">
            <w:pPr>
              <w:pStyle w:val="TableParagraph"/>
              <w:ind w:left="562"/>
              <w:rPr>
                <w:rFonts w:ascii="Calibri" w:eastAsia="Calibri" w:hAnsi="Calibri" w:cs="Calibri"/>
                <w:sz w:val="16"/>
                <w:szCs w:val="16"/>
              </w:rPr>
            </w:pPr>
            <w:r w:rsidRPr="00212C0B">
              <w:rPr>
                <w:rFonts w:ascii="Calibri"/>
                <w:color w:val="231F20"/>
                <w:sz w:val="16"/>
              </w:rPr>
              <w:t>69,05</w:t>
            </w:r>
            <w:r w:rsidRPr="00212C0B">
              <w:rPr>
                <w:rFonts w:ascii="Calibri"/>
                <w:color w:val="231F20"/>
                <w:spacing w:val="-2"/>
                <w:sz w:val="16"/>
              </w:rPr>
              <w:t xml:space="preserve"> </w:t>
            </w:r>
            <w:r w:rsidRPr="00212C0B">
              <w:rPr>
                <w:rFonts w:ascii="Calibri"/>
                <w:color w:val="231F20"/>
                <w:sz w:val="16"/>
              </w:rPr>
              <w:t>&lt;</w:t>
            </w:r>
            <w:r w:rsidRPr="00212C0B">
              <w:rPr>
                <w:rFonts w:ascii="Calibri"/>
                <w:color w:val="231F20"/>
                <w:spacing w:val="-2"/>
                <w:sz w:val="16"/>
              </w:rPr>
              <w:t xml:space="preserve"> </w:t>
            </w:r>
            <w:r w:rsidRPr="00212C0B">
              <w:rPr>
                <w:rFonts w:ascii="Calibri"/>
                <w:color w:val="231F20"/>
                <w:sz w:val="16"/>
              </w:rPr>
              <w:t>CL</w:t>
            </w:r>
          </w:p>
        </w:tc>
      </w:tr>
    </w:tbl>
    <w:p w:rsidR="00212C0B" w:rsidRPr="00E00321" w:rsidRDefault="00212C0B" w:rsidP="00E00321">
      <w:pPr>
        <w:rPr>
          <w:sz w:val="16"/>
          <w:szCs w:val="16"/>
        </w:rPr>
      </w:pPr>
      <w:r w:rsidRPr="00E00321">
        <w:rPr>
          <w:sz w:val="16"/>
          <w:szCs w:val="16"/>
        </w:rPr>
        <w:t>Fonte: CETESB (2014)</w:t>
      </w:r>
    </w:p>
    <w:p w:rsidR="00212C0B" w:rsidRPr="00773F2A" w:rsidRDefault="00212C0B" w:rsidP="00B7590A">
      <w:r w:rsidRPr="00773F2A">
        <w:t>O</w:t>
      </w:r>
      <w:r w:rsidRPr="00773F2A">
        <w:rPr>
          <w:spacing w:val="-33"/>
        </w:rPr>
        <w:t xml:space="preserve"> </w:t>
      </w:r>
      <w:r w:rsidRPr="00773F2A">
        <w:t>IVA</w:t>
      </w:r>
      <w:r w:rsidRPr="00773F2A">
        <w:rPr>
          <w:spacing w:val="-32"/>
        </w:rPr>
        <w:t xml:space="preserve"> </w:t>
      </w:r>
      <w:r>
        <w:t xml:space="preserve">– Índice de Qualidade das Águas para Proteção da Vida Aquática </w:t>
      </w:r>
      <w:r>
        <w:rPr>
          <w:spacing w:val="-3"/>
        </w:rPr>
        <w:t>(CETESB, 2014)</w:t>
      </w:r>
      <w:r>
        <w:t xml:space="preserve"> </w:t>
      </w:r>
      <w:r w:rsidRPr="00D5729E">
        <w:rPr>
          <w:color w:val="005983"/>
          <w:w w:val="115"/>
        </w:rPr>
        <w:t>-</w:t>
      </w:r>
      <w:r>
        <w:rPr>
          <w:color w:val="005983"/>
          <w:w w:val="115"/>
        </w:rPr>
        <w:t xml:space="preserve"> </w:t>
      </w:r>
      <w:r w:rsidRPr="00773F2A">
        <w:t>tem</w:t>
      </w:r>
      <w:r w:rsidRPr="00773F2A">
        <w:rPr>
          <w:spacing w:val="-32"/>
        </w:rPr>
        <w:t xml:space="preserve"> </w:t>
      </w:r>
      <w:r w:rsidRPr="00773F2A">
        <w:t>o</w:t>
      </w:r>
      <w:r w:rsidRPr="00773F2A">
        <w:rPr>
          <w:spacing w:val="-32"/>
        </w:rPr>
        <w:t xml:space="preserve"> </w:t>
      </w:r>
      <w:r w:rsidRPr="00773F2A">
        <w:t>objetivo</w:t>
      </w:r>
      <w:r w:rsidRPr="00773F2A">
        <w:rPr>
          <w:spacing w:val="-32"/>
        </w:rPr>
        <w:t xml:space="preserve"> </w:t>
      </w:r>
      <w:r w:rsidRPr="00773F2A">
        <w:t>de</w:t>
      </w:r>
      <w:r w:rsidRPr="00773F2A">
        <w:rPr>
          <w:spacing w:val="-32"/>
        </w:rPr>
        <w:t xml:space="preserve"> </w:t>
      </w:r>
      <w:r w:rsidRPr="00773F2A">
        <w:t>avaliar</w:t>
      </w:r>
      <w:r w:rsidRPr="00773F2A">
        <w:rPr>
          <w:spacing w:val="-32"/>
        </w:rPr>
        <w:t xml:space="preserve"> </w:t>
      </w:r>
      <w:r w:rsidRPr="00773F2A">
        <w:t>a</w:t>
      </w:r>
      <w:r w:rsidRPr="00773F2A">
        <w:rPr>
          <w:spacing w:val="-33"/>
        </w:rPr>
        <w:t xml:space="preserve"> </w:t>
      </w:r>
      <w:r w:rsidRPr="00773F2A">
        <w:t>qualidade</w:t>
      </w:r>
      <w:r w:rsidRPr="00773F2A">
        <w:rPr>
          <w:spacing w:val="-32"/>
        </w:rPr>
        <w:t xml:space="preserve"> </w:t>
      </w:r>
      <w:r w:rsidRPr="00773F2A">
        <w:t>das</w:t>
      </w:r>
      <w:r w:rsidRPr="00773F2A">
        <w:rPr>
          <w:spacing w:val="-32"/>
        </w:rPr>
        <w:t xml:space="preserve"> </w:t>
      </w:r>
      <w:r w:rsidRPr="00773F2A">
        <w:t>águas</w:t>
      </w:r>
      <w:r w:rsidRPr="00773F2A">
        <w:rPr>
          <w:spacing w:val="-32"/>
        </w:rPr>
        <w:t xml:space="preserve"> </w:t>
      </w:r>
      <w:r w:rsidRPr="00773F2A">
        <w:t>para</w:t>
      </w:r>
      <w:r w:rsidRPr="00773F2A">
        <w:rPr>
          <w:spacing w:val="-32"/>
        </w:rPr>
        <w:t xml:space="preserve"> </w:t>
      </w:r>
      <w:r w:rsidRPr="00773F2A">
        <w:t>fins</w:t>
      </w:r>
      <w:r w:rsidRPr="00773F2A">
        <w:rPr>
          <w:spacing w:val="-32"/>
        </w:rPr>
        <w:t xml:space="preserve"> </w:t>
      </w:r>
      <w:r w:rsidRPr="00773F2A">
        <w:t>de</w:t>
      </w:r>
      <w:r w:rsidRPr="00773F2A">
        <w:rPr>
          <w:spacing w:val="-33"/>
        </w:rPr>
        <w:t xml:space="preserve"> </w:t>
      </w:r>
      <w:r w:rsidRPr="00773F2A">
        <w:t>proteção</w:t>
      </w:r>
      <w:r w:rsidRPr="00773F2A">
        <w:rPr>
          <w:spacing w:val="-32"/>
        </w:rPr>
        <w:t xml:space="preserve"> </w:t>
      </w:r>
      <w:r w:rsidRPr="00773F2A">
        <w:t>da fauna</w:t>
      </w:r>
      <w:r w:rsidRPr="00773F2A">
        <w:rPr>
          <w:spacing w:val="-11"/>
        </w:rPr>
        <w:t xml:space="preserve"> </w:t>
      </w:r>
      <w:r w:rsidRPr="00773F2A">
        <w:t>e</w:t>
      </w:r>
      <w:r w:rsidRPr="00773F2A">
        <w:rPr>
          <w:spacing w:val="-11"/>
        </w:rPr>
        <w:t xml:space="preserve"> </w:t>
      </w:r>
      <w:r w:rsidRPr="00773F2A">
        <w:t>flora</w:t>
      </w:r>
      <w:r w:rsidRPr="00773F2A">
        <w:rPr>
          <w:spacing w:val="-12"/>
        </w:rPr>
        <w:t xml:space="preserve"> </w:t>
      </w:r>
      <w:r w:rsidRPr="00773F2A">
        <w:t>em</w:t>
      </w:r>
      <w:r w:rsidRPr="00773F2A">
        <w:rPr>
          <w:spacing w:val="-10"/>
        </w:rPr>
        <w:t xml:space="preserve"> </w:t>
      </w:r>
      <w:r w:rsidRPr="00773F2A">
        <w:t>geral.</w:t>
      </w:r>
      <w:r w:rsidRPr="00773F2A">
        <w:rPr>
          <w:spacing w:val="-3"/>
        </w:rPr>
        <w:t xml:space="preserve"> </w:t>
      </w:r>
      <w:r w:rsidRPr="00773F2A">
        <w:t>O</w:t>
      </w:r>
      <w:r w:rsidRPr="00773F2A">
        <w:rPr>
          <w:spacing w:val="-4"/>
        </w:rPr>
        <w:t xml:space="preserve"> </w:t>
      </w:r>
      <w:r w:rsidRPr="00773F2A">
        <w:t>IVA</w:t>
      </w:r>
      <w:r w:rsidRPr="00773F2A">
        <w:rPr>
          <w:spacing w:val="-3"/>
        </w:rPr>
        <w:t xml:space="preserve"> </w:t>
      </w:r>
      <w:r w:rsidRPr="00773F2A">
        <w:t>leva</w:t>
      </w:r>
      <w:r w:rsidRPr="00773F2A">
        <w:rPr>
          <w:spacing w:val="-3"/>
        </w:rPr>
        <w:t xml:space="preserve"> </w:t>
      </w:r>
      <w:r w:rsidRPr="00773F2A">
        <w:t>em</w:t>
      </w:r>
      <w:r w:rsidRPr="00773F2A">
        <w:rPr>
          <w:spacing w:val="-4"/>
        </w:rPr>
        <w:t xml:space="preserve"> </w:t>
      </w:r>
      <w:r w:rsidRPr="00773F2A">
        <w:t>consideração</w:t>
      </w:r>
      <w:r w:rsidRPr="00773F2A">
        <w:rPr>
          <w:spacing w:val="-3"/>
        </w:rPr>
        <w:t xml:space="preserve"> </w:t>
      </w:r>
      <w:r w:rsidRPr="00773F2A">
        <w:t>a</w:t>
      </w:r>
      <w:r w:rsidRPr="00773F2A">
        <w:rPr>
          <w:spacing w:val="-3"/>
        </w:rPr>
        <w:t xml:space="preserve"> </w:t>
      </w:r>
      <w:r w:rsidRPr="00773F2A">
        <w:t>presença</w:t>
      </w:r>
      <w:r w:rsidRPr="00773F2A">
        <w:rPr>
          <w:spacing w:val="-4"/>
        </w:rPr>
        <w:t xml:space="preserve"> </w:t>
      </w:r>
      <w:r w:rsidRPr="00773F2A">
        <w:t>e</w:t>
      </w:r>
      <w:r w:rsidRPr="00773F2A">
        <w:rPr>
          <w:spacing w:val="-3"/>
        </w:rPr>
        <w:t xml:space="preserve"> </w:t>
      </w:r>
      <w:r w:rsidRPr="00773F2A">
        <w:t>concentração</w:t>
      </w:r>
      <w:r w:rsidRPr="00773F2A">
        <w:rPr>
          <w:spacing w:val="-3"/>
        </w:rPr>
        <w:t xml:space="preserve"> </w:t>
      </w:r>
      <w:r w:rsidRPr="00773F2A">
        <w:t>de</w:t>
      </w:r>
      <w:r w:rsidRPr="00773F2A">
        <w:rPr>
          <w:spacing w:val="-4"/>
        </w:rPr>
        <w:t xml:space="preserve"> </w:t>
      </w:r>
      <w:r w:rsidRPr="00773F2A">
        <w:t>contaminantes químicos</w:t>
      </w:r>
      <w:r w:rsidRPr="00773F2A">
        <w:rPr>
          <w:spacing w:val="6"/>
        </w:rPr>
        <w:t xml:space="preserve"> </w:t>
      </w:r>
      <w:r w:rsidRPr="00773F2A">
        <w:t>tóxicos,</w:t>
      </w:r>
      <w:r w:rsidRPr="00773F2A">
        <w:rPr>
          <w:spacing w:val="6"/>
        </w:rPr>
        <w:t xml:space="preserve"> </w:t>
      </w:r>
      <w:r w:rsidRPr="00773F2A">
        <w:t>seu</w:t>
      </w:r>
      <w:r w:rsidRPr="00773F2A">
        <w:rPr>
          <w:spacing w:val="7"/>
        </w:rPr>
        <w:t xml:space="preserve"> </w:t>
      </w:r>
      <w:r w:rsidRPr="00773F2A">
        <w:t>efeito</w:t>
      </w:r>
      <w:r w:rsidRPr="00773F2A">
        <w:rPr>
          <w:spacing w:val="6"/>
        </w:rPr>
        <w:t xml:space="preserve"> </w:t>
      </w:r>
      <w:r w:rsidRPr="00773F2A">
        <w:t>sobre</w:t>
      </w:r>
      <w:r w:rsidRPr="00773F2A">
        <w:rPr>
          <w:spacing w:val="7"/>
        </w:rPr>
        <w:t xml:space="preserve"> </w:t>
      </w:r>
      <w:r w:rsidRPr="00773F2A">
        <w:t>os</w:t>
      </w:r>
      <w:r w:rsidRPr="00773F2A">
        <w:rPr>
          <w:spacing w:val="6"/>
        </w:rPr>
        <w:t xml:space="preserve"> </w:t>
      </w:r>
      <w:r w:rsidRPr="00773F2A">
        <w:t>organismos</w:t>
      </w:r>
      <w:r w:rsidRPr="00773F2A">
        <w:rPr>
          <w:spacing w:val="7"/>
        </w:rPr>
        <w:t xml:space="preserve"> </w:t>
      </w:r>
      <w:r w:rsidRPr="00773F2A">
        <w:t>aquáticos</w:t>
      </w:r>
      <w:r w:rsidRPr="00773F2A">
        <w:rPr>
          <w:spacing w:val="6"/>
        </w:rPr>
        <w:t xml:space="preserve"> </w:t>
      </w:r>
      <w:r w:rsidRPr="00773F2A">
        <w:t>(toxicidade)</w:t>
      </w:r>
      <w:r w:rsidRPr="00773F2A">
        <w:rPr>
          <w:spacing w:val="7"/>
        </w:rPr>
        <w:t xml:space="preserve"> </w:t>
      </w:r>
      <w:r w:rsidRPr="00773F2A">
        <w:t>e</w:t>
      </w:r>
      <w:r w:rsidRPr="00773F2A">
        <w:rPr>
          <w:spacing w:val="6"/>
        </w:rPr>
        <w:t xml:space="preserve"> </w:t>
      </w:r>
      <w:r w:rsidRPr="00773F2A">
        <w:t>duas</w:t>
      </w:r>
      <w:r w:rsidRPr="00773F2A">
        <w:rPr>
          <w:spacing w:val="6"/>
        </w:rPr>
        <w:t xml:space="preserve"> </w:t>
      </w:r>
      <w:r w:rsidRPr="00773F2A">
        <w:t>das</w:t>
      </w:r>
      <w:r w:rsidRPr="00773F2A">
        <w:rPr>
          <w:spacing w:val="7"/>
        </w:rPr>
        <w:t xml:space="preserve"> </w:t>
      </w:r>
      <w:r w:rsidRPr="00773F2A">
        <w:t>variáveis</w:t>
      </w:r>
      <w:r w:rsidRPr="00773F2A">
        <w:rPr>
          <w:spacing w:val="6"/>
        </w:rPr>
        <w:t xml:space="preserve"> </w:t>
      </w:r>
      <w:r w:rsidRPr="00773F2A">
        <w:t>consideradas essenciais</w:t>
      </w:r>
      <w:r w:rsidRPr="00773F2A">
        <w:rPr>
          <w:spacing w:val="-31"/>
        </w:rPr>
        <w:t xml:space="preserve"> </w:t>
      </w:r>
      <w:r w:rsidRPr="00773F2A">
        <w:t>para</w:t>
      </w:r>
      <w:r w:rsidRPr="00773F2A">
        <w:rPr>
          <w:spacing w:val="-31"/>
        </w:rPr>
        <w:t xml:space="preserve"> </w:t>
      </w:r>
      <w:r w:rsidRPr="00773F2A">
        <w:t>a</w:t>
      </w:r>
      <w:r w:rsidRPr="00773F2A">
        <w:rPr>
          <w:spacing w:val="-31"/>
        </w:rPr>
        <w:t xml:space="preserve"> </w:t>
      </w:r>
      <w:r w:rsidRPr="00773F2A">
        <w:t>biota</w:t>
      </w:r>
      <w:r w:rsidRPr="00773F2A">
        <w:rPr>
          <w:spacing w:val="-31"/>
        </w:rPr>
        <w:t xml:space="preserve"> </w:t>
      </w:r>
      <w:r w:rsidRPr="00773F2A">
        <w:t>(pH</w:t>
      </w:r>
      <w:r w:rsidRPr="00773F2A">
        <w:rPr>
          <w:spacing w:val="-31"/>
        </w:rPr>
        <w:t xml:space="preserve"> </w:t>
      </w:r>
      <w:r w:rsidRPr="00773F2A">
        <w:t>e</w:t>
      </w:r>
      <w:r w:rsidRPr="00773F2A">
        <w:rPr>
          <w:spacing w:val="-31"/>
        </w:rPr>
        <w:t xml:space="preserve"> </w:t>
      </w:r>
      <w:r w:rsidRPr="00773F2A">
        <w:t>oxigênio</w:t>
      </w:r>
      <w:r w:rsidRPr="00773F2A">
        <w:rPr>
          <w:spacing w:val="-31"/>
        </w:rPr>
        <w:t xml:space="preserve"> </w:t>
      </w:r>
      <w:r w:rsidRPr="00773F2A">
        <w:t>dissolvido),</w:t>
      </w:r>
      <w:r w:rsidRPr="00773F2A">
        <w:rPr>
          <w:spacing w:val="-31"/>
        </w:rPr>
        <w:t xml:space="preserve"> </w:t>
      </w:r>
      <w:r w:rsidRPr="00773F2A">
        <w:t>variáveis</w:t>
      </w:r>
      <w:r w:rsidRPr="00773F2A">
        <w:rPr>
          <w:spacing w:val="-31"/>
        </w:rPr>
        <w:t xml:space="preserve"> </w:t>
      </w:r>
      <w:r w:rsidRPr="00773F2A">
        <w:t>essas</w:t>
      </w:r>
      <w:r w:rsidRPr="00773F2A">
        <w:rPr>
          <w:spacing w:val="-31"/>
        </w:rPr>
        <w:t xml:space="preserve"> </w:t>
      </w:r>
      <w:r w:rsidRPr="00773F2A">
        <w:t>agrupadas</w:t>
      </w:r>
      <w:r w:rsidRPr="00773F2A">
        <w:rPr>
          <w:spacing w:val="-31"/>
        </w:rPr>
        <w:t xml:space="preserve"> </w:t>
      </w:r>
      <w:r w:rsidRPr="00773F2A">
        <w:t>no</w:t>
      </w:r>
      <w:r w:rsidRPr="00773F2A">
        <w:rPr>
          <w:spacing w:val="-31"/>
        </w:rPr>
        <w:t xml:space="preserve"> </w:t>
      </w:r>
      <w:r w:rsidRPr="00773F2A">
        <w:t>IPMCA</w:t>
      </w:r>
      <w:r w:rsidRPr="00773F2A">
        <w:rPr>
          <w:spacing w:val="-31"/>
        </w:rPr>
        <w:t xml:space="preserve"> </w:t>
      </w:r>
      <w:r w:rsidRPr="00773F2A">
        <w:t>–</w:t>
      </w:r>
      <w:r w:rsidRPr="00773F2A">
        <w:rPr>
          <w:spacing w:val="-31"/>
        </w:rPr>
        <w:t xml:space="preserve"> </w:t>
      </w:r>
      <w:r w:rsidRPr="00773F2A">
        <w:t>Índice</w:t>
      </w:r>
      <w:r w:rsidRPr="00773F2A">
        <w:rPr>
          <w:spacing w:val="-31"/>
        </w:rPr>
        <w:t xml:space="preserve"> </w:t>
      </w:r>
      <w:r w:rsidRPr="00773F2A">
        <w:t>de</w:t>
      </w:r>
      <w:r w:rsidRPr="00773F2A">
        <w:rPr>
          <w:spacing w:val="-31"/>
        </w:rPr>
        <w:t xml:space="preserve"> </w:t>
      </w:r>
      <w:r w:rsidRPr="00773F2A">
        <w:t>Variáveis Mínimas</w:t>
      </w:r>
      <w:r w:rsidRPr="00773F2A">
        <w:rPr>
          <w:spacing w:val="4"/>
        </w:rPr>
        <w:t xml:space="preserve"> </w:t>
      </w:r>
      <w:r w:rsidRPr="00773F2A">
        <w:t>para</w:t>
      </w:r>
      <w:r w:rsidRPr="00773F2A">
        <w:rPr>
          <w:spacing w:val="5"/>
        </w:rPr>
        <w:t xml:space="preserve"> </w:t>
      </w:r>
      <w:r w:rsidRPr="00773F2A">
        <w:t>a</w:t>
      </w:r>
      <w:r w:rsidRPr="00773F2A">
        <w:rPr>
          <w:spacing w:val="5"/>
        </w:rPr>
        <w:t xml:space="preserve"> </w:t>
      </w:r>
      <w:r w:rsidRPr="00773F2A">
        <w:t>Preservação</w:t>
      </w:r>
      <w:r w:rsidRPr="00773F2A">
        <w:rPr>
          <w:spacing w:val="5"/>
        </w:rPr>
        <w:t xml:space="preserve"> </w:t>
      </w:r>
      <w:r w:rsidRPr="00773F2A">
        <w:t>da</w:t>
      </w:r>
      <w:r w:rsidRPr="00773F2A">
        <w:rPr>
          <w:spacing w:val="5"/>
        </w:rPr>
        <w:t xml:space="preserve"> </w:t>
      </w:r>
      <w:r w:rsidRPr="00773F2A">
        <w:t>Vida</w:t>
      </w:r>
      <w:r w:rsidRPr="00773F2A">
        <w:rPr>
          <w:spacing w:val="5"/>
        </w:rPr>
        <w:t xml:space="preserve"> </w:t>
      </w:r>
      <w:r w:rsidRPr="00773F2A">
        <w:t>Aquática,</w:t>
      </w:r>
      <w:r w:rsidRPr="00773F2A">
        <w:rPr>
          <w:spacing w:val="5"/>
        </w:rPr>
        <w:t xml:space="preserve"> </w:t>
      </w:r>
      <w:r w:rsidRPr="00773F2A">
        <w:t>bem</w:t>
      </w:r>
      <w:r w:rsidRPr="00773F2A">
        <w:rPr>
          <w:spacing w:val="5"/>
        </w:rPr>
        <w:t xml:space="preserve"> </w:t>
      </w:r>
      <w:r w:rsidRPr="00773F2A">
        <w:t>como</w:t>
      </w:r>
      <w:r w:rsidRPr="00773F2A">
        <w:rPr>
          <w:spacing w:val="5"/>
        </w:rPr>
        <w:t xml:space="preserve"> </w:t>
      </w:r>
      <w:r w:rsidRPr="00773F2A">
        <w:t>o</w:t>
      </w:r>
      <w:r w:rsidRPr="00773F2A">
        <w:rPr>
          <w:spacing w:val="5"/>
        </w:rPr>
        <w:t xml:space="preserve"> </w:t>
      </w:r>
      <w:r w:rsidRPr="00773F2A">
        <w:t>IET</w:t>
      </w:r>
      <w:r w:rsidRPr="00773F2A">
        <w:rPr>
          <w:spacing w:val="5"/>
        </w:rPr>
        <w:t xml:space="preserve"> </w:t>
      </w:r>
      <w:r w:rsidRPr="00773F2A">
        <w:t>–</w:t>
      </w:r>
      <w:r w:rsidRPr="00773F2A">
        <w:rPr>
          <w:spacing w:val="5"/>
        </w:rPr>
        <w:t xml:space="preserve"> </w:t>
      </w:r>
      <w:r w:rsidRPr="00773F2A">
        <w:t>Índice</w:t>
      </w:r>
      <w:r w:rsidRPr="00773F2A">
        <w:rPr>
          <w:spacing w:val="5"/>
        </w:rPr>
        <w:t xml:space="preserve"> </w:t>
      </w:r>
      <w:r w:rsidRPr="00773F2A">
        <w:t>do</w:t>
      </w:r>
      <w:r w:rsidRPr="00773F2A">
        <w:rPr>
          <w:spacing w:val="4"/>
        </w:rPr>
        <w:t xml:space="preserve"> </w:t>
      </w:r>
      <w:r w:rsidRPr="00773F2A">
        <w:t>Estado</w:t>
      </w:r>
      <w:r w:rsidRPr="00773F2A">
        <w:rPr>
          <w:spacing w:val="5"/>
        </w:rPr>
        <w:t xml:space="preserve"> </w:t>
      </w:r>
      <w:r w:rsidRPr="00773F2A">
        <w:t>Trófico</w:t>
      </w:r>
      <w:r w:rsidRPr="00773F2A">
        <w:rPr>
          <w:spacing w:val="5"/>
        </w:rPr>
        <w:t xml:space="preserve"> </w:t>
      </w:r>
      <w:r w:rsidRPr="00773F2A">
        <w:t>de</w:t>
      </w:r>
      <w:r w:rsidRPr="00773F2A">
        <w:rPr>
          <w:spacing w:val="5"/>
        </w:rPr>
        <w:t xml:space="preserve"> </w:t>
      </w:r>
      <w:r w:rsidRPr="00773F2A">
        <w:t>Carlson modificado</w:t>
      </w:r>
      <w:r w:rsidRPr="00773F2A">
        <w:rPr>
          <w:spacing w:val="-11"/>
        </w:rPr>
        <w:t xml:space="preserve"> </w:t>
      </w:r>
      <w:r w:rsidRPr="00773F2A">
        <w:t>por</w:t>
      </w:r>
      <w:r w:rsidRPr="00773F2A">
        <w:rPr>
          <w:spacing w:val="-11"/>
        </w:rPr>
        <w:t xml:space="preserve"> </w:t>
      </w:r>
      <w:r w:rsidRPr="00773F2A">
        <w:t>Toledo</w:t>
      </w:r>
      <w:r w:rsidRPr="00773F2A">
        <w:rPr>
          <w:spacing w:val="-10"/>
        </w:rPr>
        <w:t xml:space="preserve"> </w:t>
      </w:r>
      <w:r w:rsidRPr="00773F2A">
        <w:t>(1990).</w:t>
      </w:r>
      <w:r w:rsidRPr="00773F2A">
        <w:rPr>
          <w:spacing w:val="-11"/>
        </w:rPr>
        <w:t xml:space="preserve"> </w:t>
      </w:r>
      <w:r w:rsidRPr="00773F2A">
        <w:t>Desta</w:t>
      </w:r>
      <w:r w:rsidRPr="00773F2A">
        <w:rPr>
          <w:spacing w:val="-10"/>
        </w:rPr>
        <w:t xml:space="preserve"> </w:t>
      </w:r>
      <w:r w:rsidRPr="00773F2A">
        <w:t>forma,</w:t>
      </w:r>
      <w:r w:rsidRPr="00773F2A">
        <w:rPr>
          <w:spacing w:val="-11"/>
        </w:rPr>
        <w:t xml:space="preserve"> </w:t>
      </w:r>
      <w:r w:rsidRPr="00773F2A">
        <w:t>o</w:t>
      </w:r>
      <w:r w:rsidRPr="00773F2A">
        <w:rPr>
          <w:spacing w:val="-10"/>
        </w:rPr>
        <w:t xml:space="preserve"> </w:t>
      </w:r>
      <w:r w:rsidRPr="00773F2A">
        <w:t>IVA</w:t>
      </w:r>
      <w:r w:rsidRPr="00773F2A">
        <w:rPr>
          <w:spacing w:val="-11"/>
        </w:rPr>
        <w:t xml:space="preserve"> </w:t>
      </w:r>
      <w:r w:rsidRPr="00773F2A">
        <w:t>fornece</w:t>
      </w:r>
      <w:r w:rsidRPr="00773F2A">
        <w:rPr>
          <w:spacing w:val="-10"/>
        </w:rPr>
        <w:t xml:space="preserve"> </w:t>
      </w:r>
      <w:r w:rsidRPr="00773F2A">
        <w:t>informações</w:t>
      </w:r>
      <w:r w:rsidRPr="00773F2A">
        <w:rPr>
          <w:spacing w:val="-11"/>
        </w:rPr>
        <w:t xml:space="preserve"> </w:t>
      </w:r>
      <w:r w:rsidRPr="00773F2A">
        <w:t>não</w:t>
      </w:r>
      <w:r w:rsidRPr="00773F2A">
        <w:rPr>
          <w:spacing w:val="-10"/>
        </w:rPr>
        <w:t xml:space="preserve"> </w:t>
      </w:r>
      <w:r w:rsidRPr="00773F2A">
        <w:t>só</w:t>
      </w:r>
      <w:r w:rsidRPr="00773F2A">
        <w:rPr>
          <w:spacing w:val="-11"/>
        </w:rPr>
        <w:t xml:space="preserve"> </w:t>
      </w:r>
      <w:r w:rsidRPr="00773F2A">
        <w:t>sobre</w:t>
      </w:r>
      <w:r w:rsidRPr="00773F2A">
        <w:rPr>
          <w:spacing w:val="-10"/>
        </w:rPr>
        <w:t xml:space="preserve"> </w:t>
      </w:r>
      <w:r w:rsidRPr="00773F2A">
        <w:t>a</w:t>
      </w:r>
      <w:r w:rsidRPr="00773F2A">
        <w:rPr>
          <w:spacing w:val="-11"/>
        </w:rPr>
        <w:t xml:space="preserve"> </w:t>
      </w:r>
      <w:r w:rsidRPr="00773F2A">
        <w:t>qualidade</w:t>
      </w:r>
      <w:r w:rsidRPr="00773F2A">
        <w:rPr>
          <w:spacing w:val="-10"/>
        </w:rPr>
        <w:t xml:space="preserve"> </w:t>
      </w:r>
      <w:r w:rsidRPr="00773F2A">
        <w:t>da</w:t>
      </w:r>
      <w:r w:rsidRPr="00773F2A">
        <w:rPr>
          <w:spacing w:val="-11"/>
        </w:rPr>
        <w:t xml:space="preserve"> </w:t>
      </w:r>
      <w:r w:rsidRPr="00773F2A">
        <w:t>água</w:t>
      </w:r>
      <w:r w:rsidRPr="00773F2A">
        <w:rPr>
          <w:spacing w:val="-10"/>
        </w:rPr>
        <w:t xml:space="preserve"> </w:t>
      </w:r>
      <w:r w:rsidRPr="00773F2A">
        <w:t>em termos</w:t>
      </w:r>
      <w:r w:rsidRPr="00773F2A">
        <w:rPr>
          <w:spacing w:val="-15"/>
        </w:rPr>
        <w:t xml:space="preserve"> </w:t>
      </w:r>
      <w:r w:rsidRPr="00773F2A">
        <w:t>ecotoxicológicos,</w:t>
      </w:r>
      <w:r w:rsidRPr="00773F2A">
        <w:rPr>
          <w:spacing w:val="-15"/>
        </w:rPr>
        <w:t xml:space="preserve"> </w:t>
      </w:r>
      <w:r w:rsidRPr="00773F2A">
        <w:t>como</w:t>
      </w:r>
      <w:r w:rsidRPr="00773F2A">
        <w:rPr>
          <w:spacing w:val="-15"/>
        </w:rPr>
        <w:t xml:space="preserve"> </w:t>
      </w:r>
      <w:r w:rsidRPr="00773F2A">
        <w:t>também</w:t>
      </w:r>
      <w:r w:rsidRPr="00773F2A">
        <w:rPr>
          <w:spacing w:val="-15"/>
        </w:rPr>
        <w:t xml:space="preserve"> </w:t>
      </w:r>
      <w:r w:rsidRPr="00773F2A">
        <w:t>sobre</w:t>
      </w:r>
      <w:r w:rsidRPr="00773F2A">
        <w:rPr>
          <w:spacing w:val="-15"/>
        </w:rPr>
        <w:t xml:space="preserve"> </w:t>
      </w:r>
      <w:r w:rsidRPr="00773F2A">
        <w:t>o</w:t>
      </w:r>
      <w:r w:rsidRPr="00773F2A">
        <w:rPr>
          <w:spacing w:val="-15"/>
        </w:rPr>
        <w:t xml:space="preserve"> </w:t>
      </w:r>
      <w:r w:rsidRPr="00773F2A">
        <w:t>seu</w:t>
      </w:r>
      <w:r w:rsidRPr="00773F2A">
        <w:rPr>
          <w:spacing w:val="-15"/>
        </w:rPr>
        <w:t xml:space="preserve"> </w:t>
      </w:r>
      <w:r w:rsidRPr="00773F2A">
        <w:t>grau</w:t>
      </w:r>
      <w:r w:rsidRPr="00773F2A">
        <w:rPr>
          <w:spacing w:val="-15"/>
        </w:rPr>
        <w:t xml:space="preserve"> </w:t>
      </w:r>
      <w:r w:rsidRPr="00773F2A">
        <w:t>de</w:t>
      </w:r>
      <w:r w:rsidRPr="00773F2A">
        <w:rPr>
          <w:spacing w:val="-15"/>
        </w:rPr>
        <w:t xml:space="preserve"> </w:t>
      </w:r>
      <w:r w:rsidRPr="00773F2A">
        <w:rPr>
          <w:spacing w:val="-2"/>
        </w:rPr>
        <w:t>trofia</w:t>
      </w:r>
      <w:r w:rsidRPr="00773F2A">
        <w:rPr>
          <w:spacing w:val="-1"/>
        </w:rPr>
        <w:t>.</w:t>
      </w:r>
    </w:p>
    <w:p w:rsidR="00212C0B" w:rsidRPr="00773F2A" w:rsidRDefault="00212C0B" w:rsidP="00B7590A">
      <w:r w:rsidRPr="00B7590A">
        <w:rPr>
          <w:b/>
        </w:rPr>
        <w:t>IPMCA</w:t>
      </w:r>
      <w:r w:rsidRPr="00B7590A">
        <w:rPr>
          <w:b/>
          <w:spacing w:val="-29"/>
        </w:rPr>
        <w:t xml:space="preserve"> </w:t>
      </w:r>
      <w:r w:rsidRPr="00B7590A">
        <w:rPr>
          <w:b/>
        </w:rPr>
        <w:t>–</w:t>
      </w:r>
      <w:r w:rsidRPr="00B7590A">
        <w:rPr>
          <w:b/>
          <w:spacing w:val="-28"/>
        </w:rPr>
        <w:t xml:space="preserve"> </w:t>
      </w:r>
      <w:r w:rsidRPr="00B7590A">
        <w:rPr>
          <w:b/>
        </w:rPr>
        <w:t>Índice</w:t>
      </w:r>
      <w:r w:rsidRPr="00B7590A">
        <w:rPr>
          <w:b/>
          <w:spacing w:val="-29"/>
        </w:rPr>
        <w:t xml:space="preserve"> </w:t>
      </w:r>
      <w:r w:rsidRPr="00B7590A">
        <w:rPr>
          <w:b/>
        </w:rPr>
        <w:t>de</w:t>
      </w:r>
      <w:r w:rsidRPr="00B7590A">
        <w:rPr>
          <w:b/>
          <w:spacing w:val="-28"/>
        </w:rPr>
        <w:t xml:space="preserve"> </w:t>
      </w:r>
      <w:r w:rsidRPr="00B7590A">
        <w:rPr>
          <w:b/>
        </w:rPr>
        <w:t>Variáveis</w:t>
      </w:r>
      <w:r w:rsidRPr="00B7590A">
        <w:rPr>
          <w:b/>
          <w:spacing w:val="-29"/>
        </w:rPr>
        <w:t xml:space="preserve"> </w:t>
      </w:r>
      <w:r w:rsidRPr="00B7590A">
        <w:rPr>
          <w:b/>
        </w:rPr>
        <w:t>Mínimas</w:t>
      </w:r>
      <w:r w:rsidRPr="00B7590A">
        <w:rPr>
          <w:b/>
          <w:spacing w:val="-28"/>
        </w:rPr>
        <w:t xml:space="preserve"> </w:t>
      </w:r>
      <w:r w:rsidRPr="00B7590A">
        <w:rPr>
          <w:b/>
        </w:rPr>
        <w:t>para</w:t>
      </w:r>
      <w:r w:rsidRPr="00B7590A">
        <w:rPr>
          <w:b/>
          <w:spacing w:val="-28"/>
        </w:rPr>
        <w:t xml:space="preserve"> </w:t>
      </w:r>
      <w:r w:rsidRPr="00B7590A">
        <w:rPr>
          <w:b/>
        </w:rPr>
        <w:t>a</w:t>
      </w:r>
      <w:r w:rsidRPr="00B7590A">
        <w:rPr>
          <w:b/>
          <w:spacing w:val="-29"/>
        </w:rPr>
        <w:t xml:space="preserve"> </w:t>
      </w:r>
      <w:r w:rsidRPr="00B7590A">
        <w:rPr>
          <w:b/>
        </w:rPr>
        <w:t>Preservação</w:t>
      </w:r>
      <w:r w:rsidRPr="00B7590A">
        <w:rPr>
          <w:b/>
          <w:spacing w:val="-28"/>
        </w:rPr>
        <w:t xml:space="preserve"> </w:t>
      </w:r>
      <w:r w:rsidRPr="00B7590A">
        <w:rPr>
          <w:b/>
        </w:rPr>
        <w:t>da</w:t>
      </w:r>
      <w:r w:rsidRPr="00B7590A">
        <w:rPr>
          <w:b/>
          <w:spacing w:val="-29"/>
        </w:rPr>
        <w:t xml:space="preserve"> </w:t>
      </w:r>
      <w:r w:rsidRPr="00B7590A">
        <w:rPr>
          <w:b/>
        </w:rPr>
        <w:t>Vida</w:t>
      </w:r>
      <w:r w:rsidRPr="00B7590A">
        <w:rPr>
          <w:b/>
          <w:spacing w:val="-28"/>
        </w:rPr>
        <w:t xml:space="preserve"> </w:t>
      </w:r>
      <w:r w:rsidRPr="00B7590A">
        <w:rPr>
          <w:b/>
        </w:rPr>
        <w:t>Aquática.</w:t>
      </w:r>
      <w:r w:rsidR="009D54F6">
        <w:rPr>
          <w:b/>
        </w:rPr>
        <w:t xml:space="preserve"> </w:t>
      </w:r>
      <w:r w:rsidRPr="00773F2A">
        <w:t>O</w:t>
      </w:r>
      <w:r w:rsidRPr="00773F2A">
        <w:rPr>
          <w:spacing w:val="-10"/>
        </w:rPr>
        <w:t xml:space="preserve"> </w:t>
      </w:r>
      <w:r w:rsidRPr="00773F2A">
        <w:t>IPMCA</w:t>
      </w:r>
      <w:r w:rsidRPr="00773F2A">
        <w:rPr>
          <w:spacing w:val="-9"/>
        </w:rPr>
        <w:t xml:space="preserve"> </w:t>
      </w:r>
      <w:r w:rsidRPr="00773F2A">
        <w:t>é</w:t>
      </w:r>
      <w:r w:rsidRPr="00773F2A">
        <w:rPr>
          <w:spacing w:val="-10"/>
        </w:rPr>
        <w:t xml:space="preserve"> </w:t>
      </w:r>
      <w:r w:rsidRPr="00773F2A">
        <w:t>composto</w:t>
      </w:r>
      <w:r w:rsidRPr="00773F2A">
        <w:rPr>
          <w:spacing w:val="-9"/>
        </w:rPr>
        <w:t xml:space="preserve"> </w:t>
      </w:r>
      <w:r w:rsidRPr="00773F2A">
        <w:t>por</w:t>
      </w:r>
      <w:r w:rsidRPr="00773F2A">
        <w:rPr>
          <w:spacing w:val="-9"/>
        </w:rPr>
        <w:t xml:space="preserve"> </w:t>
      </w:r>
      <w:r w:rsidRPr="00773F2A">
        <w:t>dois</w:t>
      </w:r>
      <w:r w:rsidRPr="00773F2A">
        <w:rPr>
          <w:spacing w:val="-10"/>
        </w:rPr>
        <w:t xml:space="preserve"> </w:t>
      </w:r>
      <w:r w:rsidRPr="00773F2A">
        <w:t>grupos</w:t>
      </w:r>
      <w:r w:rsidRPr="00773F2A">
        <w:rPr>
          <w:spacing w:val="-9"/>
        </w:rPr>
        <w:t xml:space="preserve"> </w:t>
      </w:r>
      <w:r w:rsidRPr="00773F2A">
        <w:t>de</w:t>
      </w:r>
      <w:r w:rsidRPr="00773F2A">
        <w:rPr>
          <w:spacing w:val="-10"/>
        </w:rPr>
        <w:t xml:space="preserve"> </w:t>
      </w:r>
      <w:r w:rsidRPr="00773F2A">
        <w:t>variáveis:</w:t>
      </w:r>
    </w:p>
    <w:p w:rsidR="00212C0B" w:rsidRPr="00B7590A" w:rsidRDefault="00212C0B" w:rsidP="000C50CE">
      <w:pPr>
        <w:pStyle w:val="PargrafodaLista"/>
        <w:numPr>
          <w:ilvl w:val="0"/>
          <w:numId w:val="7"/>
        </w:numPr>
        <w:rPr>
          <w:rFonts w:eastAsia="Calibri" w:cs="Calibri"/>
        </w:rPr>
      </w:pPr>
      <w:r w:rsidRPr="00B7590A">
        <w:rPr>
          <w:b/>
        </w:rPr>
        <w:t>Grupo</w:t>
      </w:r>
      <w:r w:rsidRPr="00B7590A">
        <w:rPr>
          <w:b/>
          <w:spacing w:val="-23"/>
        </w:rPr>
        <w:t xml:space="preserve"> </w:t>
      </w:r>
      <w:r w:rsidRPr="00B7590A">
        <w:rPr>
          <w:b/>
        </w:rPr>
        <w:t>de</w:t>
      </w:r>
      <w:r w:rsidRPr="00B7590A">
        <w:rPr>
          <w:b/>
          <w:spacing w:val="-22"/>
        </w:rPr>
        <w:t xml:space="preserve"> </w:t>
      </w:r>
      <w:r w:rsidRPr="00B7590A">
        <w:rPr>
          <w:b/>
        </w:rPr>
        <w:t>variáveis</w:t>
      </w:r>
      <w:r w:rsidRPr="00B7590A">
        <w:rPr>
          <w:b/>
          <w:spacing w:val="-23"/>
        </w:rPr>
        <w:t xml:space="preserve"> </w:t>
      </w:r>
      <w:r w:rsidRPr="00B7590A">
        <w:rPr>
          <w:b/>
        </w:rPr>
        <w:t>essenciais</w:t>
      </w:r>
      <w:r w:rsidRPr="00B7590A">
        <w:rPr>
          <w:b/>
          <w:spacing w:val="-24"/>
        </w:rPr>
        <w:t xml:space="preserve"> </w:t>
      </w:r>
      <w:r w:rsidRPr="00D5729E">
        <w:t>(oxigênio</w:t>
      </w:r>
      <w:r w:rsidRPr="00B7590A">
        <w:rPr>
          <w:spacing w:val="-24"/>
        </w:rPr>
        <w:t xml:space="preserve"> </w:t>
      </w:r>
      <w:r w:rsidRPr="00D5729E">
        <w:t>dissolvido,</w:t>
      </w:r>
      <w:r w:rsidRPr="00B7590A">
        <w:rPr>
          <w:spacing w:val="-24"/>
        </w:rPr>
        <w:t xml:space="preserve"> </w:t>
      </w:r>
      <w:r w:rsidRPr="00D5729E">
        <w:t>pH</w:t>
      </w:r>
      <w:r w:rsidRPr="00B7590A">
        <w:rPr>
          <w:spacing w:val="-25"/>
        </w:rPr>
        <w:t xml:space="preserve"> </w:t>
      </w:r>
      <w:r w:rsidRPr="00D5729E">
        <w:t>e</w:t>
      </w:r>
      <w:r w:rsidRPr="00B7590A">
        <w:rPr>
          <w:spacing w:val="-24"/>
        </w:rPr>
        <w:t xml:space="preserve"> </w:t>
      </w:r>
      <w:r w:rsidRPr="00D5729E">
        <w:t>toxicidade).</w:t>
      </w:r>
    </w:p>
    <w:p w:rsidR="00212C0B" w:rsidRPr="00773F2A" w:rsidRDefault="00212C0B" w:rsidP="00B7590A">
      <w:r w:rsidRPr="00773F2A">
        <w:t>Para</w:t>
      </w:r>
      <w:r w:rsidRPr="00773F2A">
        <w:rPr>
          <w:spacing w:val="-1"/>
        </w:rPr>
        <w:t xml:space="preserve"> </w:t>
      </w:r>
      <w:r w:rsidRPr="00773F2A">
        <w:t>cada variável incluída no IPMCA, são estabelecidos três diferentes níveis de qualidade, com ponderações</w:t>
      </w:r>
      <w:r w:rsidRPr="00773F2A">
        <w:rPr>
          <w:spacing w:val="-25"/>
        </w:rPr>
        <w:t xml:space="preserve"> </w:t>
      </w:r>
      <w:r w:rsidRPr="00773F2A">
        <w:t>numéricas</w:t>
      </w:r>
      <w:r w:rsidRPr="00773F2A">
        <w:rPr>
          <w:spacing w:val="-24"/>
        </w:rPr>
        <w:t xml:space="preserve"> </w:t>
      </w:r>
      <w:r w:rsidRPr="00773F2A">
        <w:t>de</w:t>
      </w:r>
      <w:r w:rsidRPr="00773F2A">
        <w:rPr>
          <w:spacing w:val="-25"/>
        </w:rPr>
        <w:t xml:space="preserve"> </w:t>
      </w:r>
      <w:r w:rsidRPr="00773F2A">
        <w:t>1</w:t>
      </w:r>
      <w:r w:rsidRPr="00773F2A">
        <w:rPr>
          <w:spacing w:val="-24"/>
        </w:rPr>
        <w:t xml:space="preserve"> </w:t>
      </w:r>
      <w:r w:rsidRPr="00773F2A">
        <w:t>a</w:t>
      </w:r>
      <w:r w:rsidRPr="00773F2A">
        <w:rPr>
          <w:spacing w:val="-24"/>
        </w:rPr>
        <w:t xml:space="preserve"> </w:t>
      </w:r>
      <w:r w:rsidRPr="00773F2A">
        <w:t>3</w:t>
      </w:r>
      <w:r w:rsidRPr="00773F2A">
        <w:rPr>
          <w:spacing w:val="-25"/>
        </w:rPr>
        <w:t xml:space="preserve"> </w:t>
      </w:r>
      <w:r w:rsidRPr="00773F2A">
        <w:t>e</w:t>
      </w:r>
      <w:r w:rsidRPr="00773F2A">
        <w:rPr>
          <w:spacing w:val="-24"/>
        </w:rPr>
        <w:t xml:space="preserve"> </w:t>
      </w:r>
      <w:r w:rsidRPr="00773F2A">
        <w:t>que</w:t>
      </w:r>
      <w:r w:rsidRPr="00773F2A">
        <w:rPr>
          <w:spacing w:val="-25"/>
        </w:rPr>
        <w:t xml:space="preserve"> </w:t>
      </w:r>
      <w:r w:rsidRPr="00773F2A">
        <w:t>correspondem</w:t>
      </w:r>
      <w:r w:rsidRPr="00773F2A">
        <w:rPr>
          <w:spacing w:val="-24"/>
        </w:rPr>
        <w:t xml:space="preserve"> </w:t>
      </w:r>
      <w:r w:rsidRPr="00773F2A">
        <w:t>a</w:t>
      </w:r>
      <w:r w:rsidRPr="00773F2A">
        <w:rPr>
          <w:spacing w:val="-24"/>
        </w:rPr>
        <w:t xml:space="preserve"> </w:t>
      </w:r>
      <w:r w:rsidRPr="00773F2A">
        <w:t>padrões</w:t>
      </w:r>
      <w:r w:rsidRPr="00773F2A">
        <w:rPr>
          <w:spacing w:val="-25"/>
        </w:rPr>
        <w:t xml:space="preserve"> </w:t>
      </w:r>
      <w:r w:rsidRPr="00773F2A">
        <w:t>de</w:t>
      </w:r>
      <w:r w:rsidRPr="00773F2A">
        <w:rPr>
          <w:spacing w:val="-24"/>
        </w:rPr>
        <w:t xml:space="preserve"> </w:t>
      </w:r>
      <w:r w:rsidRPr="00773F2A">
        <w:t>qualidade</w:t>
      </w:r>
      <w:r w:rsidRPr="00773F2A">
        <w:rPr>
          <w:spacing w:val="-25"/>
        </w:rPr>
        <w:t xml:space="preserve"> </w:t>
      </w:r>
      <w:r w:rsidRPr="00773F2A">
        <w:t>de</w:t>
      </w:r>
      <w:r w:rsidRPr="00773F2A">
        <w:rPr>
          <w:spacing w:val="-24"/>
        </w:rPr>
        <w:t xml:space="preserve"> </w:t>
      </w:r>
      <w:r w:rsidRPr="00773F2A">
        <w:t>água</w:t>
      </w:r>
      <w:r w:rsidRPr="00773F2A">
        <w:rPr>
          <w:spacing w:val="-24"/>
        </w:rPr>
        <w:t xml:space="preserve"> </w:t>
      </w:r>
      <w:r w:rsidRPr="00773F2A">
        <w:t>estabelecidos pela</w:t>
      </w:r>
      <w:r w:rsidRPr="00773F2A">
        <w:rPr>
          <w:spacing w:val="12"/>
        </w:rPr>
        <w:t xml:space="preserve"> </w:t>
      </w:r>
      <w:r w:rsidRPr="00773F2A">
        <w:t>Resolução</w:t>
      </w:r>
      <w:r w:rsidRPr="00773F2A">
        <w:rPr>
          <w:spacing w:val="12"/>
        </w:rPr>
        <w:t xml:space="preserve"> </w:t>
      </w:r>
      <w:r w:rsidRPr="00773F2A">
        <w:t>CONAMA</w:t>
      </w:r>
      <w:r w:rsidRPr="00773F2A">
        <w:rPr>
          <w:spacing w:val="12"/>
        </w:rPr>
        <w:t xml:space="preserve"> </w:t>
      </w:r>
      <w:r w:rsidRPr="00773F2A">
        <w:t>357/05,</w:t>
      </w:r>
      <w:r w:rsidRPr="00773F2A">
        <w:rPr>
          <w:spacing w:val="12"/>
        </w:rPr>
        <w:t xml:space="preserve"> </w:t>
      </w:r>
      <w:r w:rsidRPr="00773F2A">
        <w:t>e</w:t>
      </w:r>
      <w:r w:rsidRPr="00773F2A">
        <w:rPr>
          <w:spacing w:val="13"/>
        </w:rPr>
        <w:t xml:space="preserve"> </w:t>
      </w:r>
      <w:r w:rsidRPr="00773F2A">
        <w:t>padrões</w:t>
      </w:r>
      <w:r w:rsidRPr="00773F2A">
        <w:rPr>
          <w:spacing w:val="12"/>
        </w:rPr>
        <w:t xml:space="preserve"> </w:t>
      </w:r>
      <w:r w:rsidRPr="00773F2A">
        <w:t>preconizados</w:t>
      </w:r>
      <w:r w:rsidRPr="00773F2A">
        <w:rPr>
          <w:spacing w:val="12"/>
        </w:rPr>
        <w:t xml:space="preserve"> </w:t>
      </w:r>
      <w:r w:rsidRPr="00773F2A">
        <w:t>pelas</w:t>
      </w:r>
      <w:r w:rsidRPr="00773F2A">
        <w:rPr>
          <w:spacing w:val="12"/>
        </w:rPr>
        <w:t xml:space="preserve"> </w:t>
      </w:r>
      <w:r w:rsidRPr="00773F2A">
        <w:t>legislações</w:t>
      </w:r>
      <w:r w:rsidRPr="00773F2A">
        <w:rPr>
          <w:spacing w:val="12"/>
        </w:rPr>
        <w:t xml:space="preserve"> </w:t>
      </w:r>
      <w:r w:rsidRPr="00773F2A">
        <w:t>americana</w:t>
      </w:r>
      <w:r w:rsidRPr="00773F2A">
        <w:rPr>
          <w:spacing w:val="13"/>
        </w:rPr>
        <w:t xml:space="preserve"> </w:t>
      </w:r>
      <w:r w:rsidRPr="00773F2A">
        <w:t>(USEPA, 1991)</w:t>
      </w:r>
      <w:r w:rsidRPr="00773F2A">
        <w:rPr>
          <w:spacing w:val="-9"/>
        </w:rPr>
        <w:t xml:space="preserve"> </w:t>
      </w:r>
      <w:r w:rsidRPr="00773F2A">
        <w:t>e</w:t>
      </w:r>
      <w:r w:rsidRPr="00773F2A">
        <w:rPr>
          <w:spacing w:val="-9"/>
        </w:rPr>
        <w:t xml:space="preserve"> </w:t>
      </w:r>
      <w:r w:rsidRPr="00773F2A">
        <w:t>francesa</w:t>
      </w:r>
      <w:r w:rsidRPr="00773F2A">
        <w:rPr>
          <w:spacing w:val="-9"/>
        </w:rPr>
        <w:t xml:space="preserve"> </w:t>
      </w:r>
      <w:r w:rsidRPr="00773F2A">
        <w:t>(</w:t>
      </w:r>
      <w:r w:rsidRPr="00420418">
        <w:rPr>
          <w:i/>
        </w:rPr>
        <w:t>Code</w:t>
      </w:r>
      <w:r w:rsidRPr="00420418">
        <w:rPr>
          <w:i/>
          <w:spacing w:val="-9"/>
        </w:rPr>
        <w:t xml:space="preserve"> </w:t>
      </w:r>
      <w:r w:rsidRPr="00420418">
        <w:rPr>
          <w:i/>
        </w:rPr>
        <w:t>Permanent:</w:t>
      </w:r>
      <w:r w:rsidRPr="00420418">
        <w:rPr>
          <w:i/>
          <w:spacing w:val="-9"/>
        </w:rPr>
        <w:t xml:space="preserve"> </w:t>
      </w:r>
      <w:r w:rsidRPr="00420418">
        <w:rPr>
          <w:i/>
        </w:rPr>
        <w:t>Environnement</w:t>
      </w:r>
      <w:r w:rsidRPr="00420418">
        <w:rPr>
          <w:i/>
          <w:spacing w:val="-9"/>
        </w:rPr>
        <w:t xml:space="preserve"> </w:t>
      </w:r>
      <w:r w:rsidRPr="00420418">
        <w:rPr>
          <w:i/>
        </w:rPr>
        <w:t>et</w:t>
      </w:r>
      <w:r w:rsidRPr="00420418">
        <w:rPr>
          <w:i/>
          <w:spacing w:val="-9"/>
        </w:rPr>
        <w:t xml:space="preserve"> </w:t>
      </w:r>
      <w:r w:rsidRPr="00420418">
        <w:rPr>
          <w:i/>
        </w:rPr>
        <w:t>Nuisances</w:t>
      </w:r>
      <w:r w:rsidRPr="00773F2A">
        <w:t>,</w:t>
      </w:r>
      <w:r w:rsidRPr="00773F2A">
        <w:rPr>
          <w:spacing w:val="-9"/>
        </w:rPr>
        <w:t xml:space="preserve"> </w:t>
      </w:r>
      <w:r w:rsidRPr="00773F2A">
        <w:t>1986),</w:t>
      </w:r>
      <w:r w:rsidRPr="00773F2A">
        <w:rPr>
          <w:spacing w:val="-8"/>
        </w:rPr>
        <w:t xml:space="preserve"> </w:t>
      </w:r>
      <w:r w:rsidRPr="00773F2A">
        <w:t>que</w:t>
      </w:r>
      <w:r w:rsidRPr="00773F2A">
        <w:rPr>
          <w:spacing w:val="-9"/>
        </w:rPr>
        <w:t xml:space="preserve"> </w:t>
      </w:r>
      <w:r w:rsidRPr="00773F2A">
        <w:t>estabelecem</w:t>
      </w:r>
      <w:r w:rsidRPr="00773F2A">
        <w:rPr>
          <w:spacing w:val="-9"/>
        </w:rPr>
        <w:t xml:space="preserve"> </w:t>
      </w:r>
      <w:r w:rsidRPr="00773F2A">
        <w:t>limites máximos</w:t>
      </w:r>
      <w:r w:rsidRPr="00773F2A">
        <w:rPr>
          <w:spacing w:val="-8"/>
        </w:rPr>
        <w:t xml:space="preserve"> </w:t>
      </w:r>
      <w:r w:rsidRPr="00773F2A">
        <w:t>permissíveis</w:t>
      </w:r>
      <w:r w:rsidRPr="00773F2A">
        <w:rPr>
          <w:spacing w:val="-7"/>
        </w:rPr>
        <w:t xml:space="preserve"> </w:t>
      </w:r>
      <w:r w:rsidRPr="00773F2A">
        <w:t>de</w:t>
      </w:r>
      <w:r w:rsidRPr="00773F2A">
        <w:rPr>
          <w:spacing w:val="-7"/>
        </w:rPr>
        <w:t xml:space="preserve"> </w:t>
      </w:r>
      <w:r w:rsidRPr="00773F2A">
        <w:t>substâncias</w:t>
      </w:r>
      <w:r w:rsidRPr="00773F2A">
        <w:rPr>
          <w:spacing w:val="-7"/>
        </w:rPr>
        <w:t xml:space="preserve"> </w:t>
      </w:r>
      <w:r w:rsidRPr="00773F2A">
        <w:t>químicas</w:t>
      </w:r>
      <w:r w:rsidRPr="00773F2A">
        <w:rPr>
          <w:spacing w:val="-8"/>
        </w:rPr>
        <w:t xml:space="preserve"> </w:t>
      </w:r>
      <w:r w:rsidRPr="00773F2A">
        <w:t>na</w:t>
      </w:r>
      <w:r w:rsidRPr="00773F2A">
        <w:rPr>
          <w:spacing w:val="-7"/>
        </w:rPr>
        <w:t xml:space="preserve"> </w:t>
      </w:r>
      <w:r w:rsidRPr="00773F2A">
        <w:t>água,</w:t>
      </w:r>
      <w:r w:rsidRPr="00773F2A">
        <w:rPr>
          <w:spacing w:val="-7"/>
        </w:rPr>
        <w:t xml:space="preserve"> </w:t>
      </w:r>
      <w:r w:rsidRPr="00773F2A">
        <w:t>com</w:t>
      </w:r>
      <w:r w:rsidRPr="00773F2A">
        <w:rPr>
          <w:spacing w:val="-7"/>
        </w:rPr>
        <w:t xml:space="preserve"> </w:t>
      </w:r>
      <w:r w:rsidRPr="00773F2A">
        <w:t>o</w:t>
      </w:r>
      <w:r w:rsidRPr="00773F2A">
        <w:rPr>
          <w:spacing w:val="-7"/>
        </w:rPr>
        <w:t xml:space="preserve"> </w:t>
      </w:r>
      <w:r w:rsidRPr="00773F2A">
        <w:t>propósito</w:t>
      </w:r>
      <w:r w:rsidRPr="00773F2A">
        <w:rPr>
          <w:spacing w:val="-8"/>
        </w:rPr>
        <w:t xml:space="preserve"> </w:t>
      </w:r>
      <w:r w:rsidRPr="00773F2A">
        <w:t>de</w:t>
      </w:r>
      <w:r w:rsidRPr="00773F2A">
        <w:rPr>
          <w:spacing w:val="-7"/>
        </w:rPr>
        <w:t xml:space="preserve"> </w:t>
      </w:r>
      <w:r w:rsidRPr="00773F2A">
        <w:t>evitar</w:t>
      </w:r>
      <w:r w:rsidRPr="00773F2A">
        <w:rPr>
          <w:spacing w:val="-7"/>
        </w:rPr>
        <w:t xml:space="preserve"> </w:t>
      </w:r>
      <w:r w:rsidRPr="00773F2A">
        <w:t>efeitos</w:t>
      </w:r>
      <w:r w:rsidRPr="00773F2A">
        <w:rPr>
          <w:spacing w:val="-7"/>
        </w:rPr>
        <w:t xml:space="preserve"> </w:t>
      </w:r>
      <w:r w:rsidRPr="00773F2A">
        <w:t>de toxicidade</w:t>
      </w:r>
      <w:r w:rsidRPr="00773F2A">
        <w:rPr>
          <w:spacing w:val="-9"/>
        </w:rPr>
        <w:t xml:space="preserve"> </w:t>
      </w:r>
      <w:r w:rsidRPr="00773F2A">
        <w:t>crônica</w:t>
      </w:r>
      <w:r w:rsidRPr="00773F2A">
        <w:rPr>
          <w:spacing w:val="-8"/>
        </w:rPr>
        <w:t xml:space="preserve"> </w:t>
      </w:r>
      <w:r w:rsidRPr="00773F2A">
        <w:t>e</w:t>
      </w:r>
      <w:r w:rsidRPr="00773F2A">
        <w:rPr>
          <w:spacing w:val="-9"/>
        </w:rPr>
        <w:t xml:space="preserve"> </w:t>
      </w:r>
      <w:r w:rsidRPr="00773F2A">
        <w:t>aguda</w:t>
      </w:r>
      <w:r w:rsidRPr="00773F2A">
        <w:rPr>
          <w:spacing w:val="-8"/>
        </w:rPr>
        <w:t xml:space="preserve"> </w:t>
      </w:r>
      <w:r w:rsidRPr="00773F2A">
        <w:t>à</w:t>
      </w:r>
      <w:r w:rsidRPr="00773F2A">
        <w:rPr>
          <w:spacing w:val="-8"/>
        </w:rPr>
        <w:t xml:space="preserve"> </w:t>
      </w:r>
      <w:r w:rsidRPr="00773F2A">
        <w:t>biota</w:t>
      </w:r>
      <w:r w:rsidRPr="00773F2A">
        <w:rPr>
          <w:spacing w:val="-9"/>
        </w:rPr>
        <w:t xml:space="preserve"> </w:t>
      </w:r>
      <w:r w:rsidRPr="00773F2A">
        <w:t>aquática.</w:t>
      </w:r>
    </w:p>
    <w:p w:rsidR="00B7590A" w:rsidRPr="00B7590A" w:rsidRDefault="00212C0B" w:rsidP="000C50CE">
      <w:pPr>
        <w:pStyle w:val="PargrafodaLista"/>
        <w:numPr>
          <w:ilvl w:val="0"/>
          <w:numId w:val="7"/>
        </w:numPr>
      </w:pPr>
      <w:r w:rsidRPr="00B7590A">
        <w:rPr>
          <w:b/>
        </w:rPr>
        <w:t>Grupo de</w:t>
      </w:r>
      <w:r w:rsidRPr="00B7590A">
        <w:rPr>
          <w:b/>
          <w:spacing w:val="1"/>
        </w:rPr>
        <w:t xml:space="preserve"> </w:t>
      </w:r>
      <w:r w:rsidRPr="00B7590A">
        <w:rPr>
          <w:b/>
        </w:rPr>
        <w:t>substâncias tóxicas</w:t>
      </w:r>
      <w:r w:rsidRPr="00B7590A">
        <w:rPr>
          <w:spacing w:val="-4"/>
        </w:rPr>
        <w:t xml:space="preserve"> </w:t>
      </w:r>
      <w:r w:rsidRPr="00773F2A">
        <w:t>(cobre,</w:t>
      </w:r>
      <w:r w:rsidRPr="00B7590A">
        <w:rPr>
          <w:spacing w:val="12"/>
        </w:rPr>
        <w:t xml:space="preserve"> </w:t>
      </w:r>
      <w:r w:rsidRPr="00773F2A">
        <w:t>zinco,</w:t>
      </w:r>
      <w:r w:rsidRPr="00B7590A">
        <w:rPr>
          <w:spacing w:val="12"/>
        </w:rPr>
        <w:t xml:space="preserve"> </w:t>
      </w:r>
      <w:r w:rsidRPr="00773F2A">
        <w:t>chumbo,</w:t>
      </w:r>
      <w:r w:rsidRPr="00B7590A">
        <w:rPr>
          <w:spacing w:val="12"/>
        </w:rPr>
        <w:t xml:space="preserve"> </w:t>
      </w:r>
      <w:r w:rsidRPr="00773F2A">
        <w:t>cromo,</w:t>
      </w:r>
      <w:r w:rsidRPr="00B7590A">
        <w:rPr>
          <w:spacing w:val="12"/>
        </w:rPr>
        <w:t xml:space="preserve"> </w:t>
      </w:r>
      <w:r w:rsidRPr="00773F2A">
        <w:t>mercúrio,</w:t>
      </w:r>
      <w:r w:rsidRPr="00B7590A">
        <w:rPr>
          <w:spacing w:val="12"/>
        </w:rPr>
        <w:t xml:space="preserve"> </w:t>
      </w:r>
      <w:r w:rsidRPr="00773F2A">
        <w:t>níquel,</w:t>
      </w:r>
      <w:r w:rsidRPr="00B7590A">
        <w:rPr>
          <w:spacing w:val="12"/>
        </w:rPr>
        <w:t xml:space="preserve"> </w:t>
      </w:r>
      <w:r w:rsidRPr="00773F2A">
        <w:t>cádmio, surfactantes).</w:t>
      </w:r>
      <w:r w:rsidRPr="00B7590A">
        <w:rPr>
          <w:spacing w:val="3"/>
        </w:rPr>
        <w:t xml:space="preserve"> </w:t>
      </w:r>
    </w:p>
    <w:p w:rsidR="00212C0B" w:rsidRPr="00D3265B" w:rsidRDefault="00212C0B" w:rsidP="00B7590A">
      <w:r w:rsidRPr="00773F2A">
        <w:t>Neste</w:t>
      </w:r>
      <w:r w:rsidRPr="00773F2A">
        <w:rPr>
          <w:spacing w:val="4"/>
        </w:rPr>
        <w:t xml:space="preserve"> </w:t>
      </w:r>
      <w:r w:rsidRPr="00773F2A">
        <w:t>grupo</w:t>
      </w:r>
      <w:r w:rsidRPr="00773F2A">
        <w:rPr>
          <w:spacing w:val="3"/>
        </w:rPr>
        <w:t xml:space="preserve"> </w:t>
      </w:r>
      <w:r w:rsidRPr="00773F2A">
        <w:t>foram</w:t>
      </w:r>
      <w:r w:rsidRPr="00773F2A">
        <w:rPr>
          <w:spacing w:val="4"/>
        </w:rPr>
        <w:t xml:space="preserve"> </w:t>
      </w:r>
      <w:r w:rsidRPr="00773F2A">
        <w:t>incluídas</w:t>
      </w:r>
      <w:r w:rsidRPr="00773F2A">
        <w:rPr>
          <w:spacing w:val="4"/>
        </w:rPr>
        <w:t xml:space="preserve"> </w:t>
      </w:r>
      <w:r w:rsidRPr="00773F2A">
        <w:t>as</w:t>
      </w:r>
      <w:r w:rsidRPr="00773F2A">
        <w:rPr>
          <w:spacing w:val="3"/>
        </w:rPr>
        <w:t xml:space="preserve"> </w:t>
      </w:r>
      <w:r w:rsidRPr="00773F2A">
        <w:t>variáveis</w:t>
      </w:r>
      <w:r w:rsidRPr="00773F2A">
        <w:rPr>
          <w:spacing w:val="4"/>
        </w:rPr>
        <w:t xml:space="preserve"> </w:t>
      </w:r>
      <w:r w:rsidRPr="00773F2A">
        <w:t>que</w:t>
      </w:r>
      <w:r w:rsidRPr="00773F2A">
        <w:rPr>
          <w:spacing w:val="4"/>
        </w:rPr>
        <w:t xml:space="preserve"> </w:t>
      </w:r>
      <w:r w:rsidRPr="00773F2A">
        <w:t>são</w:t>
      </w:r>
      <w:r w:rsidRPr="00773F2A">
        <w:rPr>
          <w:spacing w:val="3"/>
        </w:rPr>
        <w:t xml:space="preserve"> </w:t>
      </w:r>
      <w:r w:rsidRPr="00773F2A">
        <w:t>atualmente</w:t>
      </w:r>
      <w:r w:rsidRPr="00773F2A">
        <w:rPr>
          <w:spacing w:val="4"/>
        </w:rPr>
        <w:t xml:space="preserve"> </w:t>
      </w:r>
      <w:r w:rsidRPr="00773F2A">
        <w:t>avaliadas</w:t>
      </w:r>
      <w:r w:rsidRPr="00773F2A">
        <w:rPr>
          <w:spacing w:val="4"/>
        </w:rPr>
        <w:t xml:space="preserve"> </w:t>
      </w:r>
      <w:r w:rsidRPr="00773F2A">
        <w:t>pela</w:t>
      </w:r>
      <w:r w:rsidRPr="00773F2A">
        <w:rPr>
          <w:spacing w:val="3"/>
        </w:rPr>
        <w:t xml:space="preserve"> </w:t>
      </w:r>
      <w:r w:rsidRPr="00773F2A">
        <w:t>Rede de Monitoramento</w:t>
      </w:r>
      <w:r w:rsidRPr="00773F2A">
        <w:rPr>
          <w:spacing w:val="1"/>
        </w:rPr>
        <w:t xml:space="preserve"> </w:t>
      </w:r>
      <w:r w:rsidRPr="00773F2A">
        <w:t>de Qualidade</w:t>
      </w:r>
      <w:r w:rsidRPr="00773F2A">
        <w:rPr>
          <w:spacing w:val="1"/>
        </w:rPr>
        <w:t xml:space="preserve"> </w:t>
      </w:r>
      <w:r w:rsidRPr="00773F2A">
        <w:t>das</w:t>
      </w:r>
      <w:r w:rsidRPr="00773F2A">
        <w:rPr>
          <w:spacing w:val="1"/>
        </w:rPr>
        <w:t xml:space="preserve"> </w:t>
      </w:r>
      <w:r w:rsidRPr="00773F2A">
        <w:t>Águas Interiores</w:t>
      </w:r>
      <w:r w:rsidRPr="00773F2A">
        <w:rPr>
          <w:spacing w:val="1"/>
        </w:rPr>
        <w:t xml:space="preserve"> </w:t>
      </w:r>
      <w:r w:rsidRPr="00773F2A">
        <w:t>do</w:t>
      </w:r>
      <w:r w:rsidRPr="00773F2A">
        <w:rPr>
          <w:spacing w:val="1"/>
        </w:rPr>
        <w:t xml:space="preserve"> </w:t>
      </w:r>
      <w:r w:rsidRPr="00773F2A">
        <w:t>Estado de</w:t>
      </w:r>
      <w:r w:rsidRPr="00773F2A">
        <w:rPr>
          <w:spacing w:val="1"/>
        </w:rPr>
        <w:t xml:space="preserve"> </w:t>
      </w:r>
      <w:r w:rsidRPr="00773F2A">
        <w:t>São</w:t>
      </w:r>
      <w:r w:rsidRPr="00773F2A">
        <w:rPr>
          <w:spacing w:val="1"/>
        </w:rPr>
        <w:t xml:space="preserve"> </w:t>
      </w:r>
      <w:r w:rsidRPr="00773F2A">
        <w:t>Paulo e</w:t>
      </w:r>
      <w:r w:rsidRPr="00773F2A">
        <w:rPr>
          <w:spacing w:val="1"/>
        </w:rPr>
        <w:t xml:space="preserve"> </w:t>
      </w:r>
      <w:r w:rsidRPr="00773F2A">
        <w:t>que</w:t>
      </w:r>
      <w:r w:rsidRPr="00773F2A">
        <w:rPr>
          <w:spacing w:val="1"/>
        </w:rPr>
        <w:t xml:space="preserve"> </w:t>
      </w:r>
      <w:r w:rsidRPr="00773F2A">
        <w:t>identificam o</w:t>
      </w:r>
      <w:r w:rsidRPr="00773F2A">
        <w:rPr>
          <w:spacing w:val="-17"/>
        </w:rPr>
        <w:t xml:space="preserve"> </w:t>
      </w:r>
      <w:r w:rsidRPr="00773F2A">
        <w:t>nível</w:t>
      </w:r>
      <w:r w:rsidRPr="00773F2A">
        <w:rPr>
          <w:spacing w:val="-16"/>
        </w:rPr>
        <w:t xml:space="preserve"> </w:t>
      </w:r>
      <w:r w:rsidRPr="00773F2A">
        <w:t>de</w:t>
      </w:r>
      <w:r w:rsidRPr="00773F2A">
        <w:rPr>
          <w:spacing w:val="-16"/>
        </w:rPr>
        <w:t xml:space="preserve"> </w:t>
      </w:r>
      <w:r w:rsidRPr="00773F2A">
        <w:t>contaminação</w:t>
      </w:r>
      <w:r w:rsidRPr="00773F2A">
        <w:rPr>
          <w:spacing w:val="-16"/>
        </w:rPr>
        <w:t xml:space="preserve"> </w:t>
      </w:r>
      <w:r w:rsidRPr="00773F2A">
        <w:t>por</w:t>
      </w:r>
      <w:r w:rsidRPr="00773F2A">
        <w:rPr>
          <w:spacing w:val="-16"/>
        </w:rPr>
        <w:t xml:space="preserve"> </w:t>
      </w:r>
      <w:r w:rsidRPr="00773F2A">
        <w:t>substâncias</w:t>
      </w:r>
      <w:r w:rsidRPr="00773F2A">
        <w:rPr>
          <w:spacing w:val="-16"/>
        </w:rPr>
        <w:t xml:space="preserve"> </w:t>
      </w:r>
      <w:r w:rsidRPr="00773F2A">
        <w:t>potencialmente</w:t>
      </w:r>
      <w:r w:rsidRPr="00773F2A">
        <w:rPr>
          <w:spacing w:val="-16"/>
        </w:rPr>
        <w:t xml:space="preserve"> </w:t>
      </w:r>
      <w:r w:rsidRPr="00773F2A">
        <w:t>danosas</w:t>
      </w:r>
      <w:r w:rsidRPr="00773F2A">
        <w:rPr>
          <w:spacing w:val="-16"/>
        </w:rPr>
        <w:t xml:space="preserve"> </w:t>
      </w:r>
      <w:r w:rsidRPr="00773F2A">
        <w:t>às</w:t>
      </w:r>
      <w:r w:rsidRPr="00773F2A">
        <w:rPr>
          <w:spacing w:val="-16"/>
        </w:rPr>
        <w:t xml:space="preserve"> </w:t>
      </w:r>
      <w:r w:rsidRPr="00773F2A">
        <w:t>comunidades</w:t>
      </w:r>
      <w:r w:rsidRPr="00773F2A">
        <w:rPr>
          <w:spacing w:val="-16"/>
        </w:rPr>
        <w:t xml:space="preserve"> </w:t>
      </w:r>
      <w:r w:rsidRPr="00773F2A">
        <w:t>aquáticas. Poderão</w:t>
      </w:r>
      <w:r w:rsidRPr="00773F2A">
        <w:rPr>
          <w:spacing w:val="-19"/>
        </w:rPr>
        <w:t xml:space="preserve"> </w:t>
      </w:r>
      <w:r w:rsidRPr="00773F2A">
        <w:t>ser</w:t>
      </w:r>
      <w:r w:rsidRPr="00773F2A">
        <w:rPr>
          <w:spacing w:val="-18"/>
        </w:rPr>
        <w:t xml:space="preserve"> </w:t>
      </w:r>
      <w:r w:rsidRPr="00773F2A">
        <w:t>incluídas</w:t>
      </w:r>
      <w:r w:rsidRPr="00773F2A">
        <w:rPr>
          <w:spacing w:val="-18"/>
        </w:rPr>
        <w:t xml:space="preserve"> </w:t>
      </w:r>
      <w:r w:rsidRPr="00773F2A">
        <w:t>novas</w:t>
      </w:r>
      <w:r w:rsidRPr="00773F2A">
        <w:rPr>
          <w:spacing w:val="-18"/>
        </w:rPr>
        <w:t xml:space="preserve"> </w:t>
      </w:r>
      <w:r w:rsidRPr="00773F2A">
        <w:t>variáveis</w:t>
      </w:r>
      <w:r w:rsidRPr="00773F2A">
        <w:rPr>
          <w:spacing w:val="-18"/>
        </w:rPr>
        <w:t xml:space="preserve"> </w:t>
      </w:r>
      <w:r w:rsidRPr="00773F2A">
        <w:t>que</w:t>
      </w:r>
      <w:r w:rsidRPr="00773F2A">
        <w:rPr>
          <w:spacing w:val="-18"/>
        </w:rPr>
        <w:t xml:space="preserve"> </w:t>
      </w:r>
      <w:r w:rsidRPr="00773F2A">
        <w:t>venham</w:t>
      </w:r>
      <w:r w:rsidRPr="00773F2A">
        <w:rPr>
          <w:spacing w:val="-18"/>
        </w:rPr>
        <w:t xml:space="preserve"> </w:t>
      </w:r>
      <w:r w:rsidRPr="00773F2A">
        <w:t>a</w:t>
      </w:r>
      <w:r w:rsidRPr="00773F2A">
        <w:rPr>
          <w:spacing w:val="-18"/>
        </w:rPr>
        <w:t xml:space="preserve"> </w:t>
      </w:r>
      <w:r w:rsidRPr="00773F2A">
        <w:t>ser</w:t>
      </w:r>
      <w:r w:rsidRPr="00773F2A">
        <w:rPr>
          <w:spacing w:val="-18"/>
        </w:rPr>
        <w:t xml:space="preserve"> </w:t>
      </w:r>
      <w:r w:rsidRPr="00773F2A">
        <w:t>consideradas</w:t>
      </w:r>
      <w:r w:rsidRPr="00773F2A">
        <w:rPr>
          <w:spacing w:val="-18"/>
        </w:rPr>
        <w:t xml:space="preserve"> </w:t>
      </w:r>
      <w:r w:rsidRPr="00773F2A">
        <w:t>importantes</w:t>
      </w:r>
      <w:r w:rsidRPr="00773F2A">
        <w:rPr>
          <w:spacing w:val="-18"/>
        </w:rPr>
        <w:t xml:space="preserve"> </w:t>
      </w:r>
      <w:r w:rsidRPr="00773F2A">
        <w:t>para</w:t>
      </w:r>
      <w:r w:rsidRPr="00773F2A">
        <w:rPr>
          <w:spacing w:val="-18"/>
        </w:rPr>
        <w:t xml:space="preserve"> </w:t>
      </w:r>
      <w:r w:rsidRPr="00773F2A">
        <w:t>a</w:t>
      </w:r>
      <w:r w:rsidRPr="00773F2A">
        <w:rPr>
          <w:spacing w:val="-18"/>
        </w:rPr>
        <w:t xml:space="preserve"> </w:t>
      </w:r>
      <w:r w:rsidRPr="00773F2A">
        <w:t>avaliação da</w:t>
      </w:r>
      <w:r w:rsidRPr="00773F2A">
        <w:rPr>
          <w:spacing w:val="-9"/>
        </w:rPr>
        <w:t xml:space="preserve"> </w:t>
      </w:r>
      <w:r w:rsidRPr="00773F2A">
        <w:t>qualidade</w:t>
      </w:r>
      <w:r w:rsidRPr="00773F2A">
        <w:rPr>
          <w:spacing w:val="-8"/>
        </w:rPr>
        <w:t xml:space="preserve"> </w:t>
      </w:r>
      <w:r w:rsidRPr="00773F2A">
        <w:t>das</w:t>
      </w:r>
      <w:r w:rsidRPr="00773F2A">
        <w:rPr>
          <w:spacing w:val="-8"/>
        </w:rPr>
        <w:t xml:space="preserve"> </w:t>
      </w:r>
      <w:r w:rsidRPr="00773F2A">
        <w:t>águas,</w:t>
      </w:r>
      <w:r w:rsidRPr="00773F2A">
        <w:rPr>
          <w:spacing w:val="-8"/>
        </w:rPr>
        <w:t xml:space="preserve"> </w:t>
      </w:r>
      <w:r w:rsidRPr="00773F2A">
        <w:t>mesmo</w:t>
      </w:r>
      <w:r w:rsidRPr="00773F2A">
        <w:rPr>
          <w:spacing w:val="-9"/>
        </w:rPr>
        <w:t xml:space="preserve"> </w:t>
      </w:r>
      <w:r w:rsidRPr="00773F2A">
        <w:t>em</w:t>
      </w:r>
      <w:r w:rsidRPr="00773F2A">
        <w:rPr>
          <w:spacing w:val="-8"/>
        </w:rPr>
        <w:t xml:space="preserve"> </w:t>
      </w:r>
      <w:r w:rsidRPr="00773F2A">
        <w:t>nível</w:t>
      </w:r>
      <w:r w:rsidRPr="00773F2A">
        <w:rPr>
          <w:spacing w:val="-8"/>
        </w:rPr>
        <w:t xml:space="preserve"> </w:t>
      </w:r>
      <w:r w:rsidRPr="00773F2A">
        <w:t>regional.</w:t>
      </w:r>
      <w:r>
        <w:t xml:space="preserve"> </w:t>
      </w:r>
      <w:r w:rsidRPr="00D3265B">
        <w:t>Esses</w:t>
      </w:r>
      <w:r w:rsidRPr="00D3265B">
        <w:rPr>
          <w:spacing w:val="-13"/>
        </w:rPr>
        <w:t xml:space="preserve"> </w:t>
      </w:r>
      <w:r w:rsidRPr="00D3265B">
        <w:t>níveis</w:t>
      </w:r>
      <w:r w:rsidRPr="00D3265B">
        <w:rPr>
          <w:spacing w:val="-13"/>
        </w:rPr>
        <w:t xml:space="preserve"> </w:t>
      </w:r>
      <w:r w:rsidRPr="00D3265B">
        <w:t>refletem</w:t>
      </w:r>
      <w:r w:rsidRPr="00D3265B">
        <w:rPr>
          <w:spacing w:val="-13"/>
        </w:rPr>
        <w:t xml:space="preserve"> </w:t>
      </w:r>
      <w:r w:rsidRPr="00D3265B">
        <w:t>as</w:t>
      </w:r>
      <w:r w:rsidRPr="00D3265B">
        <w:rPr>
          <w:spacing w:val="-13"/>
        </w:rPr>
        <w:t xml:space="preserve"> </w:t>
      </w:r>
      <w:r w:rsidRPr="00D3265B">
        <w:t>seguintes</w:t>
      </w:r>
      <w:r w:rsidRPr="00D3265B">
        <w:rPr>
          <w:spacing w:val="-13"/>
        </w:rPr>
        <w:t xml:space="preserve"> </w:t>
      </w:r>
      <w:r w:rsidRPr="00D3265B">
        <w:t>condições</w:t>
      </w:r>
      <w:r w:rsidRPr="00D3265B">
        <w:rPr>
          <w:spacing w:val="-13"/>
        </w:rPr>
        <w:t xml:space="preserve"> </w:t>
      </w:r>
      <w:r w:rsidRPr="00D3265B">
        <w:t>de</w:t>
      </w:r>
      <w:r w:rsidRPr="00D3265B">
        <w:rPr>
          <w:spacing w:val="-13"/>
        </w:rPr>
        <w:t xml:space="preserve"> </w:t>
      </w:r>
      <w:r w:rsidRPr="00D3265B">
        <w:t>qualidade</w:t>
      </w:r>
      <w:r w:rsidRPr="00D3265B">
        <w:rPr>
          <w:spacing w:val="-13"/>
        </w:rPr>
        <w:t xml:space="preserve"> </w:t>
      </w:r>
      <w:r w:rsidRPr="00D3265B">
        <w:t>de</w:t>
      </w:r>
      <w:r w:rsidRPr="00D3265B">
        <w:rPr>
          <w:spacing w:val="-13"/>
        </w:rPr>
        <w:t xml:space="preserve"> </w:t>
      </w:r>
      <w:r w:rsidRPr="00D3265B">
        <w:rPr>
          <w:spacing w:val="-1"/>
        </w:rPr>
        <w:t>água</w:t>
      </w:r>
      <w:r w:rsidRPr="00D3265B">
        <w:rPr>
          <w:spacing w:val="-2"/>
        </w:rPr>
        <w:t>:</w:t>
      </w:r>
    </w:p>
    <w:p w:rsidR="00212C0B" w:rsidRPr="00773F2A" w:rsidRDefault="00212C0B" w:rsidP="00B7590A">
      <w:r w:rsidRPr="00B7590A">
        <w:rPr>
          <w:b/>
        </w:rPr>
        <w:lastRenderedPageBreak/>
        <w:t>Nível</w:t>
      </w:r>
      <w:r w:rsidRPr="00B7590A">
        <w:rPr>
          <w:b/>
          <w:spacing w:val="9"/>
        </w:rPr>
        <w:t xml:space="preserve"> </w:t>
      </w:r>
      <w:r w:rsidRPr="00B7590A">
        <w:rPr>
          <w:b/>
        </w:rPr>
        <w:t>A</w:t>
      </w:r>
      <w:r w:rsidRPr="00773F2A">
        <w:t>:</w:t>
      </w:r>
      <w:r w:rsidRPr="00773F2A">
        <w:rPr>
          <w:spacing w:val="10"/>
        </w:rPr>
        <w:t xml:space="preserve"> </w:t>
      </w:r>
      <w:r w:rsidRPr="00773F2A">
        <w:t>Águas</w:t>
      </w:r>
      <w:r w:rsidRPr="00773F2A">
        <w:rPr>
          <w:spacing w:val="6"/>
        </w:rPr>
        <w:t xml:space="preserve"> </w:t>
      </w:r>
      <w:r w:rsidRPr="00773F2A">
        <w:t>com</w:t>
      </w:r>
      <w:r w:rsidRPr="00773F2A">
        <w:rPr>
          <w:spacing w:val="5"/>
        </w:rPr>
        <w:t xml:space="preserve"> </w:t>
      </w:r>
      <w:r w:rsidRPr="00773F2A">
        <w:t>características</w:t>
      </w:r>
      <w:r w:rsidRPr="00773F2A">
        <w:rPr>
          <w:spacing w:val="6"/>
        </w:rPr>
        <w:t xml:space="preserve"> </w:t>
      </w:r>
      <w:r w:rsidRPr="00773F2A">
        <w:t>desejáveis</w:t>
      </w:r>
      <w:r w:rsidRPr="00773F2A">
        <w:rPr>
          <w:spacing w:val="5"/>
        </w:rPr>
        <w:t xml:space="preserve"> </w:t>
      </w:r>
      <w:r w:rsidRPr="00773F2A">
        <w:t>para</w:t>
      </w:r>
      <w:r w:rsidRPr="00773F2A">
        <w:rPr>
          <w:spacing w:val="6"/>
        </w:rPr>
        <w:t xml:space="preserve"> </w:t>
      </w:r>
      <w:r w:rsidRPr="00773F2A">
        <w:t>manter</w:t>
      </w:r>
      <w:r w:rsidRPr="00773F2A">
        <w:rPr>
          <w:spacing w:val="5"/>
        </w:rPr>
        <w:t xml:space="preserve"> </w:t>
      </w:r>
      <w:r w:rsidRPr="00773F2A">
        <w:t>a</w:t>
      </w:r>
      <w:r w:rsidRPr="00773F2A">
        <w:rPr>
          <w:spacing w:val="6"/>
        </w:rPr>
        <w:t xml:space="preserve"> </w:t>
      </w:r>
      <w:r w:rsidRPr="00773F2A">
        <w:t>sobrevivência</w:t>
      </w:r>
      <w:r w:rsidRPr="00773F2A">
        <w:rPr>
          <w:spacing w:val="5"/>
        </w:rPr>
        <w:t xml:space="preserve"> </w:t>
      </w:r>
      <w:r w:rsidRPr="00773F2A">
        <w:t>e</w:t>
      </w:r>
      <w:r w:rsidRPr="00773F2A">
        <w:rPr>
          <w:spacing w:val="5"/>
        </w:rPr>
        <w:t xml:space="preserve"> </w:t>
      </w:r>
      <w:r w:rsidRPr="00773F2A">
        <w:t>a</w:t>
      </w:r>
      <w:r w:rsidRPr="00773F2A">
        <w:rPr>
          <w:spacing w:val="6"/>
        </w:rPr>
        <w:t xml:space="preserve"> </w:t>
      </w:r>
      <w:r w:rsidRPr="00773F2A">
        <w:t>reprodução</w:t>
      </w:r>
      <w:r w:rsidRPr="00773F2A">
        <w:rPr>
          <w:spacing w:val="5"/>
        </w:rPr>
        <w:t xml:space="preserve"> </w:t>
      </w:r>
      <w:r w:rsidRPr="00773F2A">
        <w:t>dos organismos</w:t>
      </w:r>
      <w:r w:rsidRPr="00773F2A">
        <w:rPr>
          <w:spacing w:val="-19"/>
        </w:rPr>
        <w:t xml:space="preserve"> </w:t>
      </w:r>
      <w:r w:rsidRPr="00773F2A">
        <w:t>aquáticos.</w:t>
      </w:r>
      <w:r w:rsidRPr="00773F2A">
        <w:rPr>
          <w:spacing w:val="-19"/>
        </w:rPr>
        <w:t xml:space="preserve"> </w:t>
      </w:r>
      <w:r w:rsidRPr="00773F2A">
        <w:t>Atende</w:t>
      </w:r>
      <w:r w:rsidRPr="00773F2A">
        <w:rPr>
          <w:spacing w:val="-18"/>
        </w:rPr>
        <w:t xml:space="preserve"> </w:t>
      </w:r>
      <w:r w:rsidRPr="00773F2A">
        <w:t>aos</w:t>
      </w:r>
      <w:r w:rsidRPr="00773F2A">
        <w:rPr>
          <w:spacing w:val="-19"/>
        </w:rPr>
        <w:t xml:space="preserve"> </w:t>
      </w:r>
      <w:r w:rsidRPr="00773F2A">
        <w:t>padrões</w:t>
      </w:r>
      <w:r w:rsidRPr="00773F2A">
        <w:rPr>
          <w:spacing w:val="-19"/>
        </w:rPr>
        <w:t xml:space="preserve"> </w:t>
      </w:r>
      <w:r w:rsidRPr="00773F2A">
        <w:t>de</w:t>
      </w:r>
      <w:r w:rsidRPr="00773F2A">
        <w:rPr>
          <w:spacing w:val="-18"/>
        </w:rPr>
        <w:t xml:space="preserve"> </w:t>
      </w:r>
      <w:r w:rsidRPr="00773F2A">
        <w:t>qualidade</w:t>
      </w:r>
      <w:r w:rsidRPr="00773F2A">
        <w:rPr>
          <w:spacing w:val="-19"/>
        </w:rPr>
        <w:t xml:space="preserve"> </w:t>
      </w:r>
      <w:r w:rsidRPr="00773F2A">
        <w:t>da</w:t>
      </w:r>
      <w:r w:rsidRPr="00773F2A">
        <w:rPr>
          <w:spacing w:val="-18"/>
        </w:rPr>
        <w:t xml:space="preserve"> </w:t>
      </w:r>
      <w:r w:rsidRPr="00773F2A">
        <w:t>Resolução</w:t>
      </w:r>
      <w:r w:rsidRPr="00773F2A">
        <w:rPr>
          <w:spacing w:val="-19"/>
        </w:rPr>
        <w:t xml:space="preserve"> </w:t>
      </w:r>
      <w:r w:rsidRPr="00773F2A">
        <w:t>CONAMA</w:t>
      </w:r>
      <w:r w:rsidRPr="00773F2A">
        <w:rPr>
          <w:spacing w:val="-19"/>
        </w:rPr>
        <w:t xml:space="preserve"> </w:t>
      </w:r>
      <w:r w:rsidRPr="00773F2A">
        <w:t>357/2005</w:t>
      </w:r>
      <w:r w:rsidRPr="00773F2A">
        <w:rPr>
          <w:spacing w:val="-18"/>
        </w:rPr>
        <w:t xml:space="preserve"> </w:t>
      </w:r>
      <w:r w:rsidRPr="00773F2A">
        <w:t>para</w:t>
      </w:r>
      <w:r w:rsidRPr="00773F2A">
        <w:rPr>
          <w:spacing w:val="-19"/>
        </w:rPr>
        <w:t xml:space="preserve"> </w:t>
      </w:r>
      <w:r w:rsidRPr="00773F2A">
        <w:t>águas</w:t>
      </w:r>
      <w:r w:rsidRPr="00773F2A">
        <w:rPr>
          <w:spacing w:val="-18"/>
        </w:rPr>
        <w:t xml:space="preserve"> </w:t>
      </w:r>
      <w:r w:rsidRPr="00773F2A">
        <w:t>classes 1</w:t>
      </w:r>
      <w:r w:rsidRPr="00773F2A">
        <w:rPr>
          <w:spacing w:val="-32"/>
        </w:rPr>
        <w:t xml:space="preserve"> </w:t>
      </w:r>
      <w:r w:rsidRPr="00773F2A">
        <w:t>e</w:t>
      </w:r>
      <w:r w:rsidRPr="00773F2A">
        <w:rPr>
          <w:spacing w:val="-32"/>
        </w:rPr>
        <w:t xml:space="preserve"> </w:t>
      </w:r>
      <w:r w:rsidRPr="00773F2A">
        <w:t>2</w:t>
      </w:r>
      <w:r w:rsidRPr="00773F2A">
        <w:rPr>
          <w:spacing w:val="-31"/>
        </w:rPr>
        <w:t xml:space="preserve"> </w:t>
      </w:r>
      <w:r w:rsidRPr="00773F2A">
        <w:t>(BRASIL,</w:t>
      </w:r>
      <w:r w:rsidRPr="00773F2A">
        <w:rPr>
          <w:spacing w:val="-32"/>
        </w:rPr>
        <w:t xml:space="preserve"> </w:t>
      </w:r>
      <w:r w:rsidR="00B7590A">
        <w:t>2005)</w:t>
      </w:r>
      <w:r w:rsidRPr="00773F2A">
        <w:rPr>
          <w:spacing w:val="-31"/>
        </w:rPr>
        <w:t xml:space="preserve"> </w:t>
      </w:r>
      <w:r w:rsidRPr="00773F2A">
        <w:t>(ponderação</w:t>
      </w:r>
      <w:r w:rsidRPr="00773F2A">
        <w:rPr>
          <w:spacing w:val="-32"/>
        </w:rPr>
        <w:t xml:space="preserve"> </w:t>
      </w:r>
      <w:r w:rsidRPr="00773F2A">
        <w:t>1).</w:t>
      </w:r>
    </w:p>
    <w:p w:rsidR="00212C0B" w:rsidRPr="00773F2A" w:rsidRDefault="00212C0B" w:rsidP="00B7590A">
      <w:r w:rsidRPr="00B7590A">
        <w:rPr>
          <w:b/>
        </w:rPr>
        <w:t>Nível</w:t>
      </w:r>
      <w:r w:rsidRPr="00B7590A">
        <w:rPr>
          <w:b/>
          <w:spacing w:val="-1"/>
        </w:rPr>
        <w:t xml:space="preserve"> </w:t>
      </w:r>
      <w:r w:rsidRPr="00B7590A">
        <w:rPr>
          <w:b/>
        </w:rPr>
        <w:t>B</w:t>
      </w:r>
      <w:r w:rsidRPr="00773F2A">
        <w:t>:</w:t>
      </w:r>
      <w:r w:rsidRPr="00773F2A">
        <w:rPr>
          <w:spacing w:val="-4"/>
        </w:rPr>
        <w:t xml:space="preserve"> </w:t>
      </w:r>
      <w:r w:rsidRPr="00773F2A">
        <w:t>Águas</w:t>
      </w:r>
      <w:r w:rsidRPr="00773F2A">
        <w:rPr>
          <w:spacing w:val="-4"/>
        </w:rPr>
        <w:t xml:space="preserve"> </w:t>
      </w:r>
      <w:r w:rsidRPr="00773F2A">
        <w:t>com</w:t>
      </w:r>
      <w:r w:rsidRPr="00773F2A">
        <w:rPr>
          <w:spacing w:val="-5"/>
        </w:rPr>
        <w:t xml:space="preserve"> </w:t>
      </w:r>
      <w:r w:rsidRPr="00773F2A">
        <w:t>características</w:t>
      </w:r>
      <w:r w:rsidRPr="00773F2A">
        <w:rPr>
          <w:spacing w:val="-4"/>
        </w:rPr>
        <w:t xml:space="preserve"> </w:t>
      </w:r>
      <w:r w:rsidRPr="00773F2A">
        <w:t>desejáveis</w:t>
      </w:r>
      <w:r w:rsidRPr="00773F2A">
        <w:rPr>
          <w:spacing w:val="-4"/>
        </w:rPr>
        <w:t xml:space="preserve"> </w:t>
      </w:r>
      <w:r w:rsidRPr="00773F2A">
        <w:t>para</w:t>
      </w:r>
      <w:r w:rsidRPr="00773F2A">
        <w:rPr>
          <w:spacing w:val="-4"/>
        </w:rPr>
        <w:t xml:space="preserve"> </w:t>
      </w:r>
      <w:r w:rsidRPr="00773F2A">
        <w:t>a</w:t>
      </w:r>
      <w:r w:rsidRPr="00773F2A">
        <w:rPr>
          <w:spacing w:val="-5"/>
        </w:rPr>
        <w:t xml:space="preserve"> </w:t>
      </w:r>
      <w:r w:rsidRPr="00773F2A">
        <w:t>sobrevivência</w:t>
      </w:r>
      <w:r w:rsidRPr="00773F2A">
        <w:rPr>
          <w:spacing w:val="-4"/>
        </w:rPr>
        <w:t xml:space="preserve"> </w:t>
      </w:r>
      <w:r w:rsidRPr="00773F2A">
        <w:t>dos</w:t>
      </w:r>
      <w:r w:rsidRPr="00773F2A">
        <w:rPr>
          <w:spacing w:val="-4"/>
        </w:rPr>
        <w:t xml:space="preserve"> </w:t>
      </w:r>
      <w:r w:rsidRPr="00773F2A">
        <w:t>organismos</w:t>
      </w:r>
      <w:r w:rsidRPr="00773F2A">
        <w:rPr>
          <w:spacing w:val="-4"/>
        </w:rPr>
        <w:t xml:space="preserve"> </w:t>
      </w:r>
      <w:r w:rsidRPr="00773F2A">
        <w:t>aquáticos,</w:t>
      </w:r>
      <w:r w:rsidRPr="00773F2A">
        <w:rPr>
          <w:spacing w:val="-4"/>
        </w:rPr>
        <w:t xml:space="preserve"> </w:t>
      </w:r>
      <w:r w:rsidRPr="00773F2A">
        <w:t>porém a</w:t>
      </w:r>
      <w:r w:rsidRPr="00773F2A">
        <w:rPr>
          <w:spacing w:val="-14"/>
        </w:rPr>
        <w:t xml:space="preserve"> </w:t>
      </w:r>
      <w:r w:rsidRPr="00773F2A">
        <w:t>reprodução</w:t>
      </w:r>
      <w:r w:rsidRPr="00773F2A">
        <w:rPr>
          <w:spacing w:val="-14"/>
        </w:rPr>
        <w:t xml:space="preserve"> </w:t>
      </w:r>
      <w:r w:rsidRPr="00773F2A">
        <w:t>pode</w:t>
      </w:r>
      <w:r w:rsidRPr="00773F2A">
        <w:rPr>
          <w:spacing w:val="-14"/>
        </w:rPr>
        <w:t xml:space="preserve"> </w:t>
      </w:r>
      <w:r w:rsidRPr="00773F2A">
        <w:t>ser</w:t>
      </w:r>
      <w:r w:rsidRPr="00773F2A">
        <w:rPr>
          <w:spacing w:val="-13"/>
        </w:rPr>
        <w:t xml:space="preserve"> </w:t>
      </w:r>
      <w:r w:rsidRPr="00773F2A">
        <w:t>afetada</w:t>
      </w:r>
      <w:r w:rsidRPr="00773F2A">
        <w:rPr>
          <w:spacing w:val="-14"/>
        </w:rPr>
        <w:t xml:space="preserve"> </w:t>
      </w:r>
      <w:r w:rsidRPr="00773F2A">
        <w:t>a</w:t>
      </w:r>
      <w:r w:rsidRPr="00773F2A">
        <w:rPr>
          <w:spacing w:val="-14"/>
        </w:rPr>
        <w:t xml:space="preserve"> </w:t>
      </w:r>
      <w:r w:rsidRPr="00773F2A">
        <w:t>longo</w:t>
      </w:r>
      <w:r w:rsidRPr="00773F2A">
        <w:rPr>
          <w:spacing w:val="-13"/>
        </w:rPr>
        <w:t xml:space="preserve"> </w:t>
      </w:r>
      <w:r w:rsidRPr="00773F2A">
        <w:t>prazo</w:t>
      </w:r>
      <w:r w:rsidRPr="00773F2A">
        <w:rPr>
          <w:spacing w:val="-14"/>
        </w:rPr>
        <w:t xml:space="preserve"> </w:t>
      </w:r>
      <w:r w:rsidRPr="00773F2A">
        <w:t>(ponderação</w:t>
      </w:r>
      <w:r w:rsidRPr="00773F2A">
        <w:rPr>
          <w:spacing w:val="-14"/>
        </w:rPr>
        <w:t xml:space="preserve"> </w:t>
      </w:r>
      <w:r w:rsidRPr="00773F2A">
        <w:t>2).</w:t>
      </w:r>
    </w:p>
    <w:p w:rsidR="00212C0B" w:rsidRPr="00773F2A" w:rsidRDefault="00212C0B" w:rsidP="00B7590A">
      <w:r w:rsidRPr="00B7590A">
        <w:rPr>
          <w:b/>
        </w:rPr>
        <w:t>Nível</w:t>
      </w:r>
      <w:r w:rsidRPr="00B7590A">
        <w:rPr>
          <w:b/>
          <w:spacing w:val="-20"/>
        </w:rPr>
        <w:t xml:space="preserve"> </w:t>
      </w:r>
      <w:r w:rsidRPr="00B7590A">
        <w:rPr>
          <w:b/>
        </w:rPr>
        <w:t>C</w:t>
      </w:r>
      <w:r w:rsidRPr="00773F2A">
        <w:t>:</w:t>
      </w:r>
      <w:r w:rsidRPr="00773F2A">
        <w:rPr>
          <w:spacing w:val="-22"/>
        </w:rPr>
        <w:t xml:space="preserve"> </w:t>
      </w:r>
      <w:r w:rsidRPr="00773F2A">
        <w:t>Águas</w:t>
      </w:r>
      <w:r w:rsidRPr="00773F2A">
        <w:rPr>
          <w:spacing w:val="-21"/>
        </w:rPr>
        <w:t xml:space="preserve"> </w:t>
      </w:r>
      <w:r w:rsidRPr="00773F2A">
        <w:t>com</w:t>
      </w:r>
      <w:r w:rsidRPr="00773F2A">
        <w:rPr>
          <w:spacing w:val="-22"/>
        </w:rPr>
        <w:t xml:space="preserve"> </w:t>
      </w:r>
      <w:r w:rsidRPr="00773F2A">
        <w:t>características</w:t>
      </w:r>
      <w:r w:rsidRPr="00773F2A">
        <w:rPr>
          <w:spacing w:val="-22"/>
        </w:rPr>
        <w:t xml:space="preserve"> </w:t>
      </w:r>
      <w:r w:rsidRPr="00773F2A">
        <w:t>que</w:t>
      </w:r>
      <w:r w:rsidRPr="00773F2A">
        <w:rPr>
          <w:spacing w:val="-22"/>
        </w:rPr>
        <w:t xml:space="preserve"> </w:t>
      </w:r>
      <w:r w:rsidRPr="00773F2A">
        <w:t>podem</w:t>
      </w:r>
      <w:r w:rsidRPr="00773F2A">
        <w:rPr>
          <w:spacing w:val="-22"/>
        </w:rPr>
        <w:t xml:space="preserve"> </w:t>
      </w:r>
      <w:r w:rsidRPr="00773F2A">
        <w:t>comprometer</w:t>
      </w:r>
      <w:r w:rsidRPr="00773F2A">
        <w:rPr>
          <w:spacing w:val="-22"/>
        </w:rPr>
        <w:t xml:space="preserve"> </w:t>
      </w:r>
      <w:r w:rsidRPr="00773F2A">
        <w:t>a</w:t>
      </w:r>
      <w:r w:rsidRPr="00773F2A">
        <w:rPr>
          <w:spacing w:val="-21"/>
        </w:rPr>
        <w:t xml:space="preserve"> </w:t>
      </w:r>
      <w:r w:rsidRPr="00773F2A">
        <w:t>sobrevivência</w:t>
      </w:r>
      <w:r w:rsidRPr="00773F2A">
        <w:rPr>
          <w:spacing w:val="-22"/>
        </w:rPr>
        <w:t xml:space="preserve"> </w:t>
      </w:r>
      <w:r w:rsidRPr="00773F2A">
        <w:t>dos</w:t>
      </w:r>
      <w:r w:rsidRPr="00773F2A">
        <w:rPr>
          <w:spacing w:val="-22"/>
        </w:rPr>
        <w:t xml:space="preserve"> </w:t>
      </w:r>
      <w:r w:rsidRPr="00773F2A">
        <w:t>organismos</w:t>
      </w:r>
      <w:r w:rsidRPr="00773F2A">
        <w:rPr>
          <w:spacing w:val="-22"/>
        </w:rPr>
        <w:t xml:space="preserve"> </w:t>
      </w:r>
      <w:r w:rsidRPr="00773F2A">
        <w:t>aquáticos (ponderação</w:t>
      </w:r>
      <w:r w:rsidRPr="00773F2A">
        <w:rPr>
          <w:spacing w:val="26"/>
        </w:rPr>
        <w:t xml:space="preserve"> </w:t>
      </w:r>
      <w:r w:rsidRPr="00773F2A">
        <w:t>3).</w:t>
      </w:r>
    </w:p>
    <w:p w:rsidR="00212C0B" w:rsidRPr="00B7590A" w:rsidRDefault="00212C0B" w:rsidP="00212C0B">
      <w:pPr>
        <w:widowControl w:val="0"/>
        <w:spacing w:before="64" w:after="0" w:line="360" w:lineRule="auto"/>
        <w:rPr>
          <w:rFonts w:eastAsia="Calibri" w:cs="Times New Roman"/>
          <w:sz w:val="24"/>
          <w:szCs w:val="24"/>
        </w:rPr>
      </w:pPr>
      <w:r w:rsidRPr="00B7590A">
        <w:rPr>
          <w:rFonts w:eastAsia="Calibri" w:cs="Times New Roman"/>
          <w:color w:val="231F20"/>
          <w:sz w:val="24"/>
          <w:szCs w:val="24"/>
        </w:rPr>
        <w:t>O</w:t>
      </w:r>
      <w:r w:rsidRPr="00B7590A">
        <w:rPr>
          <w:rFonts w:eastAsia="Calibri" w:cs="Times New Roman"/>
          <w:color w:val="231F20"/>
          <w:spacing w:val="-8"/>
          <w:sz w:val="24"/>
          <w:szCs w:val="24"/>
        </w:rPr>
        <w:t xml:space="preserve"> </w:t>
      </w:r>
      <w:r w:rsidRPr="00B7590A">
        <w:rPr>
          <w:rFonts w:eastAsia="Calibri" w:cs="Times New Roman"/>
          <w:color w:val="231F20"/>
          <w:sz w:val="24"/>
          <w:szCs w:val="24"/>
        </w:rPr>
        <w:t>IVA</w:t>
      </w:r>
      <w:r w:rsidRPr="00B7590A">
        <w:rPr>
          <w:rFonts w:eastAsia="Calibri" w:cs="Times New Roman"/>
          <w:color w:val="231F20"/>
          <w:spacing w:val="-8"/>
          <w:sz w:val="24"/>
          <w:szCs w:val="24"/>
        </w:rPr>
        <w:t xml:space="preserve"> </w:t>
      </w:r>
      <w:r w:rsidRPr="00B7590A">
        <w:rPr>
          <w:rFonts w:eastAsia="Calibri" w:cs="Times New Roman"/>
          <w:color w:val="231F20"/>
          <w:sz w:val="24"/>
          <w:szCs w:val="24"/>
        </w:rPr>
        <w:t>é</w:t>
      </w:r>
      <w:r w:rsidRPr="00B7590A">
        <w:rPr>
          <w:rFonts w:eastAsia="Calibri" w:cs="Times New Roman"/>
          <w:color w:val="231F20"/>
          <w:spacing w:val="-8"/>
          <w:sz w:val="24"/>
          <w:szCs w:val="24"/>
        </w:rPr>
        <w:t xml:space="preserve"> </w:t>
      </w:r>
      <w:r w:rsidRPr="00B7590A">
        <w:rPr>
          <w:rFonts w:eastAsia="Calibri" w:cs="Times New Roman"/>
          <w:color w:val="231F20"/>
          <w:sz w:val="24"/>
          <w:szCs w:val="24"/>
        </w:rPr>
        <w:t>calculado</w:t>
      </w:r>
      <w:r w:rsidRPr="00B7590A">
        <w:rPr>
          <w:rFonts w:eastAsia="Calibri" w:cs="Times New Roman"/>
          <w:color w:val="231F20"/>
          <w:spacing w:val="-8"/>
          <w:sz w:val="24"/>
          <w:szCs w:val="24"/>
        </w:rPr>
        <w:t xml:space="preserve"> </w:t>
      </w:r>
      <w:r w:rsidRPr="00B7590A">
        <w:rPr>
          <w:rFonts w:eastAsia="Calibri" w:cs="Times New Roman"/>
          <w:color w:val="231F20"/>
          <w:sz w:val="24"/>
          <w:szCs w:val="24"/>
        </w:rPr>
        <w:t>da</w:t>
      </w:r>
      <w:r w:rsidRPr="00B7590A">
        <w:rPr>
          <w:rFonts w:eastAsia="Calibri" w:cs="Times New Roman"/>
          <w:color w:val="231F20"/>
          <w:spacing w:val="-8"/>
          <w:sz w:val="24"/>
          <w:szCs w:val="24"/>
        </w:rPr>
        <w:t xml:space="preserve"> </w:t>
      </w:r>
      <w:r w:rsidRPr="00B7590A">
        <w:rPr>
          <w:rFonts w:eastAsia="Calibri" w:cs="Times New Roman"/>
          <w:color w:val="231F20"/>
          <w:sz w:val="24"/>
          <w:szCs w:val="24"/>
        </w:rPr>
        <w:t>seguinte</w:t>
      </w:r>
      <w:r w:rsidRPr="00B7590A">
        <w:rPr>
          <w:rFonts w:eastAsia="Calibri" w:cs="Times New Roman"/>
          <w:color w:val="231F20"/>
          <w:spacing w:val="-7"/>
          <w:sz w:val="24"/>
          <w:szCs w:val="24"/>
        </w:rPr>
        <w:t xml:space="preserve"> </w:t>
      </w:r>
      <w:r w:rsidRPr="00B7590A">
        <w:rPr>
          <w:rFonts w:eastAsia="Calibri" w:cs="Times New Roman"/>
          <w:color w:val="231F20"/>
          <w:sz w:val="24"/>
          <w:szCs w:val="24"/>
        </w:rPr>
        <w:t>forma:</w:t>
      </w:r>
    </w:p>
    <w:p w:rsidR="00212C0B" w:rsidRPr="001A666B" w:rsidRDefault="00212C0B" w:rsidP="00B7590A">
      <w:pPr>
        <w:jc w:val="center"/>
      </w:pPr>
      <w:r w:rsidRPr="001A666B">
        <w:t>IVA</w:t>
      </w:r>
      <w:r w:rsidRPr="001A666B">
        <w:rPr>
          <w:spacing w:val="-8"/>
        </w:rPr>
        <w:t xml:space="preserve"> </w:t>
      </w:r>
      <w:r w:rsidRPr="001A666B">
        <w:t>=</w:t>
      </w:r>
      <w:r w:rsidRPr="001A666B">
        <w:rPr>
          <w:spacing w:val="-7"/>
        </w:rPr>
        <w:t xml:space="preserve"> </w:t>
      </w:r>
      <w:r w:rsidRPr="001A666B">
        <w:t>(IPMCA</w:t>
      </w:r>
      <w:r w:rsidRPr="001A666B">
        <w:rPr>
          <w:spacing w:val="-7"/>
        </w:rPr>
        <w:t xml:space="preserve"> </w:t>
      </w:r>
      <w:r w:rsidRPr="001A666B">
        <w:t>x</w:t>
      </w:r>
      <w:r w:rsidRPr="001A666B">
        <w:rPr>
          <w:spacing w:val="-8"/>
        </w:rPr>
        <w:t xml:space="preserve"> </w:t>
      </w:r>
      <w:r w:rsidRPr="001A666B">
        <w:t>1,2)</w:t>
      </w:r>
      <w:r w:rsidRPr="001A666B">
        <w:rPr>
          <w:spacing w:val="-7"/>
        </w:rPr>
        <w:t xml:space="preserve"> </w:t>
      </w:r>
      <w:r w:rsidRPr="001A666B">
        <w:t>+</w:t>
      </w:r>
      <w:r w:rsidRPr="001A666B">
        <w:rPr>
          <w:spacing w:val="-7"/>
        </w:rPr>
        <w:t xml:space="preserve"> </w:t>
      </w:r>
      <w:r w:rsidRPr="001A666B">
        <w:t>IET</w:t>
      </w:r>
    </w:p>
    <w:p w:rsidR="00212C0B" w:rsidRPr="00131F0B" w:rsidRDefault="00212C0B" w:rsidP="00B7590A">
      <w:r w:rsidRPr="00131F0B">
        <w:t>O</w:t>
      </w:r>
      <w:r w:rsidRPr="00131F0B">
        <w:rPr>
          <w:spacing w:val="-12"/>
        </w:rPr>
        <w:t xml:space="preserve"> </w:t>
      </w:r>
      <w:r w:rsidRPr="00131F0B">
        <w:t>valor</w:t>
      </w:r>
      <w:r w:rsidRPr="00131F0B">
        <w:rPr>
          <w:spacing w:val="-12"/>
        </w:rPr>
        <w:t xml:space="preserve"> </w:t>
      </w:r>
      <w:r w:rsidRPr="00131F0B">
        <w:t>resultante</w:t>
      </w:r>
      <w:r w:rsidRPr="00131F0B">
        <w:rPr>
          <w:spacing w:val="-11"/>
        </w:rPr>
        <w:t xml:space="preserve"> </w:t>
      </w:r>
      <w:r w:rsidRPr="00131F0B">
        <w:t>do</w:t>
      </w:r>
      <w:r w:rsidRPr="00131F0B">
        <w:rPr>
          <w:spacing w:val="-12"/>
        </w:rPr>
        <w:t xml:space="preserve"> </w:t>
      </w:r>
      <w:r w:rsidRPr="00131F0B">
        <w:t>índice</w:t>
      </w:r>
      <w:r w:rsidRPr="00131F0B">
        <w:rPr>
          <w:spacing w:val="-12"/>
        </w:rPr>
        <w:t xml:space="preserve"> </w:t>
      </w:r>
      <w:r w:rsidRPr="00131F0B">
        <w:t>descreve</w:t>
      </w:r>
      <w:r w:rsidRPr="00131F0B">
        <w:rPr>
          <w:spacing w:val="-11"/>
        </w:rPr>
        <w:t xml:space="preserve"> </w:t>
      </w:r>
      <w:r w:rsidRPr="00131F0B">
        <w:t>cinco</w:t>
      </w:r>
      <w:r w:rsidRPr="00131F0B">
        <w:rPr>
          <w:spacing w:val="-12"/>
        </w:rPr>
        <w:t xml:space="preserve"> </w:t>
      </w:r>
      <w:r w:rsidRPr="00131F0B">
        <w:t>classificações</w:t>
      </w:r>
      <w:r w:rsidRPr="00131F0B">
        <w:rPr>
          <w:spacing w:val="-11"/>
        </w:rPr>
        <w:t xml:space="preserve"> </w:t>
      </w:r>
      <w:r w:rsidRPr="00131F0B">
        <w:t>de</w:t>
      </w:r>
      <w:r w:rsidRPr="00131F0B">
        <w:rPr>
          <w:spacing w:val="-12"/>
        </w:rPr>
        <w:t xml:space="preserve"> </w:t>
      </w:r>
      <w:r w:rsidRPr="00131F0B">
        <w:rPr>
          <w:spacing w:val="-2"/>
        </w:rPr>
        <w:t>q</w:t>
      </w:r>
      <w:r w:rsidRPr="00131F0B">
        <w:rPr>
          <w:spacing w:val="-1"/>
        </w:rPr>
        <w:t>ualidade,</w:t>
      </w:r>
      <w:r w:rsidRPr="00131F0B">
        <w:rPr>
          <w:spacing w:val="-12"/>
        </w:rPr>
        <w:t xml:space="preserve"> </w:t>
      </w:r>
      <w:r w:rsidRPr="00131F0B">
        <w:t>ilustradas</w:t>
      </w:r>
      <w:r w:rsidRPr="00131F0B">
        <w:rPr>
          <w:spacing w:val="-11"/>
        </w:rPr>
        <w:t xml:space="preserve"> </w:t>
      </w:r>
      <w:r w:rsidRPr="00131F0B">
        <w:t>na</w:t>
      </w:r>
      <w:r w:rsidRPr="00131F0B">
        <w:rPr>
          <w:spacing w:val="-12"/>
        </w:rPr>
        <w:t xml:space="preserve"> </w:t>
      </w:r>
      <w:r w:rsidRPr="00131F0B">
        <w:t>tabela</w:t>
      </w:r>
      <w:r w:rsidRPr="00131F0B">
        <w:rPr>
          <w:spacing w:val="-12"/>
        </w:rPr>
        <w:t xml:space="preserve"> </w:t>
      </w:r>
      <w:r>
        <w:t>a seguir:</w:t>
      </w:r>
    </w:p>
    <w:p w:rsidR="00212C0B" w:rsidRPr="00131F0B" w:rsidRDefault="00212C0B" w:rsidP="00B7590A">
      <w:pPr>
        <w:pStyle w:val="Quadro"/>
      </w:pPr>
      <w:r>
        <w:t xml:space="preserve">Tabela </w:t>
      </w:r>
      <w:r w:rsidR="00C63BBC">
        <w:t>6.4.</w:t>
      </w:r>
      <w:r w:rsidR="00991EC9">
        <w:t>5-</w:t>
      </w:r>
      <w:r w:rsidR="00C63BBC">
        <w:t>3</w:t>
      </w:r>
      <w:r w:rsidR="00991EC9">
        <w:t>.</w:t>
      </w:r>
      <w:r w:rsidR="00B7590A">
        <w:t xml:space="preserve"> </w:t>
      </w:r>
      <w:r w:rsidRPr="00131F0B">
        <w:t>Classificação</w:t>
      </w:r>
      <w:r w:rsidRPr="00131F0B">
        <w:rPr>
          <w:spacing w:val="-25"/>
        </w:rPr>
        <w:t xml:space="preserve"> </w:t>
      </w:r>
      <w:r w:rsidRPr="00131F0B">
        <w:t>do</w:t>
      </w:r>
      <w:r w:rsidRPr="00131F0B">
        <w:rPr>
          <w:spacing w:val="-26"/>
        </w:rPr>
        <w:t xml:space="preserve"> </w:t>
      </w:r>
      <w:r w:rsidRPr="00131F0B">
        <w:t>IVA</w:t>
      </w:r>
    </w:p>
    <w:tbl>
      <w:tblPr>
        <w:tblStyle w:val="TableNormal"/>
        <w:tblW w:w="0" w:type="auto"/>
        <w:jc w:val="center"/>
        <w:tblLayout w:type="fixed"/>
        <w:tblLook w:val="01E0" w:firstRow="1" w:lastRow="1" w:firstColumn="1" w:lastColumn="1" w:noHBand="0" w:noVBand="0"/>
      </w:tblPr>
      <w:tblGrid>
        <w:gridCol w:w="1701"/>
        <w:gridCol w:w="1701"/>
      </w:tblGrid>
      <w:tr w:rsidR="00212C0B" w:rsidRPr="00B7590A" w:rsidTr="00991EC9">
        <w:trPr>
          <w:trHeight w:hRule="exact" w:val="290"/>
          <w:tblHeader/>
          <w:jc w:val="center"/>
        </w:trPr>
        <w:tc>
          <w:tcPr>
            <w:tcW w:w="1701" w:type="dxa"/>
            <w:tcBorders>
              <w:top w:val="single" w:sz="8" w:space="0" w:color="FFFFFF"/>
              <w:left w:val="single" w:sz="8" w:space="0" w:color="FFFFFF"/>
              <w:bottom w:val="single" w:sz="8" w:space="0" w:color="FFFFFF"/>
              <w:right w:val="nil"/>
            </w:tcBorders>
            <w:shd w:val="clear" w:color="auto" w:fill="82B7D0"/>
            <w:hideMark/>
          </w:tcPr>
          <w:p w:rsidR="00212C0B" w:rsidRPr="00C63BBC" w:rsidRDefault="00212C0B" w:rsidP="00B7590A">
            <w:pPr>
              <w:pStyle w:val="TableParagraph"/>
              <w:spacing w:before="42" w:line="360" w:lineRule="auto"/>
              <w:ind w:left="512"/>
              <w:rPr>
                <w:rFonts w:ascii="Calibri" w:eastAsia="Calibri" w:hAnsi="Calibri" w:cs="Calibri"/>
                <w:sz w:val="16"/>
                <w:szCs w:val="16"/>
                <w:lang w:val="pt-BR"/>
              </w:rPr>
            </w:pPr>
            <w:r w:rsidRPr="00C63BBC">
              <w:rPr>
                <w:rFonts w:ascii="Calibri"/>
                <w:b/>
                <w:color w:val="231F20"/>
                <w:sz w:val="16"/>
                <w:lang w:val="pt-BR"/>
              </w:rPr>
              <w:t>Categoria</w:t>
            </w:r>
          </w:p>
        </w:tc>
        <w:tc>
          <w:tcPr>
            <w:tcW w:w="1701" w:type="dxa"/>
            <w:tcBorders>
              <w:top w:val="single" w:sz="8" w:space="0" w:color="FFFFFF"/>
              <w:left w:val="nil"/>
              <w:bottom w:val="single" w:sz="8" w:space="0" w:color="FFFFFF"/>
              <w:right w:val="nil"/>
            </w:tcBorders>
            <w:shd w:val="clear" w:color="auto" w:fill="82B7D0"/>
            <w:hideMark/>
          </w:tcPr>
          <w:p w:rsidR="00212C0B" w:rsidRPr="00C63BBC" w:rsidRDefault="00212C0B" w:rsidP="00212C0B">
            <w:pPr>
              <w:pStyle w:val="TableParagraph"/>
              <w:spacing w:before="42" w:line="360" w:lineRule="auto"/>
              <w:ind w:left="456"/>
              <w:jc w:val="both"/>
              <w:rPr>
                <w:rFonts w:ascii="Calibri" w:eastAsia="Calibri" w:hAnsi="Calibri" w:cs="Calibri"/>
                <w:sz w:val="16"/>
                <w:szCs w:val="16"/>
                <w:lang w:val="pt-BR"/>
              </w:rPr>
            </w:pPr>
            <w:r w:rsidRPr="00C63BBC">
              <w:rPr>
                <w:rFonts w:ascii="Calibri" w:hAnsi="Calibri"/>
                <w:b/>
                <w:color w:val="231F20"/>
                <w:sz w:val="16"/>
                <w:lang w:val="pt-BR"/>
              </w:rPr>
              <w:t>Ponderação</w:t>
            </w:r>
          </w:p>
        </w:tc>
      </w:tr>
      <w:tr w:rsidR="00212C0B" w:rsidRPr="00B7590A" w:rsidTr="00B7590A">
        <w:trPr>
          <w:trHeight w:hRule="exact" w:val="290"/>
          <w:jc w:val="center"/>
        </w:trPr>
        <w:tc>
          <w:tcPr>
            <w:tcW w:w="1701" w:type="dxa"/>
            <w:tcBorders>
              <w:top w:val="single" w:sz="8" w:space="0" w:color="FFFFFF"/>
              <w:left w:val="single" w:sz="8" w:space="0" w:color="FFFFFF"/>
              <w:bottom w:val="single" w:sz="8" w:space="0" w:color="FFFFFF"/>
              <w:right w:val="nil"/>
            </w:tcBorders>
            <w:shd w:val="clear" w:color="auto" w:fill="6380C0"/>
            <w:hideMark/>
          </w:tcPr>
          <w:p w:rsidR="00212C0B" w:rsidRPr="00C63BBC" w:rsidRDefault="00212C0B" w:rsidP="004532F6">
            <w:pPr>
              <w:pStyle w:val="TableParagraph"/>
              <w:spacing w:before="42" w:line="360" w:lineRule="auto"/>
              <w:ind w:left="1" w:right="9"/>
              <w:rPr>
                <w:rFonts w:ascii="Calibri" w:eastAsia="Calibri" w:hAnsi="Calibri" w:cs="Calibri"/>
                <w:sz w:val="16"/>
                <w:szCs w:val="16"/>
                <w:lang w:val="pt-BR"/>
              </w:rPr>
            </w:pPr>
            <w:r w:rsidRPr="00C63BBC">
              <w:rPr>
                <w:rFonts w:ascii="Calibri" w:hAnsi="Calibri"/>
                <w:b/>
                <w:color w:val="231F20"/>
                <w:sz w:val="16"/>
                <w:lang w:val="pt-BR"/>
              </w:rPr>
              <w:t>ÓTIMA</w:t>
            </w:r>
          </w:p>
        </w:tc>
        <w:tc>
          <w:tcPr>
            <w:tcW w:w="1701" w:type="dxa"/>
            <w:tcBorders>
              <w:top w:val="single" w:sz="8" w:space="0" w:color="FFFFFF"/>
              <w:left w:val="nil"/>
              <w:bottom w:val="single" w:sz="8" w:space="0" w:color="FFFFFF"/>
              <w:right w:val="nil"/>
            </w:tcBorders>
            <w:shd w:val="clear" w:color="auto" w:fill="DFECF3"/>
            <w:hideMark/>
          </w:tcPr>
          <w:p w:rsidR="00212C0B" w:rsidRPr="00C63BBC" w:rsidRDefault="00212C0B" w:rsidP="00212C0B">
            <w:pPr>
              <w:pStyle w:val="TableParagraph"/>
              <w:spacing w:before="34" w:line="360" w:lineRule="auto"/>
              <w:ind w:left="563"/>
              <w:jc w:val="both"/>
              <w:rPr>
                <w:rFonts w:ascii="Calibri" w:eastAsia="Calibri" w:hAnsi="Calibri" w:cs="Calibri"/>
                <w:sz w:val="16"/>
                <w:szCs w:val="16"/>
                <w:lang w:val="pt-BR"/>
              </w:rPr>
            </w:pPr>
            <w:r w:rsidRPr="00C63BBC">
              <w:rPr>
                <w:rFonts w:ascii="Calibri" w:eastAsia="Calibri" w:hAnsi="Calibri" w:cs="Calibri"/>
                <w:color w:val="231F20"/>
                <w:sz w:val="16"/>
                <w:szCs w:val="16"/>
                <w:lang w:val="pt-BR"/>
              </w:rPr>
              <w:t>IVA</w:t>
            </w:r>
            <w:r w:rsidRPr="00C63BBC">
              <w:rPr>
                <w:rFonts w:ascii="Calibri" w:eastAsia="Calibri" w:hAnsi="Calibri" w:cs="Calibri"/>
                <w:color w:val="231F20"/>
                <w:spacing w:val="-9"/>
                <w:sz w:val="16"/>
                <w:szCs w:val="16"/>
                <w:lang w:val="pt-BR"/>
              </w:rPr>
              <w:t xml:space="preserve"> </w:t>
            </w:r>
            <w:r w:rsidRPr="00B7590A">
              <w:rPr>
                <w:rFonts w:ascii="Symbol" w:eastAsia="Symbol" w:hAnsi="Symbol" w:cs="Symbol"/>
                <w:color w:val="231F20"/>
                <w:sz w:val="16"/>
                <w:szCs w:val="16"/>
              </w:rPr>
              <w:t></w:t>
            </w:r>
            <w:r w:rsidRPr="00B7590A">
              <w:rPr>
                <w:rFonts w:ascii="Symbol" w:eastAsia="Symbol" w:hAnsi="Symbol" w:cs="Symbol"/>
                <w:color w:val="231F20"/>
                <w:spacing w:val="-13"/>
                <w:sz w:val="16"/>
                <w:szCs w:val="16"/>
              </w:rPr>
              <w:t></w:t>
            </w:r>
            <w:r w:rsidRPr="00C63BBC">
              <w:rPr>
                <w:rFonts w:ascii="Calibri" w:eastAsia="Calibri" w:hAnsi="Calibri" w:cs="Calibri"/>
                <w:color w:val="231F20"/>
                <w:sz w:val="16"/>
                <w:szCs w:val="16"/>
                <w:lang w:val="pt-BR"/>
              </w:rPr>
              <w:t>2,5</w:t>
            </w:r>
          </w:p>
        </w:tc>
      </w:tr>
      <w:tr w:rsidR="00212C0B" w:rsidRPr="00B7590A" w:rsidTr="00B7590A">
        <w:trPr>
          <w:trHeight w:hRule="exact" w:val="290"/>
          <w:jc w:val="center"/>
        </w:trPr>
        <w:tc>
          <w:tcPr>
            <w:tcW w:w="1701" w:type="dxa"/>
            <w:tcBorders>
              <w:top w:val="single" w:sz="8" w:space="0" w:color="FFFFFF"/>
              <w:left w:val="single" w:sz="8" w:space="0" w:color="FFFFFF"/>
              <w:bottom w:val="single" w:sz="8" w:space="0" w:color="FFFFFF"/>
              <w:right w:val="nil"/>
            </w:tcBorders>
            <w:shd w:val="clear" w:color="auto" w:fill="6BBE45"/>
            <w:hideMark/>
          </w:tcPr>
          <w:p w:rsidR="00212C0B" w:rsidRPr="00C63BBC" w:rsidRDefault="00212C0B" w:rsidP="004532F6">
            <w:pPr>
              <w:pStyle w:val="TableParagraph"/>
              <w:spacing w:before="42" w:line="360" w:lineRule="auto"/>
              <w:ind w:left="1" w:right="9"/>
              <w:rPr>
                <w:rFonts w:ascii="Calibri" w:eastAsia="Calibri" w:hAnsi="Calibri" w:cs="Calibri"/>
                <w:sz w:val="16"/>
                <w:szCs w:val="16"/>
                <w:lang w:val="pt-BR"/>
              </w:rPr>
            </w:pPr>
            <w:r w:rsidRPr="00C63BBC">
              <w:rPr>
                <w:rFonts w:ascii="Calibri"/>
                <w:b/>
                <w:color w:val="231F20"/>
                <w:sz w:val="16"/>
                <w:lang w:val="pt-BR"/>
              </w:rPr>
              <w:t>BOA</w:t>
            </w:r>
          </w:p>
        </w:tc>
        <w:tc>
          <w:tcPr>
            <w:tcW w:w="1701" w:type="dxa"/>
            <w:tcBorders>
              <w:top w:val="single" w:sz="8" w:space="0" w:color="FFFFFF"/>
              <w:left w:val="nil"/>
              <w:bottom w:val="single" w:sz="8" w:space="0" w:color="FFFFFF"/>
              <w:right w:val="nil"/>
            </w:tcBorders>
            <w:shd w:val="clear" w:color="auto" w:fill="C6DEEA"/>
            <w:hideMark/>
          </w:tcPr>
          <w:p w:rsidR="00212C0B" w:rsidRPr="00C63BBC" w:rsidRDefault="00212C0B" w:rsidP="00212C0B">
            <w:pPr>
              <w:pStyle w:val="TableParagraph"/>
              <w:spacing w:before="34" w:line="360" w:lineRule="auto"/>
              <w:ind w:left="385"/>
              <w:jc w:val="both"/>
              <w:rPr>
                <w:rFonts w:ascii="Calibri" w:eastAsia="Calibri" w:hAnsi="Calibri" w:cs="Calibri"/>
                <w:sz w:val="16"/>
                <w:szCs w:val="16"/>
                <w:lang w:val="pt-BR"/>
              </w:rPr>
            </w:pPr>
            <w:r w:rsidRPr="00C63BBC">
              <w:rPr>
                <w:rFonts w:ascii="Calibri" w:eastAsia="Calibri" w:hAnsi="Calibri" w:cs="Calibri"/>
                <w:color w:val="231F20"/>
                <w:sz w:val="16"/>
                <w:szCs w:val="16"/>
                <w:lang w:val="pt-BR"/>
              </w:rPr>
              <w:t>2,6</w:t>
            </w:r>
            <w:r w:rsidRPr="00C63BBC">
              <w:rPr>
                <w:rFonts w:ascii="Calibri" w:eastAsia="Calibri" w:hAnsi="Calibri" w:cs="Calibri"/>
                <w:color w:val="231F20"/>
                <w:spacing w:val="-7"/>
                <w:sz w:val="16"/>
                <w:szCs w:val="16"/>
                <w:lang w:val="pt-BR"/>
              </w:rPr>
              <w:t xml:space="preserve"> </w:t>
            </w:r>
            <w:r w:rsidRPr="00B7590A">
              <w:rPr>
                <w:rFonts w:ascii="Symbol" w:eastAsia="Symbol" w:hAnsi="Symbol" w:cs="Symbol"/>
                <w:color w:val="231F20"/>
                <w:sz w:val="16"/>
                <w:szCs w:val="16"/>
              </w:rPr>
              <w:t></w:t>
            </w:r>
            <w:r w:rsidRPr="00B7590A">
              <w:rPr>
                <w:rFonts w:ascii="Symbol" w:eastAsia="Symbol" w:hAnsi="Symbol" w:cs="Symbol"/>
                <w:color w:val="231F20"/>
                <w:spacing w:val="-10"/>
                <w:sz w:val="16"/>
                <w:szCs w:val="16"/>
              </w:rPr>
              <w:t></w:t>
            </w:r>
            <w:r w:rsidRPr="00C63BBC">
              <w:rPr>
                <w:rFonts w:ascii="Calibri" w:eastAsia="Calibri" w:hAnsi="Calibri" w:cs="Calibri"/>
                <w:color w:val="231F20"/>
                <w:sz w:val="16"/>
                <w:szCs w:val="16"/>
                <w:lang w:val="pt-BR"/>
              </w:rPr>
              <w:t>IVA</w:t>
            </w:r>
            <w:r w:rsidRPr="00C63BBC">
              <w:rPr>
                <w:rFonts w:ascii="Calibri" w:eastAsia="Calibri" w:hAnsi="Calibri" w:cs="Calibri"/>
                <w:color w:val="231F20"/>
                <w:spacing w:val="-6"/>
                <w:sz w:val="16"/>
                <w:szCs w:val="16"/>
                <w:lang w:val="pt-BR"/>
              </w:rPr>
              <w:t xml:space="preserve"> </w:t>
            </w:r>
            <w:r w:rsidRPr="00B7590A">
              <w:rPr>
                <w:rFonts w:ascii="Symbol" w:eastAsia="Symbol" w:hAnsi="Symbol" w:cs="Symbol"/>
                <w:color w:val="231F20"/>
                <w:sz w:val="16"/>
                <w:szCs w:val="16"/>
              </w:rPr>
              <w:t></w:t>
            </w:r>
            <w:r w:rsidRPr="00B7590A">
              <w:rPr>
                <w:rFonts w:ascii="Symbol" w:eastAsia="Symbol" w:hAnsi="Symbol" w:cs="Symbol"/>
                <w:color w:val="231F20"/>
                <w:spacing w:val="-11"/>
                <w:sz w:val="16"/>
                <w:szCs w:val="16"/>
              </w:rPr>
              <w:t></w:t>
            </w:r>
            <w:r w:rsidRPr="00C63BBC">
              <w:rPr>
                <w:rFonts w:ascii="Calibri" w:eastAsia="Calibri" w:hAnsi="Calibri" w:cs="Calibri"/>
                <w:color w:val="231F20"/>
                <w:sz w:val="16"/>
                <w:szCs w:val="16"/>
                <w:lang w:val="pt-BR"/>
              </w:rPr>
              <w:t>3,3</w:t>
            </w:r>
          </w:p>
        </w:tc>
      </w:tr>
      <w:tr w:rsidR="00212C0B" w:rsidRPr="00B7590A" w:rsidTr="00B7590A">
        <w:trPr>
          <w:trHeight w:hRule="exact" w:val="290"/>
          <w:jc w:val="center"/>
        </w:trPr>
        <w:tc>
          <w:tcPr>
            <w:tcW w:w="1701" w:type="dxa"/>
            <w:tcBorders>
              <w:top w:val="single" w:sz="8" w:space="0" w:color="FFFFFF"/>
              <w:left w:val="single" w:sz="8" w:space="0" w:color="FFFFFF"/>
              <w:bottom w:val="single" w:sz="8" w:space="0" w:color="FFFFFF"/>
              <w:right w:val="nil"/>
            </w:tcBorders>
            <w:shd w:val="clear" w:color="auto" w:fill="FBEA1E"/>
            <w:hideMark/>
          </w:tcPr>
          <w:p w:rsidR="00212C0B" w:rsidRPr="00C63BBC" w:rsidRDefault="00212C0B" w:rsidP="004532F6">
            <w:pPr>
              <w:pStyle w:val="TableParagraph"/>
              <w:spacing w:before="42" w:line="360" w:lineRule="auto"/>
              <w:rPr>
                <w:rFonts w:ascii="Calibri" w:eastAsia="Calibri" w:hAnsi="Calibri" w:cs="Calibri"/>
                <w:sz w:val="16"/>
                <w:szCs w:val="16"/>
                <w:lang w:val="pt-BR"/>
              </w:rPr>
            </w:pPr>
            <w:r w:rsidRPr="00C63BBC">
              <w:rPr>
                <w:rFonts w:ascii="Calibri"/>
                <w:b/>
                <w:color w:val="231F20"/>
                <w:sz w:val="16"/>
                <w:lang w:val="pt-BR"/>
              </w:rPr>
              <w:t>REGULAR</w:t>
            </w:r>
          </w:p>
        </w:tc>
        <w:tc>
          <w:tcPr>
            <w:tcW w:w="1701" w:type="dxa"/>
            <w:tcBorders>
              <w:top w:val="single" w:sz="8" w:space="0" w:color="FFFFFF"/>
              <w:left w:val="nil"/>
              <w:bottom w:val="single" w:sz="8" w:space="0" w:color="FFFFFF"/>
              <w:right w:val="nil"/>
            </w:tcBorders>
            <w:shd w:val="clear" w:color="auto" w:fill="DFECF3"/>
            <w:hideMark/>
          </w:tcPr>
          <w:p w:rsidR="00212C0B" w:rsidRPr="00C63BBC" w:rsidRDefault="00212C0B" w:rsidP="00212C0B">
            <w:pPr>
              <w:pStyle w:val="TableParagraph"/>
              <w:spacing w:before="34" w:line="360" w:lineRule="auto"/>
              <w:ind w:left="385"/>
              <w:jc w:val="both"/>
              <w:rPr>
                <w:rFonts w:ascii="Calibri" w:eastAsia="Calibri" w:hAnsi="Calibri" w:cs="Calibri"/>
                <w:sz w:val="16"/>
                <w:szCs w:val="16"/>
                <w:lang w:val="pt-BR"/>
              </w:rPr>
            </w:pPr>
            <w:r w:rsidRPr="00C63BBC">
              <w:rPr>
                <w:rFonts w:ascii="Calibri" w:eastAsia="Calibri" w:hAnsi="Calibri" w:cs="Calibri"/>
                <w:color w:val="231F20"/>
                <w:sz w:val="16"/>
                <w:szCs w:val="16"/>
                <w:lang w:val="pt-BR"/>
              </w:rPr>
              <w:t>3,4</w:t>
            </w:r>
            <w:r w:rsidRPr="00C63BBC">
              <w:rPr>
                <w:rFonts w:ascii="Calibri" w:eastAsia="Calibri" w:hAnsi="Calibri" w:cs="Calibri"/>
                <w:color w:val="231F20"/>
                <w:spacing w:val="-7"/>
                <w:sz w:val="16"/>
                <w:szCs w:val="16"/>
                <w:lang w:val="pt-BR"/>
              </w:rPr>
              <w:t xml:space="preserve"> </w:t>
            </w:r>
            <w:r w:rsidRPr="00B7590A">
              <w:rPr>
                <w:rFonts w:ascii="Symbol" w:eastAsia="Symbol" w:hAnsi="Symbol" w:cs="Symbol"/>
                <w:color w:val="231F20"/>
                <w:sz w:val="16"/>
                <w:szCs w:val="16"/>
              </w:rPr>
              <w:t></w:t>
            </w:r>
            <w:r w:rsidRPr="00B7590A">
              <w:rPr>
                <w:rFonts w:ascii="Symbol" w:eastAsia="Symbol" w:hAnsi="Symbol" w:cs="Symbol"/>
                <w:color w:val="231F20"/>
                <w:spacing w:val="-10"/>
                <w:sz w:val="16"/>
                <w:szCs w:val="16"/>
              </w:rPr>
              <w:t></w:t>
            </w:r>
            <w:r w:rsidRPr="00C63BBC">
              <w:rPr>
                <w:rFonts w:ascii="Calibri" w:eastAsia="Calibri" w:hAnsi="Calibri" w:cs="Calibri"/>
                <w:color w:val="231F20"/>
                <w:sz w:val="16"/>
                <w:szCs w:val="16"/>
                <w:lang w:val="pt-BR"/>
              </w:rPr>
              <w:t>IVA</w:t>
            </w:r>
            <w:r w:rsidRPr="00C63BBC">
              <w:rPr>
                <w:rFonts w:ascii="Calibri" w:eastAsia="Calibri" w:hAnsi="Calibri" w:cs="Calibri"/>
                <w:color w:val="231F20"/>
                <w:spacing w:val="-6"/>
                <w:sz w:val="16"/>
                <w:szCs w:val="16"/>
                <w:lang w:val="pt-BR"/>
              </w:rPr>
              <w:t xml:space="preserve"> </w:t>
            </w:r>
            <w:r w:rsidRPr="00B7590A">
              <w:rPr>
                <w:rFonts w:ascii="Symbol" w:eastAsia="Symbol" w:hAnsi="Symbol" w:cs="Symbol"/>
                <w:color w:val="231F20"/>
                <w:sz w:val="16"/>
                <w:szCs w:val="16"/>
              </w:rPr>
              <w:t></w:t>
            </w:r>
            <w:r w:rsidRPr="00B7590A">
              <w:rPr>
                <w:rFonts w:ascii="Symbol" w:eastAsia="Symbol" w:hAnsi="Symbol" w:cs="Symbol"/>
                <w:color w:val="231F20"/>
                <w:spacing w:val="-11"/>
                <w:sz w:val="16"/>
                <w:szCs w:val="16"/>
              </w:rPr>
              <w:t></w:t>
            </w:r>
            <w:r w:rsidRPr="00C63BBC">
              <w:rPr>
                <w:rFonts w:ascii="Calibri" w:eastAsia="Calibri" w:hAnsi="Calibri" w:cs="Calibri"/>
                <w:color w:val="231F20"/>
                <w:sz w:val="16"/>
                <w:szCs w:val="16"/>
                <w:lang w:val="pt-BR"/>
              </w:rPr>
              <w:t>4,5</w:t>
            </w:r>
          </w:p>
        </w:tc>
      </w:tr>
      <w:tr w:rsidR="00212C0B" w:rsidRPr="00B7590A" w:rsidTr="00B7590A">
        <w:trPr>
          <w:trHeight w:hRule="exact" w:val="290"/>
          <w:jc w:val="center"/>
        </w:trPr>
        <w:tc>
          <w:tcPr>
            <w:tcW w:w="1701" w:type="dxa"/>
            <w:tcBorders>
              <w:top w:val="single" w:sz="8" w:space="0" w:color="FFFFFF"/>
              <w:left w:val="single" w:sz="8" w:space="0" w:color="FFFFFF"/>
              <w:bottom w:val="single" w:sz="8" w:space="0" w:color="FFFFFF"/>
              <w:right w:val="nil"/>
            </w:tcBorders>
            <w:shd w:val="clear" w:color="auto" w:fill="EB2627"/>
            <w:hideMark/>
          </w:tcPr>
          <w:p w:rsidR="00212C0B" w:rsidRPr="00C63BBC" w:rsidRDefault="00212C0B" w:rsidP="004532F6">
            <w:pPr>
              <w:pStyle w:val="TableParagraph"/>
              <w:spacing w:before="42" w:line="360" w:lineRule="auto"/>
              <w:ind w:left="1" w:right="9"/>
              <w:rPr>
                <w:rFonts w:ascii="Calibri" w:eastAsia="Calibri" w:hAnsi="Calibri" w:cs="Calibri"/>
                <w:sz w:val="16"/>
                <w:szCs w:val="16"/>
                <w:lang w:val="pt-BR"/>
              </w:rPr>
            </w:pPr>
            <w:r w:rsidRPr="00C63BBC">
              <w:rPr>
                <w:rFonts w:ascii="Calibri"/>
                <w:b/>
                <w:color w:val="231F20"/>
                <w:sz w:val="16"/>
                <w:lang w:val="pt-BR"/>
              </w:rPr>
              <w:t>RUIM</w:t>
            </w:r>
          </w:p>
        </w:tc>
        <w:tc>
          <w:tcPr>
            <w:tcW w:w="1701" w:type="dxa"/>
            <w:tcBorders>
              <w:top w:val="single" w:sz="8" w:space="0" w:color="FFFFFF"/>
              <w:left w:val="nil"/>
              <w:bottom w:val="single" w:sz="8" w:space="0" w:color="FFFFFF"/>
              <w:right w:val="nil"/>
            </w:tcBorders>
            <w:shd w:val="clear" w:color="auto" w:fill="C6DEEA"/>
            <w:hideMark/>
          </w:tcPr>
          <w:p w:rsidR="00212C0B" w:rsidRPr="00C63BBC" w:rsidRDefault="00212C0B" w:rsidP="00212C0B">
            <w:pPr>
              <w:pStyle w:val="TableParagraph"/>
              <w:spacing w:before="34" w:line="360" w:lineRule="auto"/>
              <w:ind w:left="385"/>
              <w:jc w:val="both"/>
              <w:rPr>
                <w:rFonts w:ascii="Calibri" w:eastAsia="Calibri" w:hAnsi="Calibri" w:cs="Calibri"/>
                <w:sz w:val="16"/>
                <w:szCs w:val="16"/>
                <w:lang w:val="pt-BR"/>
              </w:rPr>
            </w:pPr>
            <w:r w:rsidRPr="00C63BBC">
              <w:rPr>
                <w:rFonts w:ascii="Calibri" w:eastAsia="Calibri" w:hAnsi="Calibri" w:cs="Calibri"/>
                <w:color w:val="231F20"/>
                <w:sz w:val="16"/>
                <w:szCs w:val="16"/>
                <w:lang w:val="pt-BR"/>
              </w:rPr>
              <w:t>4,6</w:t>
            </w:r>
            <w:r w:rsidRPr="00C63BBC">
              <w:rPr>
                <w:rFonts w:ascii="Calibri" w:eastAsia="Calibri" w:hAnsi="Calibri" w:cs="Calibri"/>
                <w:color w:val="231F20"/>
                <w:spacing w:val="-7"/>
                <w:sz w:val="16"/>
                <w:szCs w:val="16"/>
                <w:lang w:val="pt-BR"/>
              </w:rPr>
              <w:t xml:space="preserve"> </w:t>
            </w:r>
            <w:r w:rsidRPr="00B7590A">
              <w:rPr>
                <w:rFonts w:ascii="Symbol" w:eastAsia="Symbol" w:hAnsi="Symbol" w:cs="Symbol"/>
                <w:color w:val="231F20"/>
                <w:sz w:val="16"/>
                <w:szCs w:val="16"/>
              </w:rPr>
              <w:t></w:t>
            </w:r>
            <w:r w:rsidRPr="00B7590A">
              <w:rPr>
                <w:rFonts w:ascii="Symbol" w:eastAsia="Symbol" w:hAnsi="Symbol" w:cs="Symbol"/>
                <w:color w:val="231F20"/>
                <w:spacing w:val="-10"/>
                <w:sz w:val="16"/>
                <w:szCs w:val="16"/>
              </w:rPr>
              <w:t></w:t>
            </w:r>
            <w:r w:rsidRPr="00C63BBC">
              <w:rPr>
                <w:rFonts w:ascii="Calibri" w:eastAsia="Calibri" w:hAnsi="Calibri" w:cs="Calibri"/>
                <w:color w:val="231F20"/>
                <w:sz w:val="16"/>
                <w:szCs w:val="16"/>
                <w:lang w:val="pt-BR"/>
              </w:rPr>
              <w:t>IVA</w:t>
            </w:r>
            <w:r w:rsidRPr="00C63BBC">
              <w:rPr>
                <w:rFonts w:ascii="Calibri" w:eastAsia="Calibri" w:hAnsi="Calibri" w:cs="Calibri"/>
                <w:color w:val="231F20"/>
                <w:spacing w:val="-6"/>
                <w:sz w:val="16"/>
                <w:szCs w:val="16"/>
                <w:lang w:val="pt-BR"/>
              </w:rPr>
              <w:t xml:space="preserve"> </w:t>
            </w:r>
            <w:r w:rsidRPr="00B7590A">
              <w:rPr>
                <w:rFonts w:ascii="Symbol" w:eastAsia="Symbol" w:hAnsi="Symbol" w:cs="Symbol"/>
                <w:color w:val="231F20"/>
                <w:sz w:val="16"/>
                <w:szCs w:val="16"/>
              </w:rPr>
              <w:t></w:t>
            </w:r>
            <w:r w:rsidRPr="00B7590A">
              <w:rPr>
                <w:rFonts w:ascii="Symbol" w:eastAsia="Symbol" w:hAnsi="Symbol" w:cs="Symbol"/>
                <w:color w:val="231F20"/>
                <w:spacing w:val="-11"/>
                <w:sz w:val="16"/>
                <w:szCs w:val="16"/>
              </w:rPr>
              <w:t></w:t>
            </w:r>
            <w:r w:rsidRPr="00C63BBC">
              <w:rPr>
                <w:rFonts w:ascii="Calibri" w:eastAsia="Calibri" w:hAnsi="Calibri" w:cs="Calibri"/>
                <w:color w:val="231F20"/>
                <w:sz w:val="16"/>
                <w:szCs w:val="16"/>
                <w:lang w:val="pt-BR"/>
              </w:rPr>
              <w:t>6,7</w:t>
            </w:r>
          </w:p>
        </w:tc>
      </w:tr>
      <w:tr w:rsidR="00212C0B" w:rsidRPr="00B7590A" w:rsidTr="00B7590A">
        <w:trPr>
          <w:trHeight w:hRule="exact" w:val="290"/>
          <w:jc w:val="center"/>
        </w:trPr>
        <w:tc>
          <w:tcPr>
            <w:tcW w:w="1701" w:type="dxa"/>
            <w:tcBorders>
              <w:top w:val="single" w:sz="8" w:space="0" w:color="FFFFFF"/>
              <w:left w:val="single" w:sz="8" w:space="0" w:color="FFFFFF"/>
              <w:bottom w:val="single" w:sz="8" w:space="0" w:color="FFFFFF"/>
              <w:right w:val="nil"/>
            </w:tcBorders>
            <w:shd w:val="clear" w:color="auto" w:fill="B695C5"/>
            <w:hideMark/>
          </w:tcPr>
          <w:p w:rsidR="00212C0B" w:rsidRPr="00C63BBC" w:rsidRDefault="00212C0B" w:rsidP="004532F6">
            <w:pPr>
              <w:pStyle w:val="TableParagraph"/>
              <w:spacing w:before="42" w:line="360" w:lineRule="auto"/>
              <w:ind w:left="1"/>
              <w:rPr>
                <w:rFonts w:ascii="Calibri" w:eastAsia="Calibri" w:hAnsi="Calibri" w:cs="Calibri"/>
                <w:sz w:val="16"/>
                <w:szCs w:val="16"/>
                <w:lang w:val="pt-BR"/>
              </w:rPr>
            </w:pPr>
            <w:r w:rsidRPr="00C63BBC">
              <w:rPr>
                <w:rFonts w:ascii="Calibri" w:hAnsi="Calibri"/>
                <w:b/>
                <w:color w:val="231F20"/>
                <w:sz w:val="16"/>
                <w:lang w:val="pt-BR"/>
              </w:rPr>
              <w:t>PÉSSIMA</w:t>
            </w:r>
          </w:p>
        </w:tc>
        <w:tc>
          <w:tcPr>
            <w:tcW w:w="1701" w:type="dxa"/>
            <w:tcBorders>
              <w:top w:val="single" w:sz="8" w:space="0" w:color="FFFFFF"/>
              <w:left w:val="nil"/>
              <w:bottom w:val="single" w:sz="8" w:space="0" w:color="FFFFFF"/>
              <w:right w:val="nil"/>
            </w:tcBorders>
            <w:shd w:val="clear" w:color="auto" w:fill="DFECF3"/>
            <w:hideMark/>
          </w:tcPr>
          <w:p w:rsidR="00212C0B" w:rsidRPr="00C63BBC" w:rsidRDefault="00212C0B" w:rsidP="00212C0B">
            <w:pPr>
              <w:pStyle w:val="TableParagraph"/>
              <w:spacing w:before="34" w:line="360" w:lineRule="auto"/>
              <w:ind w:left="563"/>
              <w:jc w:val="both"/>
              <w:rPr>
                <w:rFonts w:ascii="Calibri" w:eastAsia="Calibri" w:hAnsi="Calibri" w:cs="Calibri"/>
                <w:sz w:val="16"/>
                <w:szCs w:val="16"/>
                <w:lang w:val="pt-BR"/>
              </w:rPr>
            </w:pPr>
            <w:r w:rsidRPr="00C63BBC">
              <w:rPr>
                <w:rFonts w:ascii="Calibri" w:eastAsia="Calibri" w:hAnsi="Calibri" w:cs="Calibri"/>
                <w:color w:val="231F20"/>
                <w:sz w:val="16"/>
                <w:szCs w:val="16"/>
                <w:lang w:val="pt-BR"/>
              </w:rPr>
              <w:t>6,8</w:t>
            </w:r>
            <w:r w:rsidRPr="00C63BBC">
              <w:rPr>
                <w:rFonts w:ascii="Calibri" w:eastAsia="Calibri" w:hAnsi="Calibri" w:cs="Calibri"/>
                <w:color w:val="231F20"/>
                <w:spacing w:val="-9"/>
                <w:sz w:val="16"/>
                <w:szCs w:val="16"/>
                <w:lang w:val="pt-BR"/>
              </w:rPr>
              <w:t xml:space="preserve"> </w:t>
            </w:r>
            <w:r w:rsidRPr="00B7590A">
              <w:rPr>
                <w:rFonts w:ascii="Symbol" w:eastAsia="Symbol" w:hAnsi="Symbol" w:cs="Symbol"/>
                <w:color w:val="231F20"/>
                <w:sz w:val="16"/>
                <w:szCs w:val="16"/>
              </w:rPr>
              <w:t></w:t>
            </w:r>
            <w:r w:rsidRPr="00B7590A">
              <w:rPr>
                <w:rFonts w:ascii="Symbol" w:eastAsia="Symbol" w:hAnsi="Symbol" w:cs="Symbol"/>
                <w:color w:val="231F20"/>
                <w:spacing w:val="-13"/>
                <w:sz w:val="16"/>
                <w:szCs w:val="16"/>
              </w:rPr>
              <w:t></w:t>
            </w:r>
            <w:r w:rsidRPr="00C63BBC">
              <w:rPr>
                <w:rFonts w:ascii="Calibri" w:eastAsia="Calibri" w:hAnsi="Calibri" w:cs="Calibri"/>
                <w:color w:val="231F20"/>
                <w:sz w:val="16"/>
                <w:szCs w:val="16"/>
                <w:lang w:val="pt-BR"/>
              </w:rPr>
              <w:t>IVA</w:t>
            </w:r>
          </w:p>
        </w:tc>
      </w:tr>
    </w:tbl>
    <w:p w:rsidR="00212C0B" w:rsidRPr="004532F6" w:rsidRDefault="00212C0B" w:rsidP="004532F6">
      <w:pPr>
        <w:jc w:val="center"/>
        <w:rPr>
          <w:sz w:val="16"/>
          <w:szCs w:val="16"/>
        </w:rPr>
      </w:pPr>
      <w:r w:rsidRPr="004532F6">
        <w:rPr>
          <w:sz w:val="16"/>
          <w:szCs w:val="16"/>
        </w:rPr>
        <w:t>Fonte: CETESB (2014)</w:t>
      </w:r>
    </w:p>
    <w:p w:rsidR="00212C0B" w:rsidRPr="00131F0B" w:rsidRDefault="00212C0B" w:rsidP="004532F6">
      <w:r w:rsidRPr="00131F0B">
        <w:t>O ICF – Índice da Comunidade Fitoplanctônica</w:t>
      </w:r>
      <w:r>
        <w:t xml:space="preserve"> </w:t>
      </w:r>
      <w:r>
        <w:rPr>
          <w:spacing w:val="-3"/>
        </w:rPr>
        <w:t>(CETESB, 2014)</w:t>
      </w:r>
      <w:r w:rsidRPr="00131F0B">
        <w:t xml:space="preserve"> utiliza</w:t>
      </w:r>
      <w:r w:rsidRPr="00131F0B">
        <w:rPr>
          <w:spacing w:val="-21"/>
        </w:rPr>
        <w:t xml:space="preserve"> </w:t>
      </w:r>
      <w:r w:rsidRPr="00131F0B">
        <w:t>a</w:t>
      </w:r>
      <w:r w:rsidRPr="00131F0B">
        <w:rPr>
          <w:spacing w:val="-21"/>
        </w:rPr>
        <w:t xml:space="preserve"> </w:t>
      </w:r>
      <w:r w:rsidRPr="00131F0B">
        <w:t>dominância</w:t>
      </w:r>
      <w:r w:rsidRPr="00131F0B">
        <w:rPr>
          <w:spacing w:val="-21"/>
        </w:rPr>
        <w:t xml:space="preserve"> </w:t>
      </w:r>
      <w:r w:rsidRPr="00131F0B">
        <w:t>dos</w:t>
      </w:r>
      <w:r w:rsidRPr="00131F0B">
        <w:rPr>
          <w:spacing w:val="-21"/>
        </w:rPr>
        <w:t xml:space="preserve"> </w:t>
      </w:r>
      <w:r w:rsidRPr="00131F0B">
        <w:t>grandes</w:t>
      </w:r>
      <w:r w:rsidRPr="00131F0B">
        <w:rPr>
          <w:spacing w:val="-21"/>
        </w:rPr>
        <w:t xml:space="preserve"> </w:t>
      </w:r>
      <w:r w:rsidRPr="00131F0B">
        <w:t>grupos</w:t>
      </w:r>
      <w:r w:rsidRPr="00131F0B">
        <w:rPr>
          <w:spacing w:val="-22"/>
        </w:rPr>
        <w:t xml:space="preserve"> </w:t>
      </w:r>
      <w:r w:rsidRPr="00131F0B">
        <w:t>que</w:t>
      </w:r>
      <w:r w:rsidRPr="00131F0B">
        <w:rPr>
          <w:spacing w:val="-21"/>
        </w:rPr>
        <w:t xml:space="preserve"> </w:t>
      </w:r>
      <w:r w:rsidRPr="00131F0B">
        <w:t>compõem</w:t>
      </w:r>
      <w:r w:rsidRPr="00131F0B">
        <w:rPr>
          <w:spacing w:val="-21"/>
        </w:rPr>
        <w:t xml:space="preserve"> </w:t>
      </w:r>
      <w:r w:rsidRPr="00131F0B">
        <w:t>o</w:t>
      </w:r>
      <w:r w:rsidRPr="00131F0B">
        <w:rPr>
          <w:spacing w:val="-21"/>
        </w:rPr>
        <w:t xml:space="preserve"> </w:t>
      </w:r>
      <w:r w:rsidRPr="00131F0B">
        <w:t>fitoplâncton,</w:t>
      </w:r>
      <w:r w:rsidRPr="00131F0B">
        <w:rPr>
          <w:spacing w:val="-21"/>
        </w:rPr>
        <w:t xml:space="preserve"> </w:t>
      </w:r>
      <w:r w:rsidRPr="00131F0B">
        <w:t>a</w:t>
      </w:r>
      <w:r w:rsidRPr="00131F0B">
        <w:rPr>
          <w:spacing w:val="-21"/>
        </w:rPr>
        <w:t xml:space="preserve"> </w:t>
      </w:r>
      <w:r w:rsidRPr="00131F0B">
        <w:t>densidade</w:t>
      </w:r>
      <w:r w:rsidRPr="00131F0B">
        <w:rPr>
          <w:spacing w:val="-21"/>
        </w:rPr>
        <w:t xml:space="preserve"> </w:t>
      </w:r>
      <w:r w:rsidRPr="00131F0B">
        <w:t>dos organismos</w:t>
      </w:r>
      <w:r w:rsidRPr="00131F0B">
        <w:rPr>
          <w:spacing w:val="-17"/>
        </w:rPr>
        <w:t xml:space="preserve"> </w:t>
      </w:r>
      <w:r w:rsidRPr="00131F0B">
        <w:t>e</w:t>
      </w:r>
      <w:r w:rsidRPr="00131F0B">
        <w:rPr>
          <w:spacing w:val="-17"/>
        </w:rPr>
        <w:t xml:space="preserve"> </w:t>
      </w:r>
      <w:r w:rsidRPr="00131F0B">
        <w:t>o</w:t>
      </w:r>
      <w:r w:rsidRPr="00131F0B">
        <w:rPr>
          <w:spacing w:val="-16"/>
        </w:rPr>
        <w:t xml:space="preserve"> </w:t>
      </w:r>
      <w:r w:rsidRPr="00131F0B">
        <w:t>Índice</w:t>
      </w:r>
      <w:r w:rsidRPr="00131F0B">
        <w:rPr>
          <w:spacing w:val="-17"/>
        </w:rPr>
        <w:t xml:space="preserve"> </w:t>
      </w:r>
      <w:r w:rsidRPr="00131F0B">
        <w:t>de</w:t>
      </w:r>
      <w:r w:rsidRPr="00131F0B">
        <w:rPr>
          <w:spacing w:val="-16"/>
        </w:rPr>
        <w:t xml:space="preserve"> </w:t>
      </w:r>
      <w:r w:rsidRPr="00131F0B">
        <w:t>Estado</w:t>
      </w:r>
      <w:r w:rsidRPr="00131F0B">
        <w:rPr>
          <w:spacing w:val="-17"/>
        </w:rPr>
        <w:t xml:space="preserve"> </w:t>
      </w:r>
      <w:r w:rsidRPr="00131F0B">
        <w:t>Trófico</w:t>
      </w:r>
      <w:r w:rsidRPr="00131F0B">
        <w:rPr>
          <w:spacing w:val="-16"/>
        </w:rPr>
        <w:t xml:space="preserve"> </w:t>
      </w:r>
      <w:r w:rsidRPr="00131F0B">
        <w:t>(IET),</w:t>
      </w:r>
      <w:r w:rsidRPr="00131F0B">
        <w:rPr>
          <w:spacing w:val="-17"/>
        </w:rPr>
        <w:t xml:space="preserve"> </w:t>
      </w:r>
      <w:r w:rsidRPr="00131F0B">
        <w:t>visando</w:t>
      </w:r>
      <w:r w:rsidRPr="00131F0B">
        <w:rPr>
          <w:spacing w:val="-16"/>
        </w:rPr>
        <w:t xml:space="preserve"> </w:t>
      </w:r>
      <w:r w:rsidRPr="00131F0B">
        <w:t>separar</w:t>
      </w:r>
      <w:r w:rsidRPr="00131F0B">
        <w:rPr>
          <w:spacing w:val="-17"/>
        </w:rPr>
        <w:t xml:space="preserve"> </w:t>
      </w:r>
      <w:r w:rsidRPr="00131F0B">
        <w:t>em</w:t>
      </w:r>
      <w:r w:rsidRPr="00131F0B">
        <w:rPr>
          <w:spacing w:val="-17"/>
        </w:rPr>
        <w:t xml:space="preserve"> </w:t>
      </w:r>
      <w:r w:rsidRPr="00131F0B">
        <w:t>categorias</w:t>
      </w:r>
      <w:r w:rsidRPr="00131F0B">
        <w:rPr>
          <w:spacing w:val="-16"/>
        </w:rPr>
        <w:t xml:space="preserve"> </w:t>
      </w:r>
      <w:r w:rsidRPr="00131F0B">
        <w:t>a</w:t>
      </w:r>
      <w:r w:rsidRPr="00131F0B">
        <w:rPr>
          <w:spacing w:val="-17"/>
        </w:rPr>
        <w:t xml:space="preserve"> </w:t>
      </w:r>
      <w:r w:rsidRPr="00131F0B">
        <w:t>qualidade</w:t>
      </w:r>
      <w:r w:rsidRPr="00131F0B">
        <w:rPr>
          <w:spacing w:val="-16"/>
        </w:rPr>
        <w:t xml:space="preserve"> </w:t>
      </w:r>
      <w:r w:rsidRPr="00131F0B">
        <w:t>da</w:t>
      </w:r>
      <w:r w:rsidRPr="00131F0B">
        <w:rPr>
          <w:spacing w:val="-17"/>
        </w:rPr>
        <w:t xml:space="preserve"> </w:t>
      </w:r>
      <w:r w:rsidRPr="00131F0B">
        <w:t>água.</w:t>
      </w:r>
      <w:r w:rsidRPr="00131F0B">
        <w:rPr>
          <w:spacing w:val="-16"/>
        </w:rPr>
        <w:t xml:space="preserve"> </w:t>
      </w:r>
      <w:r w:rsidRPr="00131F0B">
        <w:t>Com</w:t>
      </w:r>
      <w:r w:rsidRPr="00131F0B">
        <w:rPr>
          <w:spacing w:val="-17"/>
        </w:rPr>
        <w:t xml:space="preserve"> </w:t>
      </w:r>
      <w:r w:rsidRPr="00131F0B">
        <w:t>a alteração</w:t>
      </w:r>
      <w:r w:rsidRPr="00131F0B">
        <w:rPr>
          <w:spacing w:val="-3"/>
        </w:rPr>
        <w:t xml:space="preserve"> </w:t>
      </w:r>
      <w:r w:rsidRPr="00131F0B">
        <w:t>do</w:t>
      </w:r>
      <w:r w:rsidRPr="00131F0B">
        <w:rPr>
          <w:spacing w:val="-3"/>
        </w:rPr>
        <w:t xml:space="preserve"> </w:t>
      </w:r>
      <w:r w:rsidRPr="00131F0B">
        <w:t>IET,</w:t>
      </w:r>
      <w:r w:rsidRPr="00131F0B">
        <w:rPr>
          <w:spacing w:val="-3"/>
        </w:rPr>
        <w:t xml:space="preserve"> </w:t>
      </w:r>
      <w:r w:rsidRPr="00131F0B">
        <w:t>em</w:t>
      </w:r>
      <w:r w:rsidRPr="00131F0B">
        <w:rPr>
          <w:spacing w:val="-2"/>
        </w:rPr>
        <w:t xml:space="preserve"> </w:t>
      </w:r>
      <w:r w:rsidRPr="00131F0B">
        <w:t>2005,</w:t>
      </w:r>
      <w:r w:rsidRPr="00131F0B">
        <w:rPr>
          <w:spacing w:val="-3"/>
        </w:rPr>
        <w:t xml:space="preserve"> </w:t>
      </w:r>
      <w:r w:rsidRPr="00131F0B">
        <w:t>foi</w:t>
      </w:r>
      <w:r w:rsidRPr="00131F0B">
        <w:rPr>
          <w:spacing w:val="-3"/>
        </w:rPr>
        <w:t xml:space="preserve"> </w:t>
      </w:r>
      <w:r w:rsidRPr="00131F0B">
        <w:t>estabelecida</w:t>
      </w:r>
      <w:r w:rsidRPr="00131F0B">
        <w:rPr>
          <w:spacing w:val="-3"/>
        </w:rPr>
        <w:t xml:space="preserve"> </w:t>
      </w:r>
      <w:r w:rsidRPr="00131F0B">
        <w:t>uma</w:t>
      </w:r>
      <w:r w:rsidRPr="00131F0B">
        <w:rPr>
          <w:spacing w:val="-2"/>
        </w:rPr>
        <w:t xml:space="preserve"> </w:t>
      </w:r>
      <w:r w:rsidRPr="00131F0B">
        <w:t>nova</w:t>
      </w:r>
      <w:r w:rsidRPr="00131F0B">
        <w:rPr>
          <w:spacing w:val="-3"/>
        </w:rPr>
        <w:t xml:space="preserve"> </w:t>
      </w:r>
      <w:r w:rsidRPr="00131F0B">
        <w:t>ponderação</w:t>
      </w:r>
      <w:r w:rsidRPr="00131F0B">
        <w:rPr>
          <w:spacing w:val="-3"/>
        </w:rPr>
        <w:t xml:space="preserve"> </w:t>
      </w:r>
      <w:r w:rsidRPr="00131F0B">
        <w:t>dessa</w:t>
      </w:r>
      <w:r w:rsidRPr="00131F0B">
        <w:rPr>
          <w:spacing w:val="-2"/>
        </w:rPr>
        <w:t xml:space="preserve"> </w:t>
      </w:r>
      <w:r w:rsidRPr="00131F0B">
        <w:t>variável,</w:t>
      </w:r>
      <w:r w:rsidRPr="00131F0B">
        <w:rPr>
          <w:spacing w:val="-3"/>
        </w:rPr>
        <w:t xml:space="preserve"> </w:t>
      </w:r>
      <w:r w:rsidRPr="00131F0B">
        <w:t>válida</w:t>
      </w:r>
      <w:r w:rsidRPr="00131F0B">
        <w:rPr>
          <w:spacing w:val="-3"/>
        </w:rPr>
        <w:t xml:space="preserve"> </w:t>
      </w:r>
      <w:r w:rsidRPr="00131F0B">
        <w:t>tanto</w:t>
      </w:r>
      <w:r w:rsidRPr="00131F0B">
        <w:rPr>
          <w:spacing w:val="-3"/>
        </w:rPr>
        <w:t xml:space="preserve"> </w:t>
      </w:r>
      <w:r w:rsidRPr="00131F0B">
        <w:t>para</w:t>
      </w:r>
      <w:r w:rsidRPr="00131F0B">
        <w:rPr>
          <w:spacing w:val="-2"/>
        </w:rPr>
        <w:t xml:space="preserve"> </w:t>
      </w:r>
      <w:r w:rsidRPr="00131F0B">
        <w:t>o</w:t>
      </w:r>
      <w:r w:rsidRPr="00131F0B">
        <w:rPr>
          <w:spacing w:val="-3"/>
        </w:rPr>
        <w:t xml:space="preserve"> </w:t>
      </w:r>
      <w:r w:rsidRPr="00131F0B">
        <w:t>índice para</w:t>
      </w:r>
      <w:r w:rsidRPr="00131F0B">
        <w:rPr>
          <w:spacing w:val="-14"/>
        </w:rPr>
        <w:t xml:space="preserve"> </w:t>
      </w:r>
      <w:r w:rsidRPr="00131F0B">
        <w:t>rios</w:t>
      </w:r>
      <w:r w:rsidRPr="00131F0B">
        <w:rPr>
          <w:spacing w:val="-13"/>
        </w:rPr>
        <w:t xml:space="preserve"> </w:t>
      </w:r>
      <w:r w:rsidRPr="00131F0B">
        <w:rPr>
          <w:spacing w:val="-1"/>
        </w:rPr>
        <w:t>(ICF</w:t>
      </w:r>
      <w:r w:rsidRPr="009D54F6">
        <w:rPr>
          <w:spacing w:val="-2"/>
          <w:position w:val="-2"/>
          <w:vertAlign w:val="subscript"/>
        </w:rPr>
        <w:t>RIO</w:t>
      </w:r>
      <w:r w:rsidRPr="00131F0B">
        <w:rPr>
          <w:spacing w:val="-2"/>
        </w:rPr>
        <w:t>)</w:t>
      </w:r>
      <w:r w:rsidRPr="00131F0B">
        <w:rPr>
          <w:spacing w:val="-13"/>
        </w:rPr>
        <w:t xml:space="preserve"> </w:t>
      </w:r>
      <w:r w:rsidRPr="00131F0B">
        <w:t>quanto</w:t>
      </w:r>
      <w:r w:rsidRPr="00131F0B">
        <w:rPr>
          <w:spacing w:val="-14"/>
        </w:rPr>
        <w:t xml:space="preserve"> </w:t>
      </w:r>
      <w:r w:rsidRPr="00131F0B">
        <w:t>para</w:t>
      </w:r>
      <w:r w:rsidRPr="00131F0B">
        <w:rPr>
          <w:spacing w:val="-13"/>
        </w:rPr>
        <w:t xml:space="preserve"> </w:t>
      </w:r>
      <w:r w:rsidRPr="00131F0B">
        <w:t>reservatórios</w:t>
      </w:r>
      <w:r w:rsidRPr="00131F0B">
        <w:rPr>
          <w:spacing w:val="-13"/>
        </w:rPr>
        <w:t xml:space="preserve"> </w:t>
      </w:r>
      <w:r w:rsidRPr="00131F0B">
        <w:rPr>
          <w:spacing w:val="-1"/>
        </w:rPr>
        <w:t>(ICF</w:t>
      </w:r>
      <w:r w:rsidRPr="009D54F6">
        <w:rPr>
          <w:spacing w:val="-1"/>
          <w:position w:val="-2"/>
          <w:vertAlign w:val="subscript"/>
        </w:rPr>
        <w:t>RES</w:t>
      </w:r>
      <w:r w:rsidRPr="00131F0B">
        <w:rPr>
          <w:spacing w:val="-1"/>
        </w:rPr>
        <w:t>),</w:t>
      </w:r>
      <w:r w:rsidRPr="00131F0B">
        <w:rPr>
          <w:spacing w:val="-13"/>
        </w:rPr>
        <w:t xml:space="preserve"> </w:t>
      </w:r>
      <w:r w:rsidRPr="00131F0B">
        <w:t>conforme</w:t>
      </w:r>
      <w:r w:rsidRPr="00131F0B">
        <w:rPr>
          <w:spacing w:val="-14"/>
        </w:rPr>
        <w:t xml:space="preserve"> </w:t>
      </w:r>
      <w:r w:rsidRPr="00131F0B">
        <w:t>mostra</w:t>
      </w:r>
      <w:r w:rsidRPr="00131F0B">
        <w:rPr>
          <w:spacing w:val="-13"/>
        </w:rPr>
        <w:t xml:space="preserve"> </w:t>
      </w:r>
      <w:r w:rsidRPr="00131F0B">
        <w:t>a</w:t>
      </w:r>
      <w:r w:rsidRPr="00131F0B">
        <w:rPr>
          <w:spacing w:val="-13"/>
        </w:rPr>
        <w:t xml:space="preserve"> </w:t>
      </w:r>
      <w:r w:rsidRPr="00131F0B">
        <w:t>tabela</w:t>
      </w:r>
      <w:r w:rsidRPr="00131F0B">
        <w:rPr>
          <w:spacing w:val="-13"/>
        </w:rPr>
        <w:t xml:space="preserve"> </w:t>
      </w:r>
      <w:r>
        <w:t>seguinte:</w:t>
      </w:r>
    </w:p>
    <w:p w:rsidR="00212C0B" w:rsidRPr="00131F0B" w:rsidRDefault="00212C0B" w:rsidP="004532F6">
      <w:pPr>
        <w:pStyle w:val="Quadro"/>
      </w:pPr>
      <w:r w:rsidRPr="00C63BBC">
        <w:t xml:space="preserve">Tabela </w:t>
      </w:r>
      <w:r w:rsidR="00C63BBC" w:rsidRPr="00C63BBC">
        <w:t>6.4.</w:t>
      </w:r>
      <w:r w:rsidR="00991EC9">
        <w:t>5-</w:t>
      </w:r>
      <w:r w:rsidR="00C63BBC" w:rsidRPr="00C63BBC">
        <w:t>4</w:t>
      </w:r>
      <w:r w:rsidR="00991EC9">
        <w:t>.</w:t>
      </w:r>
      <w:r w:rsidR="004532F6" w:rsidRPr="00C63BBC">
        <w:t xml:space="preserve"> </w:t>
      </w:r>
      <w:r w:rsidRPr="00C63BBC">
        <w:t>Classificação do Índice da Comunidade Fitoplanctônica – ICF</w:t>
      </w:r>
    </w:p>
    <w:tbl>
      <w:tblPr>
        <w:tblStyle w:val="TableNormal"/>
        <w:tblW w:w="0" w:type="auto"/>
        <w:tblInd w:w="567" w:type="dxa"/>
        <w:tblLayout w:type="fixed"/>
        <w:tblLook w:val="01E0" w:firstRow="1" w:lastRow="1" w:firstColumn="1" w:lastColumn="1" w:noHBand="0" w:noVBand="0"/>
      </w:tblPr>
      <w:tblGrid>
        <w:gridCol w:w="1560"/>
        <w:gridCol w:w="1642"/>
        <w:gridCol w:w="5587"/>
      </w:tblGrid>
      <w:tr w:rsidR="00212C0B" w:rsidRPr="004532F6" w:rsidTr="004532F6">
        <w:trPr>
          <w:trHeight w:hRule="exact" w:val="347"/>
          <w:tblHeader/>
        </w:trPr>
        <w:tc>
          <w:tcPr>
            <w:tcW w:w="1560" w:type="dxa"/>
            <w:tcBorders>
              <w:top w:val="single" w:sz="8" w:space="0" w:color="FFFFFF"/>
              <w:left w:val="nil"/>
              <w:bottom w:val="single" w:sz="8" w:space="0" w:color="FFFFFF"/>
              <w:right w:val="single" w:sz="8" w:space="0" w:color="FFFFFF"/>
            </w:tcBorders>
            <w:shd w:val="clear" w:color="auto" w:fill="82B7D0"/>
            <w:hideMark/>
          </w:tcPr>
          <w:p w:rsidR="00212C0B" w:rsidRPr="004532F6" w:rsidRDefault="00212C0B" w:rsidP="00212C0B">
            <w:pPr>
              <w:pStyle w:val="TableParagraph"/>
              <w:spacing w:before="71"/>
              <w:ind w:left="522"/>
              <w:rPr>
                <w:rFonts w:asciiTheme="minorHAnsi" w:eastAsia="Calibri" w:hAnsiTheme="minorHAnsi" w:cs="Calibri"/>
                <w:sz w:val="18"/>
                <w:szCs w:val="18"/>
              </w:rPr>
            </w:pPr>
            <w:r w:rsidRPr="004532F6">
              <w:rPr>
                <w:rFonts w:asciiTheme="minorHAnsi" w:hAnsiTheme="minorHAnsi"/>
                <w:b/>
                <w:color w:val="231F20"/>
                <w:sz w:val="18"/>
                <w:szCs w:val="18"/>
              </w:rPr>
              <w:t>Categoria</w:t>
            </w:r>
          </w:p>
        </w:tc>
        <w:tc>
          <w:tcPr>
            <w:tcW w:w="1642" w:type="dxa"/>
            <w:tcBorders>
              <w:top w:val="single" w:sz="8" w:space="0" w:color="FFFFFF"/>
              <w:left w:val="single" w:sz="8" w:space="0" w:color="FFFFFF"/>
              <w:bottom w:val="single" w:sz="8" w:space="0" w:color="FFFFFF"/>
              <w:right w:val="nil"/>
            </w:tcBorders>
            <w:shd w:val="clear" w:color="auto" w:fill="82B7D0"/>
            <w:hideMark/>
          </w:tcPr>
          <w:p w:rsidR="00212C0B" w:rsidRPr="004532F6" w:rsidRDefault="00212C0B" w:rsidP="00212C0B">
            <w:pPr>
              <w:pStyle w:val="TableParagraph"/>
              <w:spacing w:before="71"/>
              <w:ind w:left="446"/>
              <w:rPr>
                <w:rFonts w:asciiTheme="minorHAnsi" w:eastAsia="Calibri" w:hAnsiTheme="minorHAnsi" w:cs="Calibri"/>
                <w:sz w:val="18"/>
                <w:szCs w:val="18"/>
              </w:rPr>
            </w:pPr>
            <w:r w:rsidRPr="004532F6">
              <w:rPr>
                <w:rFonts w:asciiTheme="minorHAnsi" w:hAnsiTheme="minorHAnsi"/>
                <w:b/>
                <w:color w:val="231F20"/>
                <w:sz w:val="18"/>
                <w:szCs w:val="18"/>
              </w:rPr>
              <w:t>Ponderação</w:t>
            </w:r>
          </w:p>
        </w:tc>
        <w:tc>
          <w:tcPr>
            <w:tcW w:w="5587" w:type="dxa"/>
            <w:tcBorders>
              <w:top w:val="single" w:sz="8" w:space="0" w:color="FFFFFF"/>
              <w:left w:val="nil"/>
              <w:bottom w:val="single" w:sz="8" w:space="0" w:color="FFFFFF"/>
              <w:right w:val="single" w:sz="8" w:space="0" w:color="FFFFFF"/>
            </w:tcBorders>
            <w:shd w:val="clear" w:color="auto" w:fill="82B7D0"/>
            <w:hideMark/>
          </w:tcPr>
          <w:p w:rsidR="00212C0B" w:rsidRPr="004532F6" w:rsidRDefault="00212C0B" w:rsidP="00212C0B">
            <w:pPr>
              <w:pStyle w:val="TableParagraph"/>
              <w:spacing w:before="71"/>
              <w:ind w:left="209"/>
              <w:jc w:val="center"/>
              <w:rPr>
                <w:rFonts w:asciiTheme="minorHAnsi" w:eastAsia="Calibri" w:hAnsiTheme="minorHAnsi" w:cs="Calibri"/>
                <w:sz w:val="18"/>
                <w:szCs w:val="18"/>
              </w:rPr>
            </w:pPr>
            <w:r w:rsidRPr="004532F6">
              <w:rPr>
                <w:rFonts w:asciiTheme="minorHAnsi" w:hAnsiTheme="minorHAnsi"/>
                <w:b/>
                <w:color w:val="231F20"/>
                <w:sz w:val="18"/>
                <w:szCs w:val="18"/>
              </w:rPr>
              <w:t>Níveis</w:t>
            </w:r>
          </w:p>
        </w:tc>
      </w:tr>
      <w:tr w:rsidR="00212C0B" w:rsidRPr="004532F6" w:rsidTr="004532F6">
        <w:trPr>
          <w:trHeight w:hRule="exact" w:val="593"/>
        </w:trPr>
        <w:tc>
          <w:tcPr>
            <w:tcW w:w="1560" w:type="dxa"/>
            <w:tcBorders>
              <w:top w:val="single" w:sz="8" w:space="0" w:color="FFFFFF"/>
              <w:left w:val="nil"/>
              <w:bottom w:val="single" w:sz="8" w:space="0" w:color="FFFFFF"/>
              <w:right w:val="single" w:sz="8" w:space="0" w:color="FFFFFF"/>
            </w:tcBorders>
            <w:shd w:val="clear" w:color="auto" w:fill="6380C0"/>
          </w:tcPr>
          <w:p w:rsidR="00212C0B" w:rsidRPr="004532F6" w:rsidRDefault="00212C0B" w:rsidP="00212C0B">
            <w:pPr>
              <w:pStyle w:val="TableParagraph"/>
              <w:spacing w:before="11"/>
              <w:rPr>
                <w:rFonts w:asciiTheme="minorHAnsi" w:eastAsia="Calibri" w:hAnsiTheme="minorHAnsi" w:cs="Calibri"/>
                <w:sz w:val="18"/>
                <w:szCs w:val="18"/>
              </w:rPr>
            </w:pPr>
          </w:p>
          <w:p w:rsidR="00212C0B" w:rsidRPr="004532F6" w:rsidRDefault="00212C0B" w:rsidP="00212C0B">
            <w:pPr>
              <w:pStyle w:val="TableParagraph"/>
              <w:ind w:left="10"/>
              <w:jc w:val="center"/>
              <w:rPr>
                <w:rFonts w:asciiTheme="minorHAnsi" w:eastAsia="Calibri" w:hAnsiTheme="minorHAnsi" w:cs="Calibri"/>
                <w:sz w:val="18"/>
                <w:szCs w:val="18"/>
              </w:rPr>
            </w:pPr>
            <w:r w:rsidRPr="004532F6">
              <w:rPr>
                <w:rFonts w:asciiTheme="minorHAnsi" w:hAnsiTheme="minorHAnsi"/>
                <w:b/>
                <w:color w:val="231F20"/>
                <w:sz w:val="18"/>
                <w:szCs w:val="18"/>
              </w:rPr>
              <w:t>ÓTIMA</w:t>
            </w:r>
          </w:p>
        </w:tc>
        <w:tc>
          <w:tcPr>
            <w:tcW w:w="1642" w:type="dxa"/>
            <w:tcBorders>
              <w:top w:val="single" w:sz="8" w:space="0" w:color="FFFFFF"/>
              <w:left w:val="single" w:sz="8" w:space="0" w:color="FFFFFF"/>
              <w:bottom w:val="single" w:sz="8" w:space="0" w:color="FFFFFF"/>
              <w:right w:val="nil"/>
            </w:tcBorders>
            <w:shd w:val="clear" w:color="auto" w:fill="DFECF3"/>
          </w:tcPr>
          <w:p w:rsidR="00212C0B" w:rsidRPr="004532F6" w:rsidRDefault="00212C0B" w:rsidP="00212C0B">
            <w:pPr>
              <w:pStyle w:val="TableParagraph"/>
              <w:spacing w:before="11"/>
              <w:rPr>
                <w:rFonts w:asciiTheme="minorHAnsi" w:eastAsia="Calibri" w:hAnsiTheme="minorHAnsi" w:cs="Calibri"/>
                <w:sz w:val="18"/>
                <w:szCs w:val="18"/>
              </w:rPr>
            </w:pPr>
          </w:p>
          <w:p w:rsidR="00212C0B" w:rsidRPr="004532F6" w:rsidRDefault="00212C0B" w:rsidP="00212C0B">
            <w:pPr>
              <w:pStyle w:val="TableParagraph"/>
              <w:ind w:left="189"/>
              <w:jc w:val="center"/>
              <w:rPr>
                <w:rFonts w:asciiTheme="minorHAnsi" w:eastAsia="Calibri" w:hAnsiTheme="minorHAnsi" w:cs="Calibri"/>
                <w:sz w:val="18"/>
                <w:szCs w:val="18"/>
              </w:rPr>
            </w:pPr>
            <w:r w:rsidRPr="004532F6">
              <w:rPr>
                <w:rFonts w:asciiTheme="minorHAnsi" w:hAnsiTheme="minorHAnsi"/>
                <w:color w:val="231F20"/>
                <w:sz w:val="18"/>
                <w:szCs w:val="18"/>
              </w:rPr>
              <w:t>1</w:t>
            </w:r>
          </w:p>
        </w:tc>
        <w:tc>
          <w:tcPr>
            <w:tcW w:w="5587" w:type="dxa"/>
            <w:tcBorders>
              <w:top w:val="single" w:sz="8" w:space="0" w:color="FFFFFF"/>
              <w:left w:val="nil"/>
              <w:bottom w:val="single" w:sz="8" w:space="0" w:color="FFFFFF"/>
              <w:right w:val="single" w:sz="8" w:space="0" w:color="FFFFFF"/>
            </w:tcBorders>
            <w:shd w:val="clear" w:color="auto" w:fill="DFECF3"/>
            <w:hideMark/>
          </w:tcPr>
          <w:p w:rsidR="004532F6" w:rsidRPr="001A666B" w:rsidRDefault="00212C0B" w:rsidP="00212C0B">
            <w:pPr>
              <w:pStyle w:val="TableParagraph"/>
              <w:spacing w:before="22" w:line="180" w:lineRule="exact"/>
              <w:ind w:left="256" w:right="1737"/>
              <w:rPr>
                <w:rFonts w:asciiTheme="minorHAnsi" w:hAnsiTheme="minorHAnsi"/>
                <w:color w:val="231F20"/>
                <w:w w:val="92"/>
                <w:sz w:val="18"/>
                <w:szCs w:val="18"/>
                <w:lang w:val="pt-BR"/>
              </w:rPr>
            </w:pPr>
            <w:r w:rsidRPr="001A666B">
              <w:rPr>
                <w:rFonts w:asciiTheme="minorHAnsi" w:hAnsiTheme="minorHAnsi"/>
                <w:color w:val="231F20"/>
                <w:w w:val="95"/>
                <w:sz w:val="18"/>
                <w:szCs w:val="18"/>
                <w:lang w:val="pt-BR"/>
              </w:rPr>
              <w:t>Não</w:t>
            </w:r>
            <w:r w:rsidRPr="001A666B">
              <w:rPr>
                <w:rFonts w:asciiTheme="minorHAnsi" w:hAnsiTheme="minorHAnsi"/>
                <w:color w:val="231F20"/>
                <w:spacing w:val="-11"/>
                <w:w w:val="95"/>
                <w:sz w:val="18"/>
                <w:szCs w:val="18"/>
                <w:lang w:val="pt-BR"/>
              </w:rPr>
              <w:t xml:space="preserve"> </w:t>
            </w:r>
            <w:r w:rsidRPr="001A666B">
              <w:rPr>
                <w:rFonts w:asciiTheme="minorHAnsi" w:hAnsiTheme="minorHAnsi"/>
                <w:color w:val="231F20"/>
                <w:w w:val="95"/>
                <w:sz w:val="18"/>
                <w:szCs w:val="18"/>
                <w:lang w:val="pt-BR"/>
              </w:rPr>
              <w:t>há</w:t>
            </w:r>
            <w:r w:rsidRPr="001A666B">
              <w:rPr>
                <w:rFonts w:asciiTheme="minorHAnsi" w:hAnsiTheme="minorHAnsi"/>
                <w:color w:val="231F20"/>
                <w:spacing w:val="-10"/>
                <w:w w:val="95"/>
                <w:sz w:val="18"/>
                <w:szCs w:val="18"/>
                <w:lang w:val="pt-BR"/>
              </w:rPr>
              <w:t xml:space="preserve"> </w:t>
            </w:r>
            <w:r w:rsidRPr="001A666B">
              <w:rPr>
                <w:rFonts w:asciiTheme="minorHAnsi" w:hAnsiTheme="minorHAnsi"/>
                <w:color w:val="231F20"/>
                <w:w w:val="95"/>
                <w:sz w:val="18"/>
                <w:szCs w:val="18"/>
                <w:lang w:val="pt-BR"/>
              </w:rPr>
              <w:t>dominância</w:t>
            </w:r>
            <w:r w:rsidRPr="001A666B">
              <w:rPr>
                <w:rFonts w:asciiTheme="minorHAnsi" w:hAnsiTheme="minorHAnsi"/>
                <w:color w:val="231F20"/>
                <w:spacing w:val="-10"/>
                <w:w w:val="95"/>
                <w:sz w:val="18"/>
                <w:szCs w:val="18"/>
                <w:lang w:val="pt-BR"/>
              </w:rPr>
              <w:t xml:space="preserve"> </w:t>
            </w:r>
            <w:r w:rsidRPr="001A666B">
              <w:rPr>
                <w:rFonts w:asciiTheme="minorHAnsi" w:hAnsiTheme="minorHAnsi"/>
                <w:color w:val="231F20"/>
                <w:w w:val="95"/>
                <w:sz w:val="18"/>
                <w:szCs w:val="18"/>
                <w:lang w:val="pt-BR"/>
              </w:rPr>
              <w:t>entre</w:t>
            </w:r>
            <w:r w:rsidRPr="001A666B">
              <w:rPr>
                <w:rFonts w:asciiTheme="minorHAnsi" w:hAnsiTheme="minorHAnsi"/>
                <w:color w:val="231F20"/>
                <w:spacing w:val="-10"/>
                <w:w w:val="95"/>
                <w:sz w:val="18"/>
                <w:szCs w:val="18"/>
                <w:lang w:val="pt-BR"/>
              </w:rPr>
              <w:t xml:space="preserve"> </w:t>
            </w:r>
            <w:r w:rsidRPr="001A666B">
              <w:rPr>
                <w:rFonts w:asciiTheme="minorHAnsi" w:hAnsiTheme="minorHAnsi"/>
                <w:color w:val="231F20"/>
                <w:w w:val="95"/>
                <w:sz w:val="18"/>
                <w:szCs w:val="18"/>
                <w:lang w:val="pt-BR"/>
              </w:rPr>
              <w:t>os</w:t>
            </w:r>
            <w:r w:rsidRPr="001A666B">
              <w:rPr>
                <w:rFonts w:asciiTheme="minorHAnsi" w:hAnsiTheme="minorHAnsi"/>
                <w:color w:val="231F20"/>
                <w:spacing w:val="-10"/>
                <w:w w:val="95"/>
                <w:sz w:val="18"/>
                <w:szCs w:val="18"/>
                <w:lang w:val="pt-BR"/>
              </w:rPr>
              <w:t xml:space="preserve"> </w:t>
            </w:r>
            <w:r w:rsidRPr="001A666B">
              <w:rPr>
                <w:rFonts w:asciiTheme="minorHAnsi" w:hAnsiTheme="minorHAnsi"/>
                <w:color w:val="231F20"/>
                <w:w w:val="95"/>
                <w:sz w:val="18"/>
                <w:szCs w:val="18"/>
                <w:lang w:val="pt-BR"/>
              </w:rPr>
              <w:t>grupos</w:t>
            </w:r>
          </w:p>
          <w:p w:rsidR="00212C0B" w:rsidRPr="001A666B" w:rsidRDefault="00212C0B" w:rsidP="00212C0B">
            <w:pPr>
              <w:pStyle w:val="TableParagraph"/>
              <w:spacing w:before="22" w:line="180" w:lineRule="exact"/>
              <w:ind w:left="256" w:right="1737"/>
              <w:rPr>
                <w:rFonts w:asciiTheme="minorHAnsi" w:eastAsia="Calibri" w:hAnsiTheme="minorHAnsi" w:cs="Calibri"/>
                <w:sz w:val="18"/>
                <w:szCs w:val="18"/>
                <w:lang w:val="pt-BR"/>
              </w:rPr>
            </w:pPr>
            <w:r w:rsidRPr="001A666B">
              <w:rPr>
                <w:rFonts w:asciiTheme="minorHAnsi" w:hAnsiTheme="minorHAnsi"/>
                <w:color w:val="231F20"/>
                <w:w w:val="95"/>
                <w:sz w:val="18"/>
                <w:szCs w:val="18"/>
                <w:lang w:val="pt-BR"/>
              </w:rPr>
              <w:t>Densidade</w:t>
            </w:r>
            <w:r w:rsidRPr="001A666B">
              <w:rPr>
                <w:rFonts w:asciiTheme="minorHAnsi" w:hAnsiTheme="minorHAnsi"/>
                <w:color w:val="231F20"/>
                <w:spacing w:val="-7"/>
                <w:w w:val="95"/>
                <w:sz w:val="18"/>
                <w:szCs w:val="18"/>
                <w:lang w:val="pt-BR"/>
              </w:rPr>
              <w:t xml:space="preserve"> </w:t>
            </w:r>
            <w:r w:rsidRPr="001A666B">
              <w:rPr>
                <w:rFonts w:asciiTheme="minorHAnsi" w:hAnsiTheme="minorHAnsi"/>
                <w:color w:val="231F20"/>
                <w:w w:val="95"/>
                <w:sz w:val="18"/>
                <w:szCs w:val="18"/>
                <w:lang w:val="pt-BR"/>
              </w:rPr>
              <w:t>total</w:t>
            </w:r>
            <w:r w:rsidRPr="001A666B">
              <w:rPr>
                <w:rFonts w:asciiTheme="minorHAnsi" w:hAnsiTheme="minorHAnsi"/>
                <w:color w:val="231F20"/>
                <w:spacing w:val="-7"/>
                <w:w w:val="95"/>
                <w:sz w:val="18"/>
                <w:szCs w:val="18"/>
                <w:lang w:val="pt-BR"/>
              </w:rPr>
              <w:t xml:space="preserve"> </w:t>
            </w:r>
            <w:r w:rsidRPr="001A666B">
              <w:rPr>
                <w:rFonts w:asciiTheme="minorHAnsi" w:hAnsiTheme="minorHAnsi"/>
                <w:color w:val="231F20"/>
                <w:w w:val="95"/>
                <w:sz w:val="18"/>
                <w:szCs w:val="18"/>
                <w:lang w:val="pt-BR"/>
              </w:rPr>
              <w:t>&lt;</w:t>
            </w:r>
            <w:r w:rsidRPr="001A666B">
              <w:rPr>
                <w:rFonts w:asciiTheme="minorHAnsi" w:hAnsiTheme="minorHAnsi"/>
                <w:color w:val="231F20"/>
                <w:spacing w:val="-6"/>
                <w:w w:val="95"/>
                <w:sz w:val="18"/>
                <w:szCs w:val="18"/>
                <w:lang w:val="pt-BR"/>
              </w:rPr>
              <w:t xml:space="preserve"> </w:t>
            </w:r>
            <w:r w:rsidRPr="001A666B">
              <w:rPr>
                <w:rFonts w:asciiTheme="minorHAnsi" w:hAnsiTheme="minorHAnsi"/>
                <w:color w:val="231F20"/>
                <w:w w:val="95"/>
                <w:sz w:val="18"/>
                <w:szCs w:val="18"/>
                <w:lang w:val="pt-BR"/>
              </w:rPr>
              <w:t>1.000</w:t>
            </w:r>
            <w:r w:rsidRPr="001A666B">
              <w:rPr>
                <w:rFonts w:asciiTheme="minorHAnsi" w:hAnsiTheme="minorHAnsi"/>
                <w:color w:val="231F20"/>
                <w:spacing w:val="-7"/>
                <w:w w:val="95"/>
                <w:sz w:val="18"/>
                <w:szCs w:val="18"/>
                <w:lang w:val="pt-BR"/>
              </w:rPr>
              <w:t xml:space="preserve"> </w:t>
            </w:r>
            <w:r w:rsidRPr="001A666B">
              <w:rPr>
                <w:rFonts w:asciiTheme="minorHAnsi" w:hAnsiTheme="minorHAnsi"/>
                <w:color w:val="231F20"/>
                <w:w w:val="95"/>
                <w:sz w:val="18"/>
                <w:szCs w:val="18"/>
                <w:lang w:val="pt-BR"/>
              </w:rPr>
              <w:t>org/mL</w:t>
            </w:r>
          </w:p>
          <w:p w:rsidR="00212C0B" w:rsidRPr="001A666B" w:rsidRDefault="00212C0B" w:rsidP="004532F6">
            <w:pPr>
              <w:pStyle w:val="TableParagraph"/>
              <w:spacing w:line="187" w:lineRule="exact"/>
              <w:ind w:left="256"/>
              <w:rPr>
                <w:rFonts w:asciiTheme="minorHAnsi" w:eastAsia="Calibri" w:hAnsiTheme="minorHAnsi" w:cs="Calibri"/>
                <w:sz w:val="18"/>
                <w:szCs w:val="18"/>
                <w:lang w:val="pt-BR"/>
              </w:rPr>
            </w:pPr>
            <w:r w:rsidRPr="001A666B">
              <w:rPr>
                <w:rFonts w:asciiTheme="minorHAnsi" w:eastAsia="Calibri" w:hAnsiTheme="minorHAnsi" w:cs="Calibri"/>
                <w:color w:val="231F20"/>
                <w:sz w:val="18"/>
                <w:szCs w:val="18"/>
                <w:lang w:val="pt-BR"/>
              </w:rPr>
              <w:t>IET</w:t>
            </w:r>
            <w:r w:rsidRPr="001A666B">
              <w:rPr>
                <w:rFonts w:asciiTheme="minorHAnsi" w:eastAsia="Calibri" w:hAnsiTheme="minorHAnsi" w:cs="Calibri"/>
                <w:color w:val="231F20"/>
                <w:spacing w:val="-10"/>
                <w:sz w:val="18"/>
                <w:szCs w:val="18"/>
                <w:lang w:val="pt-BR"/>
              </w:rPr>
              <w:t xml:space="preserve"> </w:t>
            </w:r>
            <w:r w:rsidR="004532F6" w:rsidRPr="001A666B">
              <w:rPr>
                <w:rFonts w:asciiTheme="minorHAnsi" w:eastAsia="Calibri" w:hAnsiTheme="minorHAnsi" w:cs="Calibri"/>
                <w:color w:val="231F20"/>
                <w:spacing w:val="-10"/>
                <w:sz w:val="18"/>
                <w:szCs w:val="18"/>
                <w:lang w:val="pt-BR"/>
              </w:rPr>
              <w:t xml:space="preserve">≤ </w:t>
            </w:r>
            <w:r w:rsidRPr="001A666B">
              <w:rPr>
                <w:rFonts w:asciiTheme="minorHAnsi" w:eastAsia="Calibri" w:hAnsiTheme="minorHAnsi" w:cs="Calibri"/>
                <w:color w:val="231F20"/>
                <w:sz w:val="18"/>
                <w:szCs w:val="18"/>
                <w:lang w:val="pt-BR"/>
              </w:rPr>
              <w:t>52</w:t>
            </w:r>
          </w:p>
        </w:tc>
      </w:tr>
      <w:tr w:rsidR="00212C0B" w:rsidRPr="004532F6" w:rsidTr="004532F6">
        <w:trPr>
          <w:trHeight w:hRule="exact" w:val="593"/>
        </w:trPr>
        <w:tc>
          <w:tcPr>
            <w:tcW w:w="1560" w:type="dxa"/>
            <w:tcBorders>
              <w:top w:val="single" w:sz="8" w:space="0" w:color="FFFFFF"/>
              <w:left w:val="nil"/>
              <w:bottom w:val="single" w:sz="8" w:space="0" w:color="FFFFFF"/>
              <w:right w:val="single" w:sz="8" w:space="0" w:color="FFFFFF"/>
            </w:tcBorders>
            <w:shd w:val="clear" w:color="auto" w:fill="6BBE45"/>
          </w:tcPr>
          <w:p w:rsidR="00212C0B" w:rsidRPr="001A666B" w:rsidRDefault="00212C0B" w:rsidP="00212C0B">
            <w:pPr>
              <w:pStyle w:val="TableParagraph"/>
              <w:spacing w:before="11"/>
              <w:rPr>
                <w:rFonts w:asciiTheme="minorHAnsi" w:eastAsia="Calibri" w:hAnsiTheme="minorHAnsi" w:cs="Calibri"/>
                <w:sz w:val="18"/>
                <w:szCs w:val="18"/>
                <w:lang w:val="pt-BR"/>
              </w:rPr>
            </w:pPr>
          </w:p>
          <w:p w:rsidR="00212C0B" w:rsidRPr="004532F6" w:rsidRDefault="00212C0B" w:rsidP="00212C0B">
            <w:pPr>
              <w:pStyle w:val="TableParagraph"/>
              <w:ind w:left="9"/>
              <w:jc w:val="center"/>
              <w:rPr>
                <w:rFonts w:asciiTheme="minorHAnsi" w:eastAsia="Calibri" w:hAnsiTheme="minorHAnsi" w:cs="Calibri"/>
                <w:sz w:val="18"/>
                <w:szCs w:val="18"/>
              </w:rPr>
            </w:pPr>
            <w:r w:rsidRPr="004532F6">
              <w:rPr>
                <w:rFonts w:asciiTheme="minorHAnsi" w:hAnsiTheme="minorHAnsi"/>
                <w:b/>
                <w:color w:val="231F20"/>
                <w:sz w:val="18"/>
                <w:szCs w:val="18"/>
              </w:rPr>
              <w:t>BOA</w:t>
            </w:r>
          </w:p>
        </w:tc>
        <w:tc>
          <w:tcPr>
            <w:tcW w:w="1642" w:type="dxa"/>
            <w:tcBorders>
              <w:top w:val="single" w:sz="8" w:space="0" w:color="FFFFFF"/>
              <w:left w:val="single" w:sz="8" w:space="0" w:color="FFFFFF"/>
              <w:bottom w:val="single" w:sz="8" w:space="0" w:color="FFFFFF"/>
              <w:right w:val="nil"/>
            </w:tcBorders>
            <w:shd w:val="clear" w:color="auto" w:fill="C6DEEA"/>
          </w:tcPr>
          <w:p w:rsidR="00212C0B" w:rsidRPr="004532F6" w:rsidRDefault="00212C0B" w:rsidP="00212C0B">
            <w:pPr>
              <w:pStyle w:val="TableParagraph"/>
              <w:spacing w:before="11"/>
              <w:rPr>
                <w:rFonts w:asciiTheme="minorHAnsi" w:eastAsia="Calibri" w:hAnsiTheme="minorHAnsi" w:cs="Calibri"/>
                <w:sz w:val="18"/>
                <w:szCs w:val="18"/>
              </w:rPr>
            </w:pPr>
          </w:p>
          <w:p w:rsidR="00212C0B" w:rsidRPr="004532F6" w:rsidRDefault="00212C0B" w:rsidP="00212C0B">
            <w:pPr>
              <w:pStyle w:val="TableParagraph"/>
              <w:ind w:left="189"/>
              <w:jc w:val="center"/>
              <w:rPr>
                <w:rFonts w:asciiTheme="minorHAnsi" w:eastAsia="Calibri" w:hAnsiTheme="minorHAnsi" w:cs="Calibri"/>
                <w:sz w:val="18"/>
                <w:szCs w:val="18"/>
              </w:rPr>
            </w:pPr>
            <w:r w:rsidRPr="004532F6">
              <w:rPr>
                <w:rFonts w:asciiTheme="minorHAnsi" w:hAnsiTheme="minorHAnsi"/>
                <w:color w:val="231F20"/>
                <w:sz w:val="18"/>
                <w:szCs w:val="18"/>
              </w:rPr>
              <w:t>2</w:t>
            </w:r>
          </w:p>
        </w:tc>
        <w:tc>
          <w:tcPr>
            <w:tcW w:w="5587" w:type="dxa"/>
            <w:tcBorders>
              <w:top w:val="single" w:sz="8" w:space="0" w:color="FFFFFF"/>
              <w:left w:val="nil"/>
              <w:bottom w:val="single" w:sz="8" w:space="0" w:color="FFFFFF"/>
              <w:right w:val="single" w:sz="8" w:space="0" w:color="FFFFFF"/>
            </w:tcBorders>
            <w:shd w:val="clear" w:color="auto" w:fill="C6DEEA"/>
            <w:hideMark/>
          </w:tcPr>
          <w:p w:rsidR="004532F6" w:rsidRPr="001A666B" w:rsidRDefault="00212C0B" w:rsidP="00212C0B">
            <w:pPr>
              <w:pStyle w:val="TableParagraph"/>
              <w:spacing w:before="22" w:line="180" w:lineRule="exact"/>
              <w:ind w:left="256" w:right="318"/>
              <w:rPr>
                <w:rFonts w:asciiTheme="minorHAnsi" w:hAnsiTheme="minorHAnsi"/>
                <w:color w:val="231F20"/>
                <w:w w:val="93"/>
                <w:sz w:val="18"/>
                <w:szCs w:val="18"/>
                <w:lang w:val="pt-BR"/>
              </w:rPr>
            </w:pPr>
            <w:r w:rsidRPr="001A666B">
              <w:rPr>
                <w:rFonts w:asciiTheme="minorHAnsi" w:hAnsiTheme="minorHAnsi"/>
                <w:color w:val="231F20"/>
                <w:w w:val="95"/>
                <w:sz w:val="18"/>
                <w:szCs w:val="18"/>
                <w:lang w:val="pt-BR"/>
              </w:rPr>
              <w:t>Dominância</w:t>
            </w:r>
            <w:r w:rsidRPr="001A666B">
              <w:rPr>
                <w:rFonts w:asciiTheme="minorHAnsi" w:hAnsiTheme="minorHAnsi"/>
                <w:color w:val="231F20"/>
                <w:spacing w:val="-15"/>
                <w:w w:val="95"/>
                <w:sz w:val="18"/>
                <w:szCs w:val="18"/>
                <w:lang w:val="pt-BR"/>
              </w:rPr>
              <w:t xml:space="preserve"> </w:t>
            </w:r>
            <w:r w:rsidRPr="001A666B">
              <w:rPr>
                <w:rFonts w:asciiTheme="minorHAnsi" w:hAnsiTheme="minorHAnsi"/>
                <w:color w:val="231F20"/>
                <w:w w:val="95"/>
                <w:sz w:val="18"/>
                <w:szCs w:val="18"/>
                <w:lang w:val="pt-BR"/>
              </w:rPr>
              <w:t>de</w:t>
            </w:r>
            <w:r w:rsidRPr="001A666B">
              <w:rPr>
                <w:rFonts w:asciiTheme="minorHAnsi" w:hAnsiTheme="minorHAnsi"/>
                <w:color w:val="231F20"/>
                <w:spacing w:val="-14"/>
                <w:w w:val="95"/>
                <w:sz w:val="18"/>
                <w:szCs w:val="18"/>
                <w:lang w:val="pt-BR"/>
              </w:rPr>
              <w:t xml:space="preserve"> </w:t>
            </w:r>
            <w:r w:rsidRPr="001A666B">
              <w:rPr>
                <w:rFonts w:asciiTheme="minorHAnsi" w:hAnsiTheme="minorHAnsi"/>
                <w:color w:val="231F20"/>
                <w:w w:val="95"/>
                <w:sz w:val="18"/>
                <w:szCs w:val="18"/>
                <w:lang w:val="pt-BR"/>
              </w:rPr>
              <w:t>Clorofíceas</w:t>
            </w:r>
            <w:r w:rsidRPr="001A666B">
              <w:rPr>
                <w:rFonts w:asciiTheme="minorHAnsi" w:hAnsiTheme="minorHAnsi"/>
                <w:color w:val="231F20"/>
                <w:spacing w:val="-15"/>
                <w:w w:val="95"/>
                <w:sz w:val="18"/>
                <w:szCs w:val="18"/>
                <w:lang w:val="pt-BR"/>
              </w:rPr>
              <w:t xml:space="preserve"> </w:t>
            </w:r>
            <w:r w:rsidRPr="001A666B">
              <w:rPr>
                <w:rFonts w:asciiTheme="minorHAnsi" w:hAnsiTheme="minorHAnsi"/>
                <w:color w:val="231F20"/>
                <w:w w:val="95"/>
                <w:sz w:val="18"/>
                <w:szCs w:val="18"/>
                <w:lang w:val="pt-BR"/>
              </w:rPr>
              <w:t>(Desmidiáceas)</w:t>
            </w:r>
            <w:r w:rsidRPr="001A666B">
              <w:rPr>
                <w:rFonts w:asciiTheme="minorHAnsi" w:hAnsiTheme="minorHAnsi"/>
                <w:color w:val="231F20"/>
                <w:spacing w:val="-14"/>
                <w:w w:val="95"/>
                <w:sz w:val="18"/>
                <w:szCs w:val="18"/>
                <w:lang w:val="pt-BR"/>
              </w:rPr>
              <w:t xml:space="preserve"> </w:t>
            </w:r>
            <w:r w:rsidRPr="001A666B">
              <w:rPr>
                <w:rFonts w:asciiTheme="minorHAnsi" w:hAnsiTheme="minorHAnsi"/>
                <w:color w:val="231F20"/>
                <w:w w:val="95"/>
                <w:sz w:val="18"/>
                <w:szCs w:val="18"/>
                <w:lang w:val="pt-BR"/>
              </w:rPr>
              <w:t>ou</w:t>
            </w:r>
            <w:r w:rsidRPr="001A666B">
              <w:rPr>
                <w:rFonts w:asciiTheme="minorHAnsi" w:hAnsiTheme="minorHAnsi"/>
                <w:color w:val="231F20"/>
                <w:spacing w:val="-15"/>
                <w:w w:val="95"/>
                <w:sz w:val="18"/>
                <w:szCs w:val="18"/>
                <w:lang w:val="pt-BR"/>
              </w:rPr>
              <w:t xml:space="preserve"> </w:t>
            </w:r>
            <w:r w:rsidRPr="001A666B">
              <w:rPr>
                <w:rFonts w:asciiTheme="minorHAnsi" w:hAnsiTheme="minorHAnsi"/>
                <w:color w:val="231F20"/>
                <w:w w:val="95"/>
                <w:sz w:val="18"/>
                <w:szCs w:val="18"/>
                <w:lang w:val="pt-BR"/>
              </w:rPr>
              <w:t>Diatomáceas</w:t>
            </w:r>
            <w:r w:rsidRPr="001A666B">
              <w:rPr>
                <w:rFonts w:asciiTheme="minorHAnsi" w:hAnsiTheme="minorHAnsi"/>
                <w:color w:val="231F20"/>
                <w:w w:val="93"/>
                <w:sz w:val="18"/>
                <w:szCs w:val="18"/>
                <w:lang w:val="pt-BR"/>
              </w:rPr>
              <w:t xml:space="preserve"> </w:t>
            </w:r>
          </w:p>
          <w:p w:rsidR="00212C0B" w:rsidRPr="001A666B" w:rsidRDefault="00212C0B" w:rsidP="00212C0B">
            <w:pPr>
              <w:pStyle w:val="TableParagraph"/>
              <w:spacing w:before="22" w:line="180" w:lineRule="exact"/>
              <w:ind w:left="256" w:right="318"/>
              <w:rPr>
                <w:rFonts w:asciiTheme="minorHAnsi" w:eastAsia="Calibri" w:hAnsiTheme="minorHAnsi" w:cs="Calibri"/>
                <w:sz w:val="18"/>
                <w:szCs w:val="18"/>
                <w:lang w:val="pt-BR"/>
              </w:rPr>
            </w:pPr>
            <w:r w:rsidRPr="001A666B">
              <w:rPr>
                <w:rFonts w:asciiTheme="minorHAnsi" w:hAnsiTheme="minorHAnsi"/>
                <w:color w:val="231F20"/>
                <w:sz w:val="18"/>
                <w:szCs w:val="18"/>
                <w:lang w:val="pt-BR"/>
              </w:rPr>
              <w:t>Densidade</w:t>
            </w:r>
            <w:r w:rsidRPr="001A666B">
              <w:rPr>
                <w:rFonts w:asciiTheme="minorHAnsi" w:hAnsiTheme="minorHAnsi"/>
                <w:color w:val="231F20"/>
                <w:spacing w:val="-20"/>
                <w:sz w:val="18"/>
                <w:szCs w:val="18"/>
                <w:lang w:val="pt-BR"/>
              </w:rPr>
              <w:t xml:space="preserve"> </w:t>
            </w:r>
            <w:r w:rsidRPr="001A666B">
              <w:rPr>
                <w:rFonts w:asciiTheme="minorHAnsi" w:hAnsiTheme="minorHAnsi"/>
                <w:color w:val="231F20"/>
                <w:sz w:val="18"/>
                <w:szCs w:val="18"/>
                <w:lang w:val="pt-BR"/>
              </w:rPr>
              <w:t>total</w:t>
            </w:r>
            <w:r w:rsidRPr="001A666B">
              <w:rPr>
                <w:rFonts w:asciiTheme="minorHAnsi" w:hAnsiTheme="minorHAnsi"/>
                <w:color w:val="231F20"/>
                <w:spacing w:val="-20"/>
                <w:sz w:val="18"/>
                <w:szCs w:val="18"/>
                <w:lang w:val="pt-BR"/>
              </w:rPr>
              <w:t xml:space="preserve"> </w:t>
            </w:r>
            <w:r w:rsidRPr="001A666B">
              <w:rPr>
                <w:rFonts w:asciiTheme="minorHAnsi" w:hAnsiTheme="minorHAnsi"/>
                <w:color w:val="231F20"/>
                <w:sz w:val="18"/>
                <w:szCs w:val="18"/>
                <w:lang w:val="pt-BR"/>
              </w:rPr>
              <w:t>&gt;</w:t>
            </w:r>
            <w:r w:rsidRPr="001A666B">
              <w:rPr>
                <w:rFonts w:asciiTheme="minorHAnsi" w:hAnsiTheme="minorHAnsi"/>
                <w:color w:val="231F20"/>
                <w:spacing w:val="-20"/>
                <w:sz w:val="18"/>
                <w:szCs w:val="18"/>
                <w:lang w:val="pt-BR"/>
              </w:rPr>
              <w:t xml:space="preserve"> </w:t>
            </w:r>
            <w:r w:rsidRPr="001A666B">
              <w:rPr>
                <w:rFonts w:asciiTheme="minorHAnsi" w:hAnsiTheme="minorHAnsi"/>
                <w:color w:val="231F20"/>
                <w:sz w:val="18"/>
                <w:szCs w:val="18"/>
                <w:lang w:val="pt-BR"/>
              </w:rPr>
              <w:t>1.000</w:t>
            </w:r>
            <w:r w:rsidRPr="001A666B">
              <w:rPr>
                <w:rFonts w:asciiTheme="minorHAnsi" w:hAnsiTheme="minorHAnsi"/>
                <w:color w:val="231F20"/>
                <w:spacing w:val="-19"/>
                <w:sz w:val="18"/>
                <w:szCs w:val="18"/>
                <w:lang w:val="pt-BR"/>
              </w:rPr>
              <w:t xml:space="preserve"> </w:t>
            </w:r>
            <w:r w:rsidRPr="001A666B">
              <w:rPr>
                <w:rFonts w:asciiTheme="minorHAnsi" w:hAnsiTheme="minorHAnsi"/>
                <w:color w:val="231F20"/>
                <w:sz w:val="18"/>
                <w:szCs w:val="18"/>
                <w:lang w:val="pt-BR"/>
              </w:rPr>
              <w:t>e</w:t>
            </w:r>
            <w:r w:rsidRPr="001A666B">
              <w:rPr>
                <w:rFonts w:asciiTheme="minorHAnsi" w:hAnsiTheme="minorHAnsi"/>
                <w:color w:val="231F20"/>
                <w:spacing w:val="-20"/>
                <w:sz w:val="18"/>
                <w:szCs w:val="18"/>
                <w:lang w:val="pt-BR"/>
              </w:rPr>
              <w:t xml:space="preserve"> </w:t>
            </w:r>
            <w:r w:rsidRPr="001A666B">
              <w:rPr>
                <w:rFonts w:asciiTheme="minorHAnsi" w:hAnsiTheme="minorHAnsi"/>
                <w:color w:val="231F20"/>
                <w:sz w:val="18"/>
                <w:szCs w:val="18"/>
                <w:lang w:val="pt-BR"/>
              </w:rPr>
              <w:t>&lt;</w:t>
            </w:r>
            <w:r w:rsidRPr="001A666B">
              <w:rPr>
                <w:rFonts w:asciiTheme="minorHAnsi" w:hAnsiTheme="minorHAnsi"/>
                <w:color w:val="231F20"/>
                <w:spacing w:val="-20"/>
                <w:sz w:val="18"/>
                <w:szCs w:val="18"/>
                <w:lang w:val="pt-BR"/>
              </w:rPr>
              <w:t xml:space="preserve"> </w:t>
            </w:r>
            <w:r w:rsidRPr="001A666B">
              <w:rPr>
                <w:rFonts w:asciiTheme="minorHAnsi" w:hAnsiTheme="minorHAnsi"/>
                <w:color w:val="231F20"/>
                <w:sz w:val="18"/>
                <w:szCs w:val="18"/>
                <w:lang w:val="pt-BR"/>
              </w:rPr>
              <w:t>5.000</w:t>
            </w:r>
            <w:r w:rsidRPr="001A666B">
              <w:rPr>
                <w:rFonts w:asciiTheme="minorHAnsi" w:hAnsiTheme="minorHAnsi"/>
                <w:color w:val="231F20"/>
                <w:spacing w:val="-19"/>
                <w:sz w:val="18"/>
                <w:szCs w:val="18"/>
                <w:lang w:val="pt-BR"/>
              </w:rPr>
              <w:t xml:space="preserve"> </w:t>
            </w:r>
            <w:r w:rsidRPr="001A666B">
              <w:rPr>
                <w:rFonts w:asciiTheme="minorHAnsi" w:hAnsiTheme="minorHAnsi"/>
                <w:color w:val="231F20"/>
                <w:sz w:val="18"/>
                <w:szCs w:val="18"/>
                <w:lang w:val="pt-BR"/>
              </w:rPr>
              <w:t>org/mL</w:t>
            </w:r>
          </w:p>
          <w:p w:rsidR="00212C0B" w:rsidRPr="001A666B" w:rsidRDefault="00212C0B" w:rsidP="00212C0B">
            <w:pPr>
              <w:pStyle w:val="TableParagraph"/>
              <w:spacing w:line="187" w:lineRule="exact"/>
              <w:ind w:left="256"/>
              <w:rPr>
                <w:rFonts w:asciiTheme="minorHAnsi" w:eastAsia="Calibri" w:hAnsiTheme="minorHAnsi" w:cs="Calibri"/>
                <w:sz w:val="18"/>
                <w:szCs w:val="18"/>
                <w:lang w:val="pt-BR"/>
              </w:rPr>
            </w:pPr>
            <w:r w:rsidRPr="001A666B">
              <w:rPr>
                <w:rFonts w:asciiTheme="minorHAnsi" w:eastAsia="Calibri" w:hAnsiTheme="minorHAnsi" w:cs="Calibri"/>
                <w:color w:val="231F20"/>
                <w:sz w:val="18"/>
                <w:szCs w:val="18"/>
                <w:lang w:val="pt-BR"/>
              </w:rPr>
              <w:t>52</w:t>
            </w:r>
            <w:r w:rsidRPr="001A666B">
              <w:rPr>
                <w:rFonts w:asciiTheme="minorHAnsi" w:eastAsia="Calibri" w:hAnsiTheme="minorHAnsi" w:cs="Calibri"/>
                <w:color w:val="231F20"/>
                <w:spacing w:val="-3"/>
                <w:sz w:val="18"/>
                <w:szCs w:val="18"/>
                <w:lang w:val="pt-BR"/>
              </w:rPr>
              <w:t xml:space="preserve"> </w:t>
            </w:r>
            <w:r w:rsidRPr="001A666B">
              <w:rPr>
                <w:rFonts w:asciiTheme="minorHAnsi" w:eastAsia="Calibri" w:hAnsiTheme="minorHAnsi" w:cs="Calibri"/>
                <w:color w:val="231F20"/>
                <w:sz w:val="18"/>
                <w:szCs w:val="18"/>
                <w:lang w:val="pt-BR"/>
              </w:rPr>
              <w:t>&lt;</w:t>
            </w:r>
            <w:r w:rsidRPr="001A666B">
              <w:rPr>
                <w:rFonts w:asciiTheme="minorHAnsi" w:eastAsia="Calibri" w:hAnsiTheme="minorHAnsi" w:cs="Calibri"/>
                <w:color w:val="231F20"/>
                <w:spacing w:val="-2"/>
                <w:sz w:val="18"/>
                <w:szCs w:val="18"/>
                <w:lang w:val="pt-BR"/>
              </w:rPr>
              <w:t xml:space="preserve"> </w:t>
            </w:r>
            <w:r w:rsidRPr="001A666B">
              <w:rPr>
                <w:rFonts w:asciiTheme="minorHAnsi" w:eastAsia="Calibri" w:hAnsiTheme="minorHAnsi" w:cs="Calibri"/>
                <w:color w:val="231F20"/>
                <w:sz w:val="18"/>
                <w:szCs w:val="18"/>
                <w:lang w:val="pt-BR"/>
              </w:rPr>
              <w:t>IET</w:t>
            </w:r>
            <w:r w:rsidRPr="001A666B">
              <w:rPr>
                <w:rFonts w:asciiTheme="minorHAnsi" w:eastAsia="Calibri" w:hAnsiTheme="minorHAnsi" w:cs="Calibri"/>
                <w:color w:val="231F20"/>
                <w:spacing w:val="-2"/>
                <w:sz w:val="18"/>
                <w:szCs w:val="18"/>
                <w:lang w:val="pt-BR"/>
              </w:rPr>
              <w:t xml:space="preserve"> </w:t>
            </w:r>
            <w:r w:rsidR="004532F6" w:rsidRPr="001A666B">
              <w:rPr>
                <w:rFonts w:asciiTheme="minorHAnsi" w:eastAsia="Calibri" w:hAnsiTheme="minorHAnsi" w:cs="Calibri"/>
                <w:color w:val="231F20"/>
                <w:spacing w:val="-10"/>
                <w:sz w:val="18"/>
                <w:szCs w:val="18"/>
                <w:lang w:val="pt-BR"/>
              </w:rPr>
              <w:t xml:space="preserve">≤ </w:t>
            </w:r>
            <w:r w:rsidRPr="001A666B">
              <w:rPr>
                <w:rFonts w:asciiTheme="minorHAnsi" w:eastAsia="Calibri" w:hAnsiTheme="minorHAnsi" w:cs="Calibri"/>
                <w:color w:val="231F20"/>
                <w:sz w:val="18"/>
                <w:szCs w:val="18"/>
                <w:lang w:val="pt-BR"/>
              </w:rPr>
              <w:t>59</w:t>
            </w:r>
          </w:p>
        </w:tc>
      </w:tr>
      <w:tr w:rsidR="00212C0B" w:rsidRPr="004532F6" w:rsidTr="004532F6">
        <w:trPr>
          <w:trHeight w:hRule="exact" w:val="763"/>
        </w:trPr>
        <w:tc>
          <w:tcPr>
            <w:tcW w:w="1560" w:type="dxa"/>
            <w:tcBorders>
              <w:top w:val="single" w:sz="8" w:space="0" w:color="FFFFFF"/>
              <w:left w:val="nil"/>
              <w:bottom w:val="nil"/>
              <w:right w:val="single" w:sz="8" w:space="0" w:color="FFFFFF"/>
            </w:tcBorders>
            <w:shd w:val="clear" w:color="auto" w:fill="FBEA1E"/>
          </w:tcPr>
          <w:p w:rsidR="00212C0B" w:rsidRPr="001A666B" w:rsidRDefault="00212C0B" w:rsidP="00212C0B">
            <w:pPr>
              <w:pStyle w:val="TableParagraph"/>
              <w:spacing w:before="4"/>
              <w:rPr>
                <w:rFonts w:asciiTheme="minorHAnsi" w:eastAsia="Calibri" w:hAnsiTheme="minorHAnsi" w:cs="Calibri"/>
                <w:sz w:val="18"/>
                <w:szCs w:val="18"/>
                <w:lang w:val="pt-BR"/>
              </w:rPr>
            </w:pPr>
          </w:p>
          <w:p w:rsidR="00212C0B" w:rsidRPr="004532F6" w:rsidRDefault="00212C0B" w:rsidP="00212C0B">
            <w:pPr>
              <w:pStyle w:val="TableParagraph"/>
              <w:ind w:left="536"/>
              <w:rPr>
                <w:rFonts w:asciiTheme="minorHAnsi" w:eastAsia="Calibri" w:hAnsiTheme="minorHAnsi" w:cs="Calibri"/>
                <w:sz w:val="18"/>
                <w:szCs w:val="18"/>
              </w:rPr>
            </w:pPr>
            <w:r w:rsidRPr="004532F6">
              <w:rPr>
                <w:rFonts w:asciiTheme="minorHAnsi" w:hAnsiTheme="minorHAnsi"/>
                <w:b/>
                <w:color w:val="231F20"/>
                <w:sz w:val="18"/>
                <w:szCs w:val="18"/>
              </w:rPr>
              <w:t>REGULAR</w:t>
            </w:r>
          </w:p>
        </w:tc>
        <w:tc>
          <w:tcPr>
            <w:tcW w:w="1642" w:type="dxa"/>
            <w:tcBorders>
              <w:top w:val="single" w:sz="8" w:space="0" w:color="FFFFFF"/>
              <w:left w:val="single" w:sz="8" w:space="0" w:color="FFFFFF"/>
              <w:bottom w:val="nil"/>
              <w:right w:val="nil"/>
            </w:tcBorders>
            <w:shd w:val="clear" w:color="auto" w:fill="DFECF3"/>
          </w:tcPr>
          <w:p w:rsidR="00212C0B" w:rsidRPr="004532F6" w:rsidRDefault="00212C0B" w:rsidP="00212C0B">
            <w:pPr>
              <w:pStyle w:val="TableParagraph"/>
              <w:spacing w:before="4"/>
              <w:rPr>
                <w:rFonts w:asciiTheme="minorHAnsi" w:eastAsia="Calibri" w:hAnsiTheme="minorHAnsi" w:cs="Calibri"/>
                <w:sz w:val="18"/>
                <w:szCs w:val="18"/>
              </w:rPr>
            </w:pPr>
          </w:p>
          <w:p w:rsidR="00212C0B" w:rsidRPr="004532F6" w:rsidRDefault="00212C0B" w:rsidP="00212C0B">
            <w:pPr>
              <w:pStyle w:val="TableParagraph"/>
              <w:ind w:left="189"/>
              <w:jc w:val="center"/>
              <w:rPr>
                <w:rFonts w:asciiTheme="minorHAnsi" w:eastAsia="Calibri" w:hAnsiTheme="minorHAnsi" w:cs="Calibri"/>
                <w:sz w:val="18"/>
                <w:szCs w:val="18"/>
              </w:rPr>
            </w:pPr>
            <w:r w:rsidRPr="004532F6">
              <w:rPr>
                <w:rFonts w:asciiTheme="minorHAnsi" w:hAnsiTheme="minorHAnsi"/>
                <w:color w:val="231F20"/>
                <w:sz w:val="18"/>
                <w:szCs w:val="18"/>
              </w:rPr>
              <w:t>3</w:t>
            </w:r>
          </w:p>
        </w:tc>
        <w:tc>
          <w:tcPr>
            <w:tcW w:w="5587" w:type="dxa"/>
            <w:tcBorders>
              <w:top w:val="single" w:sz="8" w:space="0" w:color="FFFFFF"/>
              <w:left w:val="nil"/>
              <w:bottom w:val="nil"/>
              <w:right w:val="single" w:sz="8" w:space="0" w:color="FFFFFF"/>
            </w:tcBorders>
            <w:shd w:val="clear" w:color="auto" w:fill="DFECF3"/>
            <w:hideMark/>
          </w:tcPr>
          <w:p w:rsidR="00212C0B" w:rsidRPr="001A666B" w:rsidRDefault="00212C0B" w:rsidP="00212C0B">
            <w:pPr>
              <w:pStyle w:val="TableParagraph"/>
              <w:spacing w:before="22" w:line="180" w:lineRule="exact"/>
              <w:ind w:left="256" w:right="1215"/>
              <w:rPr>
                <w:rFonts w:asciiTheme="minorHAnsi" w:eastAsia="Calibri" w:hAnsiTheme="minorHAnsi" w:cs="Calibri"/>
                <w:sz w:val="18"/>
                <w:szCs w:val="18"/>
                <w:lang w:val="pt-BR"/>
              </w:rPr>
            </w:pPr>
            <w:r w:rsidRPr="001A666B">
              <w:rPr>
                <w:rFonts w:asciiTheme="minorHAnsi" w:hAnsiTheme="minorHAnsi"/>
                <w:color w:val="231F20"/>
                <w:w w:val="95"/>
                <w:sz w:val="18"/>
                <w:szCs w:val="18"/>
                <w:lang w:val="pt-BR"/>
              </w:rPr>
              <w:t>Dominância</w:t>
            </w:r>
            <w:r w:rsidRPr="001A666B">
              <w:rPr>
                <w:rFonts w:asciiTheme="minorHAnsi" w:hAnsiTheme="minorHAnsi"/>
                <w:color w:val="231F20"/>
                <w:spacing w:val="-20"/>
                <w:w w:val="95"/>
                <w:sz w:val="18"/>
                <w:szCs w:val="18"/>
                <w:lang w:val="pt-BR"/>
              </w:rPr>
              <w:t xml:space="preserve"> </w:t>
            </w:r>
            <w:r w:rsidRPr="001A666B">
              <w:rPr>
                <w:rFonts w:asciiTheme="minorHAnsi" w:hAnsiTheme="minorHAnsi"/>
                <w:color w:val="231F20"/>
                <w:w w:val="95"/>
                <w:sz w:val="18"/>
                <w:szCs w:val="18"/>
                <w:lang w:val="pt-BR"/>
              </w:rPr>
              <w:t>de</w:t>
            </w:r>
            <w:r w:rsidRPr="001A666B">
              <w:rPr>
                <w:rFonts w:asciiTheme="minorHAnsi" w:hAnsiTheme="minorHAnsi"/>
                <w:color w:val="231F20"/>
                <w:spacing w:val="-20"/>
                <w:w w:val="95"/>
                <w:sz w:val="18"/>
                <w:szCs w:val="18"/>
                <w:lang w:val="pt-BR"/>
              </w:rPr>
              <w:t xml:space="preserve"> </w:t>
            </w:r>
            <w:r w:rsidRPr="001A666B">
              <w:rPr>
                <w:rFonts w:asciiTheme="minorHAnsi" w:hAnsiTheme="minorHAnsi"/>
                <w:color w:val="231F20"/>
                <w:w w:val="95"/>
                <w:sz w:val="18"/>
                <w:szCs w:val="18"/>
                <w:lang w:val="pt-BR"/>
              </w:rPr>
              <w:t>Clorofíceas</w:t>
            </w:r>
            <w:r w:rsidRPr="001A666B">
              <w:rPr>
                <w:rFonts w:asciiTheme="minorHAnsi" w:hAnsiTheme="minorHAnsi"/>
                <w:color w:val="231F20"/>
                <w:spacing w:val="-20"/>
                <w:w w:val="95"/>
                <w:sz w:val="18"/>
                <w:szCs w:val="18"/>
                <w:lang w:val="pt-BR"/>
              </w:rPr>
              <w:t xml:space="preserve"> </w:t>
            </w:r>
            <w:r w:rsidRPr="001A666B">
              <w:rPr>
                <w:rFonts w:asciiTheme="minorHAnsi" w:hAnsiTheme="minorHAnsi"/>
                <w:color w:val="231F20"/>
                <w:w w:val="95"/>
                <w:sz w:val="18"/>
                <w:szCs w:val="18"/>
                <w:lang w:val="pt-BR"/>
              </w:rPr>
              <w:t>(Chlorococcales),</w:t>
            </w:r>
            <w:r w:rsidRPr="001A666B">
              <w:rPr>
                <w:rFonts w:asciiTheme="minorHAnsi" w:hAnsiTheme="minorHAnsi"/>
                <w:color w:val="231F20"/>
                <w:w w:val="92"/>
                <w:sz w:val="18"/>
                <w:szCs w:val="18"/>
                <w:lang w:val="pt-BR"/>
              </w:rPr>
              <w:t xml:space="preserve"> </w:t>
            </w:r>
            <w:r w:rsidRPr="001A666B">
              <w:rPr>
                <w:rFonts w:asciiTheme="minorHAnsi" w:hAnsiTheme="minorHAnsi"/>
                <w:color w:val="231F20"/>
                <w:w w:val="95"/>
                <w:sz w:val="18"/>
                <w:szCs w:val="18"/>
                <w:lang w:val="pt-BR"/>
              </w:rPr>
              <w:t>Fitoflagelados</w:t>
            </w:r>
            <w:r w:rsidRPr="001A666B">
              <w:rPr>
                <w:rFonts w:asciiTheme="minorHAnsi" w:hAnsiTheme="minorHAnsi"/>
                <w:color w:val="231F20"/>
                <w:spacing w:val="-19"/>
                <w:w w:val="95"/>
                <w:sz w:val="18"/>
                <w:szCs w:val="18"/>
                <w:lang w:val="pt-BR"/>
              </w:rPr>
              <w:t xml:space="preserve"> </w:t>
            </w:r>
            <w:r w:rsidRPr="001A666B">
              <w:rPr>
                <w:rFonts w:asciiTheme="minorHAnsi" w:hAnsiTheme="minorHAnsi"/>
                <w:color w:val="231F20"/>
                <w:w w:val="95"/>
                <w:sz w:val="18"/>
                <w:szCs w:val="18"/>
                <w:lang w:val="pt-BR"/>
              </w:rPr>
              <w:t>ou</w:t>
            </w:r>
            <w:r w:rsidRPr="001A666B">
              <w:rPr>
                <w:rFonts w:asciiTheme="minorHAnsi" w:hAnsiTheme="minorHAnsi"/>
                <w:color w:val="231F20"/>
                <w:spacing w:val="-18"/>
                <w:w w:val="95"/>
                <w:sz w:val="18"/>
                <w:szCs w:val="18"/>
                <w:lang w:val="pt-BR"/>
              </w:rPr>
              <w:t xml:space="preserve"> </w:t>
            </w:r>
            <w:r w:rsidRPr="001A666B">
              <w:rPr>
                <w:rFonts w:asciiTheme="minorHAnsi" w:hAnsiTheme="minorHAnsi"/>
                <w:color w:val="231F20"/>
                <w:w w:val="95"/>
                <w:sz w:val="18"/>
                <w:szCs w:val="18"/>
                <w:lang w:val="pt-BR"/>
              </w:rPr>
              <w:t>Dinoflagelados</w:t>
            </w:r>
          </w:p>
          <w:p w:rsidR="004532F6" w:rsidRPr="001A666B" w:rsidRDefault="00212C0B" w:rsidP="00212C0B">
            <w:pPr>
              <w:pStyle w:val="TableParagraph"/>
              <w:spacing w:line="180" w:lineRule="exact"/>
              <w:ind w:left="256" w:right="1261"/>
              <w:rPr>
                <w:rFonts w:asciiTheme="minorHAnsi" w:eastAsia="Calibri" w:hAnsiTheme="minorHAnsi" w:cs="Calibri"/>
                <w:color w:val="231F20"/>
                <w:w w:val="89"/>
                <w:sz w:val="18"/>
                <w:szCs w:val="18"/>
                <w:lang w:val="pt-BR"/>
              </w:rPr>
            </w:pPr>
            <w:r w:rsidRPr="001A666B">
              <w:rPr>
                <w:rFonts w:asciiTheme="minorHAnsi" w:eastAsia="Calibri" w:hAnsiTheme="minorHAnsi" w:cs="Calibri"/>
                <w:color w:val="231F20"/>
                <w:sz w:val="18"/>
                <w:szCs w:val="18"/>
                <w:lang w:val="pt-BR"/>
              </w:rPr>
              <w:t>Densidade</w:t>
            </w:r>
            <w:r w:rsidRPr="001A666B">
              <w:rPr>
                <w:rFonts w:asciiTheme="minorHAnsi" w:eastAsia="Calibri" w:hAnsiTheme="minorHAnsi" w:cs="Calibri"/>
                <w:color w:val="231F20"/>
                <w:spacing w:val="-21"/>
                <w:sz w:val="18"/>
                <w:szCs w:val="18"/>
                <w:lang w:val="pt-BR"/>
              </w:rPr>
              <w:t xml:space="preserve"> </w:t>
            </w:r>
            <w:r w:rsidRPr="001A666B">
              <w:rPr>
                <w:rFonts w:asciiTheme="minorHAnsi" w:eastAsia="Calibri" w:hAnsiTheme="minorHAnsi" w:cs="Calibri"/>
                <w:color w:val="231F20"/>
                <w:sz w:val="18"/>
                <w:szCs w:val="18"/>
                <w:lang w:val="pt-BR"/>
              </w:rPr>
              <w:t>total</w:t>
            </w:r>
            <w:r w:rsidRPr="001A666B">
              <w:rPr>
                <w:rFonts w:asciiTheme="minorHAnsi" w:eastAsia="Calibri" w:hAnsiTheme="minorHAnsi" w:cs="Calibri"/>
                <w:color w:val="231F20"/>
                <w:spacing w:val="-20"/>
                <w:sz w:val="18"/>
                <w:szCs w:val="18"/>
                <w:lang w:val="pt-BR"/>
              </w:rPr>
              <w:t xml:space="preserve"> </w:t>
            </w:r>
            <w:r w:rsidRPr="001A666B">
              <w:rPr>
                <w:rFonts w:asciiTheme="minorHAnsi" w:eastAsia="Calibri" w:hAnsiTheme="minorHAnsi" w:cs="Calibri"/>
                <w:color w:val="231F20"/>
                <w:sz w:val="18"/>
                <w:szCs w:val="18"/>
                <w:lang w:val="pt-BR"/>
              </w:rPr>
              <w:t>&gt;</w:t>
            </w:r>
            <w:r w:rsidRPr="001A666B">
              <w:rPr>
                <w:rFonts w:asciiTheme="minorHAnsi" w:eastAsia="Calibri" w:hAnsiTheme="minorHAnsi" w:cs="Calibri"/>
                <w:color w:val="231F20"/>
                <w:spacing w:val="-21"/>
                <w:sz w:val="18"/>
                <w:szCs w:val="18"/>
                <w:lang w:val="pt-BR"/>
              </w:rPr>
              <w:t xml:space="preserve"> </w:t>
            </w:r>
            <w:r w:rsidRPr="001A666B">
              <w:rPr>
                <w:rFonts w:asciiTheme="minorHAnsi" w:eastAsia="Calibri" w:hAnsiTheme="minorHAnsi" w:cs="Calibri"/>
                <w:color w:val="231F20"/>
                <w:sz w:val="18"/>
                <w:szCs w:val="18"/>
                <w:lang w:val="pt-BR"/>
              </w:rPr>
              <w:t>5.000</w:t>
            </w:r>
            <w:r w:rsidRPr="001A666B">
              <w:rPr>
                <w:rFonts w:asciiTheme="minorHAnsi" w:eastAsia="Calibri" w:hAnsiTheme="minorHAnsi" w:cs="Calibri"/>
                <w:color w:val="231F20"/>
                <w:spacing w:val="-20"/>
                <w:sz w:val="18"/>
                <w:szCs w:val="18"/>
                <w:lang w:val="pt-BR"/>
              </w:rPr>
              <w:t xml:space="preserve"> </w:t>
            </w:r>
            <w:r w:rsidRPr="001A666B">
              <w:rPr>
                <w:rFonts w:asciiTheme="minorHAnsi" w:eastAsia="Calibri" w:hAnsiTheme="minorHAnsi" w:cs="Calibri"/>
                <w:color w:val="231F20"/>
                <w:sz w:val="18"/>
                <w:szCs w:val="18"/>
                <w:lang w:val="pt-BR"/>
              </w:rPr>
              <w:t>e</w:t>
            </w:r>
            <w:r w:rsidRPr="001A666B">
              <w:rPr>
                <w:rFonts w:asciiTheme="minorHAnsi" w:eastAsia="Calibri" w:hAnsiTheme="minorHAnsi" w:cs="Calibri"/>
                <w:color w:val="231F20"/>
                <w:spacing w:val="-20"/>
                <w:sz w:val="18"/>
                <w:szCs w:val="18"/>
                <w:lang w:val="pt-BR"/>
              </w:rPr>
              <w:t xml:space="preserve"> </w:t>
            </w:r>
            <w:r w:rsidRPr="001A666B">
              <w:rPr>
                <w:rFonts w:asciiTheme="minorHAnsi" w:eastAsia="Calibri" w:hAnsiTheme="minorHAnsi" w:cs="Calibri"/>
                <w:color w:val="231F20"/>
                <w:sz w:val="18"/>
                <w:szCs w:val="18"/>
                <w:lang w:val="pt-BR"/>
              </w:rPr>
              <w:t>&lt;</w:t>
            </w:r>
            <w:r w:rsidRPr="001A666B">
              <w:rPr>
                <w:rFonts w:asciiTheme="minorHAnsi" w:eastAsia="Calibri" w:hAnsiTheme="minorHAnsi" w:cs="Calibri"/>
                <w:color w:val="231F20"/>
                <w:spacing w:val="-21"/>
                <w:sz w:val="18"/>
                <w:szCs w:val="18"/>
                <w:lang w:val="pt-BR"/>
              </w:rPr>
              <w:t xml:space="preserve"> </w:t>
            </w:r>
            <w:r w:rsidRPr="001A666B">
              <w:rPr>
                <w:rFonts w:asciiTheme="minorHAnsi" w:eastAsia="Calibri" w:hAnsiTheme="minorHAnsi" w:cs="Calibri"/>
                <w:color w:val="231F20"/>
                <w:sz w:val="18"/>
                <w:szCs w:val="18"/>
                <w:lang w:val="pt-BR"/>
              </w:rPr>
              <w:t>10.000</w:t>
            </w:r>
            <w:r w:rsidRPr="001A666B">
              <w:rPr>
                <w:rFonts w:asciiTheme="minorHAnsi" w:eastAsia="Calibri" w:hAnsiTheme="minorHAnsi" w:cs="Calibri"/>
                <w:color w:val="231F20"/>
                <w:spacing w:val="-20"/>
                <w:sz w:val="18"/>
                <w:szCs w:val="18"/>
                <w:lang w:val="pt-BR"/>
              </w:rPr>
              <w:t xml:space="preserve"> </w:t>
            </w:r>
            <w:r w:rsidRPr="001A666B">
              <w:rPr>
                <w:rFonts w:asciiTheme="minorHAnsi" w:eastAsia="Calibri" w:hAnsiTheme="minorHAnsi" w:cs="Calibri"/>
                <w:color w:val="231F20"/>
                <w:sz w:val="18"/>
                <w:szCs w:val="18"/>
                <w:lang w:val="pt-BR"/>
              </w:rPr>
              <w:t>org/mL</w:t>
            </w:r>
            <w:r w:rsidRPr="001A666B">
              <w:rPr>
                <w:rFonts w:asciiTheme="minorHAnsi" w:eastAsia="Calibri" w:hAnsiTheme="minorHAnsi" w:cs="Calibri"/>
                <w:color w:val="231F20"/>
                <w:w w:val="89"/>
                <w:sz w:val="18"/>
                <w:szCs w:val="18"/>
                <w:lang w:val="pt-BR"/>
              </w:rPr>
              <w:t xml:space="preserve"> </w:t>
            </w:r>
          </w:p>
          <w:p w:rsidR="00212C0B" w:rsidRPr="001A666B" w:rsidRDefault="00212C0B" w:rsidP="00212C0B">
            <w:pPr>
              <w:pStyle w:val="TableParagraph"/>
              <w:spacing w:line="180" w:lineRule="exact"/>
              <w:ind w:left="256" w:right="1261"/>
              <w:rPr>
                <w:rFonts w:asciiTheme="minorHAnsi" w:eastAsia="Calibri" w:hAnsiTheme="minorHAnsi" w:cs="Calibri"/>
                <w:sz w:val="18"/>
                <w:szCs w:val="18"/>
                <w:lang w:val="pt-BR"/>
              </w:rPr>
            </w:pPr>
            <w:r w:rsidRPr="001A666B">
              <w:rPr>
                <w:rFonts w:asciiTheme="minorHAnsi" w:eastAsia="Calibri" w:hAnsiTheme="minorHAnsi" w:cs="Calibri"/>
                <w:color w:val="231F20"/>
                <w:sz w:val="18"/>
                <w:szCs w:val="18"/>
                <w:lang w:val="pt-BR"/>
              </w:rPr>
              <w:t>59</w:t>
            </w:r>
            <w:r w:rsidRPr="001A666B">
              <w:rPr>
                <w:rFonts w:asciiTheme="minorHAnsi" w:eastAsia="Calibri" w:hAnsiTheme="minorHAnsi" w:cs="Calibri"/>
                <w:color w:val="231F20"/>
                <w:spacing w:val="-3"/>
                <w:sz w:val="18"/>
                <w:szCs w:val="18"/>
                <w:lang w:val="pt-BR"/>
              </w:rPr>
              <w:t xml:space="preserve"> </w:t>
            </w:r>
            <w:r w:rsidRPr="001A666B">
              <w:rPr>
                <w:rFonts w:asciiTheme="minorHAnsi" w:eastAsia="Calibri" w:hAnsiTheme="minorHAnsi" w:cs="Calibri"/>
                <w:color w:val="231F20"/>
                <w:sz w:val="18"/>
                <w:szCs w:val="18"/>
                <w:lang w:val="pt-BR"/>
              </w:rPr>
              <w:t>&lt;</w:t>
            </w:r>
            <w:r w:rsidRPr="001A666B">
              <w:rPr>
                <w:rFonts w:asciiTheme="minorHAnsi" w:eastAsia="Calibri" w:hAnsiTheme="minorHAnsi" w:cs="Calibri"/>
                <w:color w:val="231F20"/>
                <w:spacing w:val="-2"/>
                <w:sz w:val="18"/>
                <w:szCs w:val="18"/>
                <w:lang w:val="pt-BR"/>
              </w:rPr>
              <w:t xml:space="preserve"> </w:t>
            </w:r>
            <w:r w:rsidRPr="001A666B">
              <w:rPr>
                <w:rFonts w:asciiTheme="minorHAnsi" w:eastAsia="Calibri" w:hAnsiTheme="minorHAnsi" w:cs="Calibri"/>
                <w:color w:val="231F20"/>
                <w:sz w:val="18"/>
                <w:szCs w:val="18"/>
                <w:lang w:val="pt-BR"/>
              </w:rPr>
              <w:t>IET</w:t>
            </w:r>
            <w:r w:rsidRPr="001A666B">
              <w:rPr>
                <w:rFonts w:asciiTheme="minorHAnsi" w:eastAsia="Calibri" w:hAnsiTheme="minorHAnsi" w:cs="Calibri"/>
                <w:color w:val="231F20"/>
                <w:spacing w:val="-2"/>
                <w:sz w:val="18"/>
                <w:szCs w:val="18"/>
                <w:lang w:val="pt-BR"/>
              </w:rPr>
              <w:t xml:space="preserve"> </w:t>
            </w:r>
            <w:r w:rsidR="004532F6" w:rsidRPr="001A666B">
              <w:rPr>
                <w:rFonts w:asciiTheme="minorHAnsi" w:eastAsia="Calibri" w:hAnsiTheme="minorHAnsi" w:cs="Calibri"/>
                <w:color w:val="231F20"/>
                <w:spacing w:val="-10"/>
                <w:sz w:val="18"/>
                <w:szCs w:val="18"/>
                <w:lang w:val="pt-BR"/>
              </w:rPr>
              <w:t xml:space="preserve">≤ </w:t>
            </w:r>
            <w:r w:rsidRPr="001A666B">
              <w:rPr>
                <w:rFonts w:asciiTheme="minorHAnsi" w:eastAsia="Calibri" w:hAnsiTheme="minorHAnsi" w:cs="Calibri"/>
                <w:color w:val="231F20"/>
                <w:sz w:val="18"/>
                <w:szCs w:val="18"/>
                <w:lang w:val="pt-BR"/>
              </w:rPr>
              <w:t>63</w:t>
            </w:r>
          </w:p>
        </w:tc>
      </w:tr>
      <w:tr w:rsidR="00212C0B" w:rsidRPr="004532F6" w:rsidTr="004532F6">
        <w:trPr>
          <w:trHeight w:hRule="exact" w:val="603"/>
        </w:trPr>
        <w:tc>
          <w:tcPr>
            <w:tcW w:w="1560" w:type="dxa"/>
            <w:tcBorders>
              <w:top w:val="nil"/>
              <w:left w:val="nil"/>
              <w:bottom w:val="single" w:sz="8" w:space="0" w:color="FFFFFF"/>
              <w:right w:val="single" w:sz="8" w:space="0" w:color="FFFFFF"/>
            </w:tcBorders>
            <w:shd w:val="clear" w:color="auto" w:fill="EB2627"/>
          </w:tcPr>
          <w:p w:rsidR="00212C0B" w:rsidRPr="001A666B" w:rsidRDefault="00212C0B" w:rsidP="00212C0B">
            <w:pPr>
              <w:pStyle w:val="TableParagraph"/>
              <w:spacing w:before="9"/>
              <w:rPr>
                <w:rFonts w:asciiTheme="minorHAnsi" w:eastAsia="Calibri" w:hAnsiTheme="minorHAnsi" w:cs="Calibri"/>
                <w:sz w:val="18"/>
                <w:szCs w:val="18"/>
                <w:lang w:val="pt-BR"/>
              </w:rPr>
            </w:pPr>
          </w:p>
          <w:p w:rsidR="00212C0B" w:rsidRPr="004532F6" w:rsidRDefault="00212C0B" w:rsidP="00212C0B">
            <w:pPr>
              <w:pStyle w:val="TableParagraph"/>
              <w:ind w:left="10"/>
              <w:jc w:val="center"/>
              <w:rPr>
                <w:rFonts w:asciiTheme="minorHAnsi" w:eastAsia="Calibri" w:hAnsiTheme="minorHAnsi" w:cs="Calibri"/>
                <w:sz w:val="18"/>
                <w:szCs w:val="18"/>
              </w:rPr>
            </w:pPr>
            <w:r w:rsidRPr="004532F6">
              <w:rPr>
                <w:rFonts w:asciiTheme="minorHAnsi" w:hAnsiTheme="minorHAnsi"/>
                <w:b/>
                <w:color w:val="231F20"/>
                <w:sz w:val="18"/>
                <w:szCs w:val="18"/>
              </w:rPr>
              <w:t>RUIM</w:t>
            </w:r>
          </w:p>
        </w:tc>
        <w:tc>
          <w:tcPr>
            <w:tcW w:w="1642" w:type="dxa"/>
            <w:tcBorders>
              <w:top w:val="nil"/>
              <w:left w:val="single" w:sz="8" w:space="0" w:color="FFFFFF"/>
              <w:bottom w:val="single" w:sz="8" w:space="0" w:color="FFFFFF"/>
              <w:right w:val="nil"/>
            </w:tcBorders>
            <w:shd w:val="clear" w:color="auto" w:fill="C6DEEA"/>
          </w:tcPr>
          <w:p w:rsidR="00212C0B" w:rsidRPr="004532F6" w:rsidRDefault="00212C0B" w:rsidP="00212C0B">
            <w:pPr>
              <w:pStyle w:val="TableParagraph"/>
              <w:spacing w:before="9"/>
              <w:rPr>
                <w:rFonts w:asciiTheme="minorHAnsi" w:eastAsia="Calibri" w:hAnsiTheme="minorHAnsi" w:cs="Calibri"/>
                <w:sz w:val="18"/>
                <w:szCs w:val="18"/>
              </w:rPr>
            </w:pPr>
          </w:p>
          <w:p w:rsidR="00212C0B" w:rsidRPr="004532F6" w:rsidRDefault="00212C0B" w:rsidP="00212C0B">
            <w:pPr>
              <w:pStyle w:val="TableParagraph"/>
              <w:ind w:left="189"/>
              <w:jc w:val="center"/>
              <w:rPr>
                <w:rFonts w:asciiTheme="minorHAnsi" w:eastAsia="Calibri" w:hAnsiTheme="minorHAnsi" w:cs="Calibri"/>
                <w:sz w:val="18"/>
                <w:szCs w:val="18"/>
              </w:rPr>
            </w:pPr>
            <w:r w:rsidRPr="004532F6">
              <w:rPr>
                <w:rFonts w:asciiTheme="minorHAnsi" w:hAnsiTheme="minorHAnsi"/>
                <w:color w:val="231F20"/>
                <w:sz w:val="18"/>
                <w:szCs w:val="18"/>
              </w:rPr>
              <w:t>4</w:t>
            </w:r>
          </w:p>
        </w:tc>
        <w:tc>
          <w:tcPr>
            <w:tcW w:w="5587" w:type="dxa"/>
            <w:tcBorders>
              <w:top w:val="nil"/>
              <w:left w:val="nil"/>
              <w:bottom w:val="single" w:sz="8" w:space="0" w:color="FFFFFF"/>
              <w:right w:val="single" w:sz="8" w:space="0" w:color="FFFFFF"/>
            </w:tcBorders>
            <w:shd w:val="clear" w:color="auto" w:fill="C6DEEA"/>
            <w:hideMark/>
          </w:tcPr>
          <w:p w:rsidR="004532F6" w:rsidRPr="001A666B" w:rsidRDefault="00212C0B" w:rsidP="00212C0B">
            <w:pPr>
              <w:pStyle w:val="TableParagraph"/>
              <w:spacing w:before="32" w:line="180" w:lineRule="exact"/>
              <w:ind w:left="256" w:right="990"/>
              <w:rPr>
                <w:rFonts w:asciiTheme="minorHAnsi" w:hAnsiTheme="minorHAnsi"/>
                <w:color w:val="231F20"/>
                <w:w w:val="93"/>
                <w:sz w:val="18"/>
                <w:szCs w:val="18"/>
                <w:lang w:val="pt-BR"/>
              </w:rPr>
            </w:pPr>
            <w:r w:rsidRPr="001A666B">
              <w:rPr>
                <w:rFonts w:asciiTheme="minorHAnsi" w:hAnsiTheme="minorHAnsi"/>
                <w:color w:val="231F20"/>
                <w:w w:val="95"/>
                <w:sz w:val="18"/>
                <w:szCs w:val="18"/>
                <w:lang w:val="pt-BR"/>
              </w:rPr>
              <w:t>Dominância</w:t>
            </w:r>
            <w:r w:rsidRPr="001A666B">
              <w:rPr>
                <w:rFonts w:asciiTheme="minorHAnsi" w:hAnsiTheme="minorHAnsi"/>
                <w:color w:val="231F20"/>
                <w:spacing w:val="-14"/>
                <w:w w:val="95"/>
                <w:sz w:val="18"/>
                <w:szCs w:val="18"/>
                <w:lang w:val="pt-BR"/>
              </w:rPr>
              <w:t xml:space="preserve"> </w:t>
            </w:r>
            <w:r w:rsidRPr="001A666B">
              <w:rPr>
                <w:rFonts w:asciiTheme="minorHAnsi" w:hAnsiTheme="minorHAnsi"/>
                <w:color w:val="231F20"/>
                <w:w w:val="95"/>
                <w:sz w:val="18"/>
                <w:szCs w:val="18"/>
                <w:lang w:val="pt-BR"/>
              </w:rPr>
              <w:t>de</w:t>
            </w:r>
            <w:r w:rsidRPr="001A666B">
              <w:rPr>
                <w:rFonts w:asciiTheme="minorHAnsi" w:hAnsiTheme="minorHAnsi"/>
                <w:color w:val="231F20"/>
                <w:spacing w:val="-13"/>
                <w:w w:val="95"/>
                <w:sz w:val="18"/>
                <w:szCs w:val="18"/>
                <w:lang w:val="pt-BR"/>
              </w:rPr>
              <w:t xml:space="preserve"> </w:t>
            </w:r>
            <w:r w:rsidRPr="001A666B">
              <w:rPr>
                <w:rFonts w:asciiTheme="minorHAnsi" w:hAnsiTheme="minorHAnsi"/>
                <w:color w:val="231F20"/>
                <w:w w:val="95"/>
                <w:sz w:val="18"/>
                <w:szCs w:val="18"/>
                <w:lang w:val="pt-BR"/>
              </w:rPr>
              <w:t>Cianobactérias</w:t>
            </w:r>
            <w:r w:rsidRPr="001A666B">
              <w:rPr>
                <w:rFonts w:asciiTheme="minorHAnsi" w:hAnsiTheme="minorHAnsi"/>
                <w:color w:val="231F20"/>
                <w:spacing w:val="-13"/>
                <w:w w:val="95"/>
                <w:sz w:val="18"/>
                <w:szCs w:val="18"/>
                <w:lang w:val="pt-BR"/>
              </w:rPr>
              <w:t xml:space="preserve"> </w:t>
            </w:r>
            <w:r w:rsidRPr="001A666B">
              <w:rPr>
                <w:rFonts w:asciiTheme="minorHAnsi" w:hAnsiTheme="minorHAnsi"/>
                <w:color w:val="231F20"/>
                <w:w w:val="95"/>
                <w:sz w:val="18"/>
                <w:szCs w:val="18"/>
                <w:lang w:val="pt-BR"/>
              </w:rPr>
              <w:t>ou</w:t>
            </w:r>
            <w:r w:rsidRPr="001A666B">
              <w:rPr>
                <w:rFonts w:asciiTheme="minorHAnsi" w:hAnsiTheme="minorHAnsi"/>
                <w:color w:val="231F20"/>
                <w:spacing w:val="-13"/>
                <w:w w:val="95"/>
                <w:sz w:val="18"/>
                <w:szCs w:val="18"/>
                <w:lang w:val="pt-BR"/>
              </w:rPr>
              <w:t xml:space="preserve"> </w:t>
            </w:r>
            <w:r w:rsidRPr="001A666B">
              <w:rPr>
                <w:rFonts w:asciiTheme="minorHAnsi" w:hAnsiTheme="minorHAnsi"/>
                <w:color w:val="231F20"/>
                <w:w w:val="95"/>
                <w:sz w:val="18"/>
                <w:szCs w:val="18"/>
                <w:lang w:val="pt-BR"/>
              </w:rPr>
              <w:t>Euglenofíceas</w:t>
            </w:r>
          </w:p>
          <w:p w:rsidR="00212C0B" w:rsidRPr="001A666B" w:rsidRDefault="00212C0B" w:rsidP="00212C0B">
            <w:pPr>
              <w:pStyle w:val="TableParagraph"/>
              <w:spacing w:before="32" w:line="180" w:lineRule="exact"/>
              <w:ind w:left="256" w:right="990"/>
              <w:rPr>
                <w:rFonts w:asciiTheme="minorHAnsi" w:eastAsia="Calibri" w:hAnsiTheme="minorHAnsi" w:cs="Calibri"/>
                <w:sz w:val="18"/>
                <w:szCs w:val="18"/>
                <w:lang w:val="pt-BR"/>
              </w:rPr>
            </w:pPr>
            <w:r w:rsidRPr="001A666B">
              <w:rPr>
                <w:rFonts w:asciiTheme="minorHAnsi" w:hAnsiTheme="minorHAnsi"/>
                <w:color w:val="231F20"/>
                <w:w w:val="95"/>
                <w:sz w:val="18"/>
                <w:szCs w:val="18"/>
                <w:lang w:val="pt-BR"/>
              </w:rPr>
              <w:t>Densidade</w:t>
            </w:r>
            <w:r w:rsidRPr="001A666B">
              <w:rPr>
                <w:rFonts w:asciiTheme="minorHAnsi" w:hAnsiTheme="minorHAnsi"/>
                <w:color w:val="231F20"/>
                <w:spacing w:val="-7"/>
                <w:w w:val="95"/>
                <w:sz w:val="18"/>
                <w:szCs w:val="18"/>
                <w:lang w:val="pt-BR"/>
              </w:rPr>
              <w:t xml:space="preserve"> </w:t>
            </w:r>
            <w:r w:rsidRPr="001A666B">
              <w:rPr>
                <w:rFonts w:asciiTheme="minorHAnsi" w:hAnsiTheme="minorHAnsi"/>
                <w:color w:val="231F20"/>
                <w:w w:val="95"/>
                <w:sz w:val="18"/>
                <w:szCs w:val="18"/>
                <w:lang w:val="pt-BR"/>
              </w:rPr>
              <w:t>total</w:t>
            </w:r>
            <w:r w:rsidRPr="001A666B">
              <w:rPr>
                <w:rFonts w:asciiTheme="minorHAnsi" w:hAnsiTheme="minorHAnsi"/>
                <w:color w:val="231F20"/>
                <w:spacing w:val="-7"/>
                <w:w w:val="95"/>
                <w:sz w:val="18"/>
                <w:szCs w:val="18"/>
                <w:lang w:val="pt-BR"/>
              </w:rPr>
              <w:t xml:space="preserve"> </w:t>
            </w:r>
            <w:r w:rsidRPr="001A666B">
              <w:rPr>
                <w:rFonts w:asciiTheme="minorHAnsi" w:hAnsiTheme="minorHAnsi"/>
                <w:color w:val="231F20"/>
                <w:w w:val="95"/>
                <w:sz w:val="18"/>
                <w:szCs w:val="18"/>
                <w:lang w:val="pt-BR"/>
              </w:rPr>
              <w:t>&gt;</w:t>
            </w:r>
            <w:r w:rsidRPr="001A666B">
              <w:rPr>
                <w:rFonts w:asciiTheme="minorHAnsi" w:hAnsiTheme="minorHAnsi"/>
                <w:color w:val="231F20"/>
                <w:spacing w:val="-7"/>
                <w:w w:val="95"/>
                <w:sz w:val="18"/>
                <w:szCs w:val="18"/>
                <w:lang w:val="pt-BR"/>
              </w:rPr>
              <w:t xml:space="preserve"> </w:t>
            </w:r>
            <w:r w:rsidRPr="001A666B">
              <w:rPr>
                <w:rFonts w:asciiTheme="minorHAnsi" w:hAnsiTheme="minorHAnsi"/>
                <w:color w:val="231F20"/>
                <w:w w:val="95"/>
                <w:sz w:val="18"/>
                <w:szCs w:val="18"/>
                <w:lang w:val="pt-BR"/>
              </w:rPr>
              <w:t>10.000</w:t>
            </w:r>
            <w:r w:rsidRPr="001A666B">
              <w:rPr>
                <w:rFonts w:asciiTheme="minorHAnsi" w:hAnsiTheme="minorHAnsi"/>
                <w:color w:val="231F20"/>
                <w:spacing w:val="-7"/>
                <w:w w:val="95"/>
                <w:sz w:val="18"/>
                <w:szCs w:val="18"/>
                <w:lang w:val="pt-BR"/>
              </w:rPr>
              <w:t xml:space="preserve"> </w:t>
            </w:r>
            <w:r w:rsidRPr="001A666B">
              <w:rPr>
                <w:rFonts w:asciiTheme="minorHAnsi" w:hAnsiTheme="minorHAnsi"/>
                <w:color w:val="231F20"/>
                <w:w w:val="95"/>
                <w:sz w:val="18"/>
                <w:szCs w:val="18"/>
                <w:lang w:val="pt-BR"/>
              </w:rPr>
              <w:t>org/mL</w:t>
            </w:r>
          </w:p>
          <w:p w:rsidR="00212C0B" w:rsidRPr="004532F6" w:rsidRDefault="00212C0B" w:rsidP="00212C0B">
            <w:pPr>
              <w:pStyle w:val="TableParagraph"/>
              <w:spacing w:line="187" w:lineRule="exact"/>
              <w:ind w:left="256"/>
              <w:rPr>
                <w:rFonts w:asciiTheme="minorHAnsi" w:eastAsia="Calibri" w:hAnsiTheme="minorHAnsi" w:cs="Calibri"/>
                <w:sz w:val="18"/>
                <w:szCs w:val="18"/>
              </w:rPr>
            </w:pPr>
            <w:r w:rsidRPr="004532F6">
              <w:rPr>
                <w:rFonts w:asciiTheme="minorHAnsi" w:hAnsiTheme="minorHAnsi"/>
                <w:color w:val="231F20"/>
                <w:sz w:val="18"/>
                <w:szCs w:val="18"/>
              </w:rPr>
              <w:t>63</w:t>
            </w:r>
            <w:r w:rsidRPr="004532F6">
              <w:rPr>
                <w:rFonts w:asciiTheme="minorHAnsi" w:hAnsiTheme="minorHAnsi"/>
                <w:color w:val="231F20"/>
                <w:spacing w:val="-2"/>
                <w:sz w:val="18"/>
                <w:szCs w:val="18"/>
              </w:rPr>
              <w:t xml:space="preserve"> </w:t>
            </w:r>
            <w:r w:rsidRPr="004532F6">
              <w:rPr>
                <w:rFonts w:asciiTheme="minorHAnsi" w:hAnsiTheme="minorHAnsi"/>
                <w:color w:val="231F20"/>
                <w:sz w:val="18"/>
                <w:szCs w:val="18"/>
              </w:rPr>
              <w:t>&lt;</w:t>
            </w:r>
            <w:r w:rsidRPr="004532F6">
              <w:rPr>
                <w:rFonts w:asciiTheme="minorHAnsi" w:hAnsiTheme="minorHAnsi"/>
                <w:color w:val="231F20"/>
                <w:spacing w:val="-2"/>
                <w:sz w:val="18"/>
                <w:szCs w:val="18"/>
              </w:rPr>
              <w:t xml:space="preserve"> </w:t>
            </w:r>
            <w:r w:rsidRPr="004532F6">
              <w:rPr>
                <w:rFonts w:asciiTheme="minorHAnsi" w:hAnsiTheme="minorHAnsi"/>
                <w:color w:val="231F20"/>
                <w:sz w:val="18"/>
                <w:szCs w:val="18"/>
              </w:rPr>
              <w:t>IET</w:t>
            </w:r>
          </w:p>
        </w:tc>
      </w:tr>
    </w:tbl>
    <w:p w:rsidR="00212C0B" w:rsidRPr="004532F6" w:rsidRDefault="00212C0B" w:rsidP="004532F6">
      <w:pPr>
        <w:ind w:firstLine="708"/>
        <w:rPr>
          <w:sz w:val="16"/>
          <w:szCs w:val="16"/>
        </w:rPr>
      </w:pPr>
      <w:r w:rsidRPr="004532F6">
        <w:rPr>
          <w:sz w:val="16"/>
          <w:szCs w:val="16"/>
        </w:rPr>
        <w:t>Fonte: CETESB (2014)</w:t>
      </w:r>
    </w:p>
    <w:p w:rsidR="00212C0B" w:rsidRPr="00131F0B" w:rsidRDefault="00212C0B" w:rsidP="004532F6">
      <w:r w:rsidRPr="00131F0B">
        <w:rPr>
          <w:color w:val="231F20"/>
        </w:rPr>
        <w:t>O</w:t>
      </w:r>
      <w:r w:rsidRPr="00131F0B">
        <w:rPr>
          <w:color w:val="231F20"/>
          <w:spacing w:val="-30"/>
        </w:rPr>
        <w:t xml:space="preserve"> </w:t>
      </w:r>
      <w:r w:rsidRPr="00131F0B">
        <w:rPr>
          <w:color w:val="231F20"/>
        </w:rPr>
        <w:t>valor</w:t>
      </w:r>
      <w:r w:rsidRPr="00131F0B">
        <w:rPr>
          <w:color w:val="231F20"/>
          <w:spacing w:val="-30"/>
        </w:rPr>
        <w:t xml:space="preserve"> </w:t>
      </w:r>
      <w:r w:rsidRPr="00131F0B">
        <w:rPr>
          <w:color w:val="231F20"/>
        </w:rPr>
        <w:t>final,</w:t>
      </w:r>
      <w:r w:rsidRPr="00131F0B">
        <w:rPr>
          <w:color w:val="231F20"/>
          <w:spacing w:val="-30"/>
        </w:rPr>
        <w:t xml:space="preserve"> </w:t>
      </w:r>
      <w:r w:rsidRPr="00131F0B">
        <w:rPr>
          <w:color w:val="231F20"/>
        </w:rPr>
        <w:t>que</w:t>
      </w:r>
      <w:r w:rsidRPr="00131F0B">
        <w:rPr>
          <w:color w:val="231F20"/>
          <w:spacing w:val="-29"/>
        </w:rPr>
        <w:t xml:space="preserve"> </w:t>
      </w:r>
      <w:r w:rsidRPr="00131F0B">
        <w:rPr>
          <w:color w:val="231F20"/>
        </w:rPr>
        <w:t>gera</w:t>
      </w:r>
      <w:r w:rsidRPr="00131F0B">
        <w:rPr>
          <w:color w:val="231F20"/>
          <w:spacing w:val="-30"/>
        </w:rPr>
        <w:t xml:space="preserve"> </w:t>
      </w:r>
      <w:r w:rsidRPr="00131F0B">
        <w:rPr>
          <w:color w:val="231F20"/>
        </w:rPr>
        <w:t>o</w:t>
      </w:r>
      <w:r w:rsidRPr="00131F0B">
        <w:rPr>
          <w:color w:val="231F20"/>
          <w:spacing w:val="-30"/>
        </w:rPr>
        <w:t xml:space="preserve"> </w:t>
      </w:r>
      <w:r w:rsidRPr="00131F0B">
        <w:rPr>
          <w:color w:val="231F20"/>
        </w:rPr>
        <w:t>diagnóstico</w:t>
      </w:r>
      <w:r w:rsidRPr="00131F0B">
        <w:rPr>
          <w:color w:val="231F20"/>
          <w:spacing w:val="-30"/>
        </w:rPr>
        <w:t xml:space="preserve"> </w:t>
      </w:r>
      <w:r w:rsidRPr="00131F0B">
        <w:rPr>
          <w:color w:val="231F20"/>
        </w:rPr>
        <w:t>ou</w:t>
      </w:r>
      <w:r w:rsidRPr="00131F0B">
        <w:rPr>
          <w:color w:val="231F20"/>
          <w:spacing w:val="-29"/>
        </w:rPr>
        <w:t xml:space="preserve"> </w:t>
      </w:r>
      <w:r w:rsidRPr="00131F0B">
        <w:rPr>
          <w:color w:val="231F20"/>
        </w:rPr>
        <w:t>a</w:t>
      </w:r>
      <w:r w:rsidRPr="00131F0B">
        <w:rPr>
          <w:color w:val="231F20"/>
          <w:spacing w:val="-30"/>
        </w:rPr>
        <w:t xml:space="preserve"> </w:t>
      </w:r>
      <w:r w:rsidRPr="00131F0B">
        <w:rPr>
          <w:color w:val="231F20"/>
        </w:rPr>
        <w:t>classificação</w:t>
      </w:r>
      <w:r w:rsidRPr="00131F0B">
        <w:rPr>
          <w:color w:val="231F20"/>
          <w:spacing w:val="-30"/>
        </w:rPr>
        <w:t xml:space="preserve"> </w:t>
      </w:r>
      <w:r w:rsidRPr="00131F0B">
        <w:rPr>
          <w:color w:val="231F20"/>
        </w:rPr>
        <w:t>final</w:t>
      </w:r>
      <w:r w:rsidRPr="00131F0B">
        <w:rPr>
          <w:color w:val="231F20"/>
          <w:spacing w:val="-29"/>
        </w:rPr>
        <w:t xml:space="preserve"> </w:t>
      </w:r>
      <w:r w:rsidRPr="00131F0B">
        <w:rPr>
          <w:color w:val="231F20"/>
        </w:rPr>
        <w:t>da</w:t>
      </w:r>
      <w:r w:rsidRPr="00131F0B">
        <w:rPr>
          <w:color w:val="231F20"/>
          <w:spacing w:val="-30"/>
        </w:rPr>
        <w:t xml:space="preserve"> </w:t>
      </w:r>
      <w:r w:rsidRPr="00131F0B">
        <w:rPr>
          <w:color w:val="231F20"/>
        </w:rPr>
        <w:t>qualidade</w:t>
      </w:r>
      <w:r w:rsidRPr="00131F0B">
        <w:rPr>
          <w:color w:val="231F20"/>
          <w:spacing w:val="-30"/>
        </w:rPr>
        <w:t xml:space="preserve"> </w:t>
      </w:r>
      <w:r w:rsidRPr="00131F0B">
        <w:rPr>
          <w:color w:val="231F20"/>
        </w:rPr>
        <w:t>será</w:t>
      </w:r>
      <w:r w:rsidRPr="00131F0B">
        <w:rPr>
          <w:color w:val="231F20"/>
          <w:spacing w:val="-30"/>
        </w:rPr>
        <w:t xml:space="preserve"> </w:t>
      </w:r>
      <w:r w:rsidRPr="00131F0B">
        <w:rPr>
          <w:color w:val="231F20"/>
        </w:rPr>
        <w:t>simplesmente</w:t>
      </w:r>
      <w:r w:rsidRPr="00131F0B">
        <w:rPr>
          <w:color w:val="231F20"/>
          <w:spacing w:val="-29"/>
        </w:rPr>
        <w:t xml:space="preserve"> </w:t>
      </w:r>
      <w:r w:rsidRPr="00131F0B">
        <w:rPr>
          <w:color w:val="231F20"/>
        </w:rPr>
        <w:t>a</w:t>
      </w:r>
      <w:r w:rsidRPr="00131F0B">
        <w:rPr>
          <w:color w:val="231F20"/>
          <w:spacing w:val="-30"/>
        </w:rPr>
        <w:t xml:space="preserve"> </w:t>
      </w:r>
      <w:r w:rsidRPr="00131F0B">
        <w:rPr>
          <w:color w:val="231F20"/>
        </w:rPr>
        <w:t>média aritmética</w:t>
      </w:r>
      <w:r w:rsidRPr="00131F0B">
        <w:rPr>
          <w:color w:val="231F20"/>
          <w:spacing w:val="-14"/>
        </w:rPr>
        <w:t xml:space="preserve"> </w:t>
      </w:r>
      <w:r w:rsidRPr="00131F0B">
        <w:rPr>
          <w:color w:val="231F20"/>
        </w:rPr>
        <w:t>das</w:t>
      </w:r>
      <w:r w:rsidRPr="00131F0B">
        <w:rPr>
          <w:color w:val="231F20"/>
          <w:spacing w:val="-14"/>
        </w:rPr>
        <w:t xml:space="preserve"> </w:t>
      </w:r>
      <w:r w:rsidRPr="00131F0B">
        <w:rPr>
          <w:color w:val="231F20"/>
        </w:rPr>
        <w:t>três</w:t>
      </w:r>
      <w:r w:rsidRPr="00131F0B">
        <w:rPr>
          <w:color w:val="231F20"/>
          <w:spacing w:val="-13"/>
        </w:rPr>
        <w:t xml:space="preserve"> </w:t>
      </w:r>
      <w:r w:rsidRPr="00131F0B">
        <w:rPr>
          <w:color w:val="231F20"/>
        </w:rPr>
        <w:t>ponderações</w:t>
      </w:r>
      <w:r w:rsidRPr="00131F0B">
        <w:rPr>
          <w:color w:val="231F20"/>
          <w:spacing w:val="-14"/>
        </w:rPr>
        <w:t xml:space="preserve"> </w:t>
      </w:r>
      <w:r w:rsidRPr="00131F0B">
        <w:rPr>
          <w:color w:val="231F20"/>
        </w:rPr>
        <w:t>parciais</w:t>
      </w:r>
      <w:r w:rsidRPr="00131F0B">
        <w:rPr>
          <w:color w:val="231F20"/>
          <w:spacing w:val="-13"/>
        </w:rPr>
        <w:t xml:space="preserve"> </w:t>
      </w:r>
      <w:r>
        <w:rPr>
          <w:color w:val="231F20"/>
        </w:rPr>
        <w:t>relativa</w:t>
      </w:r>
      <w:r w:rsidRPr="00131F0B">
        <w:rPr>
          <w:color w:val="231F20"/>
        </w:rPr>
        <w:t>s</w:t>
      </w:r>
      <w:r w:rsidRPr="00131F0B">
        <w:rPr>
          <w:color w:val="231F20"/>
          <w:spacing w:val="-14"/>
        </w:rPr>
        <w:t xml:space="preserve"> </w:t>
      </w:r>
      <w:r w:rsidRPr="00131F0B">
        <w:rPr>
          <w:color w:val="231F20"/>
        </w:rPr>
        <w:t>a</w:t>
      </w:r>
      <w:r w:rsidRPr="00131F0B">
        <w:rPr>
          <w:color w:val="231F20"/>
          <w:spacing w:val="-13"/>
        </w:rPr>
        <w:t xml:space="preserve"> </w:t>
      </w:r>
      <w:r w:rsidRPr="00131F0B">
        <w:rPr>
          <w:color w:val="231F20"/>
          <w:spacing w:val="-2"/>
        </w:rPr>
        <w:t>dominância</w:t>
      </w:r>
      <w:r w:rsidRPr="00131F0B">
        <w:rPr>
          <w:color w:val="231F20"/>
          <w:spacing w:val="-1"/>
        </w:rPr>
        <w:t>,</w:t>
      </w:r>
      <w:r w:rsidRPr="00131F0B">
        <w:rPr>
          <w:color w:val="231F20"/>
          <w:spacing w:val="-14"/>
        </w:rPr>
        <w:t xml:space="preserve"> </w:t>
      </w:r>
      <w:r w:rsidRPr="00131F0B">
        <w:rPr>
          <w:color w:val="231F20"/>
        </w:rPr>
        <w:t>densidade</w:t>
      </w:r>
      <w:r w:rsidRPr="00131F0B">
        <w:rPr>
          <w:color w:val="231F20"/>
          <w:spacing w:val="-14"/>
        </w:rPr>
        <w:t xml:space="preserve"> </w:t>
      </w:r>
      <w:r w:rsidRPr="00131F0B">
        <w:rPr>
          <w:color w:val="231F20"/>
        </w:rPr>
        <w:t>e</w:t>
      </w:r>
      <w:r w:rsidRPr="00131F0B">
        <w:rPr>
          <w:color w:val="231F20"/>
          <w:spacing w:val="-13"/>
        </w:rPr>
        <w:t xml:space="preserve"> </w:t>
      </w:r>
      <w:r w:rsidRPr="00131F0B">
        <w:rPr>
          <w:color w:val="231F20"/>
        </w:rPr>
        <w:t>valor</w:t>
      </w:r>
      <w:r w:rsidRPr="00131F0B">
        <w:rPr>
          <w:color w:val="231F20"/>
          <w:spacing w:val="-14"/>
        </w:rPr>
        <w:t xml:space="preserve"> </w:t>
      </w:r>
      <w:r w:rsidRPr="00131F0B">
        <w:rPr>
          <w:color w:val="231F20"/>
        </w:rPr>
        <w:t>de</w:t>
      </w:r>
      <w:r w:rsidRPr="00131F0B">
        <w:rPr>
          <w:color w:val="231F20"/>
          <w:spacing w:val="-13"/>
        </w:rPr>
        <w:t xml:space="preserve"> </w:t>
      </w:r>
      <w:r w:rsidRPr="00131F0B">
        <w:rPr>
          <w:color w:val="231F20"/>
        </w:rPr>
        <w:t>IET.</w:t>
      </w:r>
    </w:p>
    <w:p w:rsidR="00212C0B" w:rsidRDefault="00212C0B" w:rsidP="004532F6">
      <w:pPr>
        <w:rPr>
          <w:color w:val="231F20"/>
        </w:rPr>
      </w:pPr>
      <w:r w:rsidRPr="00100F32">
        <w:rPr>
          <w:color w:val="231F20"/>
        </w:rPr>
        <w:t>O</w:t>
      </w:r>
      <w:r w:rsidRPr="00100F32">
        <w:rPr>
          <w:color w:val="231F20"/>
          <w:spacing w:val="-18"/>
        </w:rPr>
        <w:t xml:space="preserve"> </w:t>
      </w:r>
      <w:r w:rsidRPr="00100F32">
        <w:rPr>
          <w:color w:val="231F20"/>
          <w:spacing w:val="-1"/>
        </w:rPr>
        <w:t>ICZ</w:t>
      </w:r>
      <w:r w:rsidRPr="0041314A">
        <w:rPr>
          <w:color w:val="231F20"/>
          <w:spacing w:val="-2"/>
          <w:position w:val="-2"/>
          <w:vertAlign w:val="subscript"/>
        </w:rPr>
        <w:t>RES</w:t>
      </w:r>
      <w:r>
        <w:rPr>
          <w:color w:val="231F20"/>
          <w:spacing w:val="-2"/>
          <w:position w:val="-2"/>
        </w:rPr>
        <w:t xml:space="preserve"> – Índice da Comunidade Zooplanctônica para Reservatórios </w:t>
      </w:r>
      <w:r w:rsidRPr="0041314A">
        <w:t>(CETESB, 2014)</w:t>
      </w:r>
      <w:r>
        <w:rPr>
          <w:color w:val="231F20"/>
          <w:spacing w:val="-2"/>
          <w:position w:val="-2"/>
        </w:rPr>
        <w:t xml:space="preserve"> -</w:t>
      </w:r>
      <w:r w:rsidRPr="00100F32">
        <w:rPr>
          <w:color w:val="231F20"/>
          <w:spacing w:val="3"/>
          <w:position w:val="-2"/>
        </w:rPr>
        <w:t xml:space="preserve"> </w:t>
      </w:r>
      <w:r w:rsidRPr="00100F32">
        <w:rPr>
          <w:color w:val="231F20"/>
        </w:rPr>
        <w:t>relaciona</w:t>
      </w:r>
      <w:r w:rsidRPr="00100F32">
        <w:rPr>
          <w:color w:val="231F20"/>
          <w:spacing w:val="-17"/>
        </w:rPr>
        <w:t xml:space="preserve"> </w:t>
      </w:r>
      <w:r w:rsidRPr="00100F32">
        <w:rPr>
          <w:color w:val="231F20"/>
        </w:rPr>
        <w:t>a</w:t>
      </w:r>
      <w:r w:rsidRPr="00100F32">
        <w:rPr>
          <w:color w:val="231F20"/>
          <w:spacing w:val="-17"/>
        </w:rPr>
        <w:t xml:space="preserve"> </w:t>
      </w:r>
      <w:r w:rsidRPr="00100F32">
        <w:rPr>
          <w:color w:val="231F20"/>
        </w:rPr>
        <w:t>razão</w:t>
      </w:r>
      <w:r w:rsidRPr="00100F32">
        <w:rPr>
          <w:color w:val="231F20"/>
          <w:spacing w:val="-18"/>
        </w:rPr>
        <w:t xml:space="preserve"> </w:t>
      </w:r>
      <w:r w:rsidRPr="00100F32">
        <w:rPr>
          <w:color w:val="231F20"/>
        </w:rPr>
        <w:t>entre</w:t>
      </w:r>
      <w:r w:rsidRPr="00100F32">
        <w:rPr>
          <w:color w:val="231F20"/>
          <w:spacing w:val="-17"/>
        </w:rPr>
        <w:t xml:space="preserve"> </w:t>
      </w:r>
      <w:r w:rsidRPr="00100F32">
        <w:rPr>
          <w:color w:val="231F20"/>
        </w:rPr>
        <w:t>o</w:t>
      </w:r>
      <w:r w:rsidRPr="00100F32">
        <w:rPr>
          <w:color w:val="231F20"/>
          <w:spacing w:val="-17"/>
        </w:rPr>
        <w:t xml:space="preserve"> </w:t>
      </w:r>
      <w:r w:rsidRPr="00100F32">
        <w:rPr>
          <w:color w:val="231F20"/>
        </w:rPr>
        <w:t>número</w:t>
      </w:r>
      <w:r w:rsidRPr="00100F32">
        <w:rPr>
          <w:color w:val="231F20"/>
          <w:spacing w:val="-18"/>
        </w:rPr>
        <w:t xml:space="preserve"> </w:t>
      </w:r>
      <w:r w:rsidRPr="00100F32">
        <w:rPr>
          <w:color w:val="231F20"/>
        </w:rPr>
        <w:t>total</w:t>
      </w:r>
      <w:r w:rsidRPr="00100F32">
        <w:rPr>
          <w:color w:val="231F20"/>
          <w:spacing w:val="-17"/>
        </w:rPr>
        <w:t xml:space="preserve"> </w:t>
      </w:r>
      <w:r w:rsidRPr="00100F32">
        <w:rPr>
          <w:color w:val="231F20"/>
        </w:rPr>
        <w:t>de</w:t>
      </w:r>
      <w:r w:rsidRPr="00100F32">
        <w:rPr>
          <w:color w:val="231F20"/>
          <w:spacing w:val="-17"/>
        </w:rPr>
        <w:t xml:space="preserve"> </w:t>
      </w:r>
      <w:r w:rsidRPr="00100F32">
        <w:rPr>
          <w:color w:val="231F20"/>
        </w:rPr>
        <w:t>calanóides</w:t>
      </w:r>
      <w:r w:rsidRPr="00100F32">
        <w:rPr>
          <w:color w:val="231F20"/>
          <w:spacing w:val="-18"/>
        </w:rPr>
        <w:t xml:space="preserve"> </w:t>
      </w:r>
      <w:r w:rsidRPr="00100F32">
        <w:rPr>
          <w:color w:val="231F20"/>
        </w:rPr>
        <w:t>e</w:t>
      </w:r>
      <w:r w:rsidRPr="00100F32">
        <w:rPr>
          <w:color w:val="231F20"/>
          <w:spacing w:val="-17"/>
        </w:rPr>
        <w:t xml:space="preserve"> </w:t>
      </w:r>
      <w:r w:rsidRPr="00100F32">
        <w:rPr>
          <w:color w:val="231F20"/>
        </w:rPr>
        <w:t>o</w:t>
      </w:r>
      <w:r w:rsidRPr="00100F32">
        <w:rPr>
          <w:color w:val="231F20"/>
          <w:spacing w:val="-17"/>
        </w:rPr>
        <w:t xml:space="preserve"> </w:t>
      </w:r>
      <w:r w:rsidRPr="00100F32">
        <w:rPr>
          <w:color w:val="231F20"/>
        </w:rPr>
        <w:t>número</w:t>
      </w:r>
      <w:r w:rsidRPr="00100F32">
        <w:rPr>
          <w:color w:val="231F20"/>
          <w:spacing w:val="-18"/>
        </w:rPr>
        <w:t xml:space="preserve"> </w:t>
      </w:r>
      <w:r w:rsidRPr="00100F32">
        <w:rPr>
          <w:color w:val="231F20"/>
        </w:rPr>
        <w:t>total</w:t>
      </w:r>
      <w:r w:rsidRPr="00100F32">
        <w:rPr>
          <w:color w:val="231F20"/>
          <w:spacing w:val="-17"/>
        </w:rPr>
        <w:t xml:space="preserve"> </w:t>
      </w:r>
      <w:r w:rsidRPr="00100F32">
        <w:rPr>
          <w:color w:val="231F20"/>
        </w:rPr>
        <w:t>de</w:t>
      </w:r>
      <w:r w:rsidRPr="00100F32">
        <w:rPr>
          <w:color w:val="231F20"/>
          <w:spacing w:val="-17"/>
        </w:rPr>
        <w:t xml:space="preserve"> </w:t>
      </w:r>
      <w:r w:rsidRPr="00100F32">
        <w:rPr>
          <w:color w:val="231F20"/>
        </w:rPr>
        <w:t>ciclopóides</w:t>
      </w:r>
      <w:r w:rsidRPr="00100F32">
        <w:rPr>
          <w:color w:val="231F20"/>
          <w:spacing w:val="-18"/>
        </w:rPr>
        <w:t xml:space="preserve"> </w:t>
      </w:r>
      <w:r w:rsidRPr="00100F32">
        <w:rPr>
          <w:color w:val="231F20"/>
          <w:spacing w:val="-2"/>
        </w:rPr>
        <w:t>(N</w:t>
      </w:r>
      <w:r w:rsidRPr="00100F32">
        <w:rPr>
          <w:color w:val="231F20"/>
          <w:spacing w:val="-2"/>
          <w:position w:val="-2"/>
        </w:rPr>
        <w:t>cal</w:t>
      </w:r>
      <w:r w:rsidRPr="00100F32">
        <w:rPr>
          <w:color w:val="231F20"/>
          <w:spacing w:val="-2"/>
        </w:rPr>
        <w:t>/</w:t>
      </w:r>
      <w:r w:rsidRPr="00100F32">
        <w:rPr>
          <w:color w:val="231F20"/>
          <w:spacing w:val="20"/>
        </w:rPr>
        <w:t xml:space="preserve"> </w:t>
      </w:r>
      <w:r w:rsidRPr="00100F32">
        <w:rPr>
          <w:color w:val="231F20"/>
        </w:rPr>
        <w:t>N</w:t>
      </w:r>
      <w:r w:rsidRPr="00100F32">
        <w:rPr>
          <w:color w:val="231F20"/>
          <w:position w:val="-2"/>
        </w:rPr>
        <w:t>cyc</w:t>
      </w:r>
      <w:r w:rsidRPr="00100F32">
        <w:rPr>
          <w:color w:val="231F20"/>
        </w:rPr>
        <w:t>),</w:t>
      </w:r>
      <w:r w:rsidRPr="00100F32">
        <w:rPr>
          <w:color w:val="231F20"/>
          <w:spacing w:val="-16"/>
        </w:rPr>
        <w:t xml:space="preserve"> </w:t>
      </w:r>
      <w:r w:rsidRPr="00100F32">
        <w:rPr>
          <w:color w:val="231F20"/>
        </w:rPr>
        <w:t>com</w:t>
      </w:r>
      <w:r w:rsidRPr="00100F32">
        <w:rPr>
          <w:color w:val="231F20"/>
          <w:spacing w:val="-15"/>
        </w:rPr>
        <w:t xml:space="preserve"> </w:t>
      </w:r>
      <w:r w:rsidRPr="00100F32">
        <w:rPr>
          <w:color w:val="231F20"/>
        </w:rPr>
        <w:t>o</w:t>
      </w:r>
      <w:r w:rsidRPr="00100F32">
        <w:rPr>
          <w:color w:val="231F20"/>
          <w:spacing w:val="-16"/>
        </w:rPr>
        <w:t xml:space="preserve"> </w:t>
      </w:r>
      <w:r w:rsidRPr="00100F32">
        <w:rPr>
          <w:color w:val="231F20"/>
        </w:rPr>
        <w:t>Índice</w:t>
      </w:r>
      <w:r w:rsidRPr="00100F32">
        <w:rPr>
          <w:color w:val="231F20"/>
          <w:spacing w:val="-15"/>
        </w:rPr>
        <w:t xml:space="preserve"> </w:t>
      </w:r>
      <w:r w:rsidRPr="00100F32">
        <w:rPr>
          <w:color w:val="231F20"/>
        </w:rPr>
        <w:t>de</w:t>
      </w:r>
      <w:r w:rsidRPr="00100F32">
        <w:rPr>
          <w:color w:val="231F20"/>
          <w:spacing w:val="-16"/>
        </w:rPr>
        <w:t xml:space="preserve"> </w:t>
      </w:r>
      <w:r w:rsidRPr="00100F32">
        <w:rPr>
          <w:color w:val="231F20"/>
        </w:rPr>
        <w:t>Estado</w:t>
      </w:r>
      <w:r w:rsidRPr="00100F32">
        <w:rPr>
          <w:color w:val="231F20"/>
          <w:spacing w:val="-15"/>
        </w:rPr>
        <w:t xml:space="preserve"> </w:t>
      </w:r>
      <w:r w:rsidRPr="00100F32">
        <w:rPr>
          <w:color w:val="231F20"/>
        </w:rPr>
        <w:t>Trófico</w:t>
      </w:r>
      <w:r w:rsidRPr="00100F32">
        <w:rPr>
          <w:color w:val="231F20"/>
          <w:spacing w:val="-16"/>
        </w:rPr>
        <w:t xml:space="preserve"> </w:t>
      </w:r>
      <w:r w:rsidRPr="00100F32">
        <w:rPr>
          <w:color w:val="231F20"/>
        </w:rPr>
        <w:t>(IET)</w:t>
      </w:r>
      <w:r w:rsidRPr="00100F32">
        <w:rPr>
          <w:color w:val="231F20"/>
          <w:spacing w:val="-15"/>
        </w:rPr>
        <w:t xml:space="preserve"> </w:t>
      </w:r>
      <w:r w:rsidRPr="00100F32">
        <w:rPr>
          <w:color w:val="231F20"/>
        </w:rPr>
        <w:t>para</w:t>
      </w:r>
      <w:r w:rsidRPr="00100F32">
        <w:rPr>
          <w:color w:val="231F20"/>
          <w:spacing w:val="-16"/>
        </w:rPr>
        <w:t xml:space="preserve"> </w:t>
      </w:r>
      <w:r w:rsidRPr="00100F32">
        <w:rPr>
          <w:color w:val="231F20"/>
        </w:rPr>
        <w:t>clorofila</w:t>
      </w:r>
      <w:r w:rsidRPr="00100F32">
        <w:rPr>
          <w:color w:val="231F20"/>
          <w:spacing w:val="-15"/>
        </w:rPr>
        <w:t xml:space="preserve"> </w:t>
      </w:r>
      <w:r w:rsidRPr="00100F32">
        <w:rPr>
          <w:i/>
          <w:color w:val="231F20"/>
        </w:rPr>
        <w:t>a</w:t>
      </w:r>
      <w:r w:rsidRPr="00100F32">
        <w:rPr>
          <w:color w:val="231F20"/>
        </w:rPr>
        <w:t>.</w:t>
      </w:r>
      <w:r w:rsidRPr="00100F32">
        <w:rPr>
          <w:color w:val="231F20"/>
          <w:spacing w:val="-16"/>
        </w:rPr>
        <w:t xml:space="preserve"> </w:t>
      </w:r>
      <w:r w:rsidRPr="00100F32">
        <w:rPr>
          <w:color w:val="231F20"/>
        </w:rPr>
        <w:t>Estes</w:t>
      </w:r>
      <w:r w:rsidRPr="00100F32">
        <w:rPr>
          <w:color w:val="231F20"/>
          <w:spacing w:val="-15"/>
        </w:rPr>
        <w:t xml:space="preserve"> </w:t>
      </w:r>
      <w:r w:rsidRPr="00100F32">
        <w:rPr>
          <w:color w:val="231F20"/>
        </w:rPr>
        <w:t>dois</w:t>
      </w:r>
      <w:r w:rsidRPr="00100F32">
        <w:rPr>
          <w:color w:val="231F20"/>
          <w:spacing w:val="-15"/>
        </w:rPr>
        <w:t xml:space="preserve"> </w:t>
      </w:r>
      <w:r w:rsidRPr="00100F32">
        <w:rPr>
          <w:color w:val="231F20"/>
        </w:rPr>
        <w:t>resultados</w:t>
      </w:r>
      <w:r w:rsidRPr="00100F32">
        <w:rPr>
          <w:color w:val="231F20"/>
          <w:spacing w:val="-16"/>
        </w:rPr>
        <w:t xml:space="preserve"> </w:t>
      </w:r>
      <w:r w:rsidRPr="00100F32">
        <w:rPr>
          <w:color w:val="231F20"/>
        </w:rPr>
        <w:t>encontram-se</w:t>
      </w:r>
      <w:r w:rsidRPr="00100F32">
        <w:rPr>
          <w:color w:val="231F20"/>
          <w:spacing w:val="-15"/>
        </w:rPr>
        <w:t xml:space="preserve"> </w:t>
      </w:r>
      <w:r w:rsidRPr="00100F32">
        <w:rPr>
          <w:color w:val="231F20"/>
        </w:rPr>
        <w:t>associados</w:t>
      </w:r>
      <w:r w:rsidRPr="00100F32">
        <w:rPr>
          <w:color w:val="231F20"/>
          <w:spacing w:val="-16"/>
        </w:rPr>
        <w:t xml:space="preserve"> </w:t>
      </w:r>
      <w:r w:rsidRPr="00100F32">
        <w:rPr>
          <w:color w:val="231F20"/>
        </w:rPr>
        <w:t>com categorias</w:t>
      </w:r>
      <w:r w:rsidRPr="00100F32">
        <w:rPr>
          <w:color w:val="231F20"/>
          <w:spacing w:val="-10"/>
        </w:rPr>
        <w:t xml:space="preserve"> </w:t>
      </w:r>
      <w:r w:rsidRPr="00100F32">
        <w:rPr>
          <w:color w:val="231F20"/>
        </w:rPr>
        <w:t>Boa,</w:t>
      </w:r>
      <w:r w:rsidRPr="00100F32">
        <w:rPr>
          <w:color w:val="231F20"/>
          <w:spacing w:val="-9"/>
        </w:rPr>
        <w:t xml:space="preserve"> </w:t>
      </w:r>
      <w:r w:rsidRPr="00100F32">
        <w:rPr>
          <w:color w:val="231F20"/>
        </w:rPr>
        <w:t>Regular,</w:t>
      </w:r>
      <w:r w:rsidRPr="00100F32">
        <w:rPr>
          <w:color w:val="231F20"/>
          <w:spacing w:val="-10"/>
        </w:rPr>
        <w:t xml:space="preserve"> </w:t>
      </w:r>
      <w:r w:rsidRPr="00100F32">
        <w:rPr>
          <w:color w:val="231F20"/>
        </w:rPr>
        <w:t>Ruim</w:t>
      </w:r>
      <w:r w:rsidRPr="00100F32">
        <w:rPr>
          <w:color w:val="231F20"/>
          <w:spacing w:val="-9"/>
        </w:rPr>
        <w:t xml:space="preserve"> </w:t>
      </w:r>
      <w:r w:rsidRPr="00100F32">
        <w:rPr>
          <w:color w:val="231F20"/>
        </w:rPr>
        <w:t>e</w:t>
      </w:r>
      <w:r w:rsidRPr="00100F32">
        <w:rPr>
          <w:color w:val="231F20"/>
          <w:spacing w:val="-10"/>
        </w:rPr>
        <w:t xml:space="preserve"> </w:t>
      </w:r>
      <w:r w:rsidRPr="00100F32">
        <w:rPr>
          <w:color w:val="231F20"/>
        </w:rPr>
        <w:t>Péssima,</w:t>
      </w:r>
      <w:r w:rsidRPr="00100F32">
        <w:rPr>
          <w:color w:val="231F20"/>
          <w:spacing w:val="-9"/>
        </w:rPr>
        <w:t xml:space="preserve"> </w:t>
      </w:r>
      <w:r w:rsidRPr="00100F32">
        <w:rPr>
          <w:color w:val="231F20"/>
        </w:rPr>
        <w:t>obtidas</w:t>
      </w:r>
      <w:r w:rsidRPr="00100F32">
        <w:rPr>
          <w:color w:val="231F20"/>
          <w:spacing w:val="-9"/>
        </w:rPr>
        <w:t xml:space="preserve"> </w:t>
      </w:r>
      <w:r w:rsidRPr="00100F32">
        <w:rPr>
          <w:color w:val="231F20"/>
        </w:rPr>
        <w:t>a</w:t>
      </w:r>
      <w:r w:rsidRPr="00100F32">
        <w:rPr>
          <w:color w:val="231F20"/>
          <w:spacing w:val="-10"/>
        </w:rPr>
        <w:t xml:space="preserve"> </w:t>
      </w:r>
      <w:r w:rsidRPr="00100F32">
        <w:rPr>
          <w:color w:val="231F20"/>
        </w:rPr>
        <w:t>partir</w:t>
      </w:r>
      <w:r w:rsidRPr="00100F32">
        <w:rPr>
          <w:color w:val="231F20"/>
          <w:spacing w:val="-9"/>
        </w:rPr>
        <w:t xml:space="preserve"> </w:t>
      </w:r>
      <w:r w:rsidRPr="00100F32">
        <w:rPr>
          <w:color w:val="231F20"/>
        </w:rPr>
        <w:t>do</w:t>
      </w:r>
      <w:r w:rsidRPr="00100F32">
        <w:rPr>
          <w:color w:val="231F20"/>
          <w:spacing w:val="-10"/>
        </w:rPr>
        <w:t xml:space="preserve"> </w:t>
      </w:r>
      <w:r w:rsidRPr="00100F32">
        <w:rPr>
          <w:color w:val="231F20"/>
          <w:spacing w:val="-2"/>
        </w:rPr>
        <w:t>se</w:t>
      </w:r>
      <w:r w:rsidRPr="00100F32">
        <w:rPr>
          <w:color w:val="231F20"/>
          <w:spacing w:val="-1"/>
        </w:rPr>
        <w:t>guinte</w:t>
      </w:r>
      <w:r w:rsidRPr="00100F32">
        <w:rPr>
          <w:color w:val="231F20"/>
          <w:spacing w:val="-9"/>
        </w:rPr>
        <w:t xml:space="preserve"> </w:t>
      </w:r>
      <w:r w:rsidRPr="00100F32">
        <w:rPr>
          <w:color w:val="231F20"/>
        </w:rPr>
        <w:t>quadro:</w:t>
      </w:r>
    </w:p>
    <w:p w:rsidR="00991EC9" w:rsidRPr="00100F32" w:rsidRDefault="00991EC9" w:rsidP="00991EC9">
      <w:pPr>
        <w:pStyle w:val="Quadro"/>
      </w:pPr>
      <w:r>
        <w:lastRenderedPageBreak/>
        <w:t>Figura 6.4.5-1. Índice da Comunidade Zooplanctônica para Reservatórios</w:t>
      </w:r>
    </w:p>
    <w:p w:rsidR="00212C0B" w:rsidRDefault="00212C0B" w:rsidP="00212C0B">
      <w:pPr>
        <w:spacing w:line="360" w:lineRule="auto"/>
        <w:jc w:val="center"/>
        <w:rPr>
          <w:rFonts w:ascii="Calibri" w:eastAsia="Calibri" w:hAnsi="Calibri" w:cs="Calibri"/>
          <w:sz w:val="20"/>
          <w:szCs w:val="20"/>
        </w:rPr>
      </w:pPr>
      <w:r w:rsidRPr="00100F32">
        <w:rPr>
          <w:noProof/>
          <w:color w:val="231F20"/>
          <w:sz w:val="24"/>
          <w:szCs w:val="24"/>
          <w:lang w:eastAsia="pt-BR"/>
        </w:rPr>
        <w:drawing>
          <wp:inline distT="0" distB="0" distL="0" distR="0" wp14:anchorId="0B8813A6" wp14:editId="7E668411">
            <wp:extent cx="4083521" cy="2200275"/>
            <wp:effectExtent l="0" t="0" r="0" b="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086182" cy="2201709"/>
                    </a:xfrm>
                    <a:prstGeom prst="rect">
                      <a:avLst/>
                    </a:prstGeom>
                    <a:noFill/>
                    <a:ln>
                      <a:noFill/>
                    </a:ln>
                  </pic:spPr>
                </pic:pic>
              </a:graphicData>
            </a:graphic>
          </wp:inline>
        </w:drawing>
      </w:r>
    </w:p>
    <w:p w:rsidR="00212C0B" w:rsidRPr="0041314A" w:rsidRDefault="00212C0B" w:rsidP="0041314A">
      <w:pPr>
        <w:jc w:val="center"/>
        <w:rPr>
          <w:sz w:val="16"/>
          <w:szCs w:val="16"/>
        </w:rPr>
      </w:pPr>
      <w:r w:rsidRPr="0041314A">
        <w:rPr>
          <w:sz w:val="16"/>
          <w:szCs w:val="16"/>
        </w:rPr>
        <w:t>Fonte: CETESB (2014)</w:t>
      </w:r>
    </w:p>
    <w:p w:rsidR="00212C0B" w:rsidRPr="007A3588" w:rsidRDefault="00212C0B" w:rsidP="004532F6">
      <w:r w:rsidRPr="007A3588">
        <w:t>Para</w:t>
      </w:r>
      <w:r w:rsidRPr="007A3588">
        <w:rPr>
          <w:spacing w:val="-4"/>
        </w:rPr>
        <w:t xml:space="preserve"> </w:t>
      </w:r>
      <w:r w:rsidRPr="007A3588">
        <w:t>a</w:t>
      </w:r>
      <w:r w:rsidRPr="007A3588">
        <w:rPr>
          <w:spacing w:val="-4"/>
        </w:rPr>
        <w:t xml:space="preserve"> </w:t>
      </w:r>
      <w:r w:rsidRPr="007A3588">
        <w:t>utilização</w:t>
      </w:r>
      <w:r w:rsidRPr="007A3588">
        <w:rPr>
          <w:spacing w:val="-4"/>
        </w:rPr>
        <w:t xml:space="preserve"> </w:t>
      </w:r>
      <w:r w:rsidRPr="007A3588">
        <w:t>da</w:t>
      </w:r>
      <w:r w:rsidRPr="007A3588">
        <w:rPr>
          <w:spacing w:val="-4"/>
        </w:rPr>
        <w:t xml:space="preserve"> </w:t>
      </w:r>
      <w:r w:rsidRPr="007A3588">
        <w:t>matriz</w:t>
      </w:r>
      <w:r w:rsidRPr="007A3588">
        <w:rPr>
          <w:spacing w:val="-4"/>
        </w:rPr>
        <w:t xml:space="preserve"> </w:t>
      </w:r>
      <w:r w:rsidRPr="007A3588">
        <w:t>diagnóstica</w:t>
      </w:r>
      <w:r w:rsidRPr="007A3588">
        <w:rPr>
          <w:spacing w:val="-4"/>
        </w:rPr>
        <w:t xml:space="preserve"> </w:t>
      </w:r>
      <w:r w:rsidRPr="007A3588">
        <w:rPr>
          <w:spacing w:val="-1"/>
        </w:rPr>
        <w:t>ICZ</w:t>
      </w:r>
      <w:r w:rsidRPr="0041314A">
        <w:rPr>
          <w:spacing w:val="-1"/>
          <w:position w:val="-2"/>
          <w:vertAlign w:val="subscript"/>
        </w:rPr>
        <w:t>RES</w:t>
      </w:r>
      <w:r w:rsidRPr="007A3588">
        <w:rPr>
          <w:spacing w:val="16"/>
          <w:position w:val="-2"/>
        </w:rPr>
        <w:t xml:space="preserve"> </w:t>
      </w:r>
      <w:r w:rsidRPr="007A3588">
        <w:t>é</w:t>
      </w:r>
      <w:r w:rsidRPr="007A3588">
        <w:rPr>
          <w:spacing w:val="-4"/>
        </w:rPr>
        <w:t xml:space="preserve"> </w:t>
      </w:r>
      <w:r w:rsidRPr="007A3588">
        <w:t>necessária</w:t>
      </w:r>
      <w:r w:rsidRPr="007A3588">
        <w:rPr>
          <w:spacing w:val="-4"/>
        </w:rPr>
        <w:t xml:space="preserve"> </w:t>
      </w:r>
      <w:r w:rsidRPr="007A3588">
        <w:t>a</w:t>
      </w:r>
      <w:r w:rsidRPr="007A3588">
        <w:rPr>
          <w:spacing w:val="-4"/>
        </w:rPr>
        <w:t xml:space="preserve"> </w:t>
      </w:r>
      <w:r w:rsidRPr="007A3588">
        <w:t>presença</w:t>
      </w:r>
      <w:r w:rsidRPr="007A3588">
        <w:rPr>
          <w:spacing w:val="-4"/>
        </w:rPr>
        <w:t xml:space="preserve"> </w:t>
      </w:r>
      <w:r w:rsidRPr="007A3588">
        <w:t>de</w:t>
      </w:r>
      <w:r w:rsidRPr="007A3588">
        <w:rPr>
          <w:spacing w:val="-3"/>
        </w:rPr>
        <w:t xml:space="preserve"> </w:t>
      </w:r>
      <w:r w:rsidRPr="007A3588">
        <w:t>três</w:t>
      </w:r>
      <w:r w:rsidRPr="007A3588">
        <w:rPr>
          <w:spacing w:val="-4"/>
        </w:rPr>
        <w:t xml:space="preserve"> </w:t>
      </w:r>
      <w:r w:rsidRPr="007A3588">
        <w:t>grupos</w:t>
      </w:r>
      <w:r w:rsidRPr="007A3588">
        <w:rPr>
          <w:spacing w:val="-4"/>
        </w:rPr>
        <w:t xml:space="preserve"> </w:t>
      </w:r>
      <w:r w:rsidRPr="007A3588">
        <w:t>zooplanctônicos:</w:t>
      </w:r>
      <w:r w:rsidRPr="007A3588">
        <w:rPr>
          <w:spacing w:val="25"/>
        </w:rPr>
        <w:t xml:space="preserve"> </w:t>
      </w:r>
      <w:r w:rsidRPr="007A3588">
        <w:t>Rotíferos,</w:t>
      </w:r>
      <w:r w:rsidRPr="007A3588">
        <w:rPr>
          <w:spacing w:val="-16"/>
        </w:rPr>
        <w:t xml:space="preserve"> </w:t>
      </w:r>
      <w:r w:rsidRPr="007A3588">
        <w:t>Cladóceros</w:t>
      </w:r>
      <w:r w:rsidRPr="007A3588">
        <w:rPr>
          <w:spacing w:val="-15"/>
        </w:rPr>
        <w:t xml:space="preserve"> </w:t>
      </w:r>
      <w:r w:rsidRPr="007A3588">
        <w:t>e</w:t>
      </w:r>
      <w:r w:rsidRPr="007A3588">
        <w:rPr>
          <w:spacing w:val="-15"/>
        </w:rPr>
        <w:t xml:space="preserve"> </w:t>
      </w:r>
      <w:r w:rsidRPr="007A3588">
        <w:t>Copépodes</w:t>
      </w:r>
      <w:r w:rsidRPr="007A3588">
        <w:rPr>
          <w:spacing w:val="-15"/>
        </w:rPr>
        <w:t xml:space="preserve"> </w:t>
      </w:r>
      <w:r w:rsidRPr="007A3588">
        <w:t>na</w:t>
      </w:r>
      <w:r w:rsidRPr="007A3588">
        <w:rPr>
          <w:spacing w:val="-16"/>
        </w:rPr>
        <w:t xml:space="preserve"> </w:t>
      </w:r>
      <w:r w:rsidRPr="007A3588">
        <w:t>amostra</w:t>
      </w:r>
      <w:r w:rsidRPr="007A3588">
        <w:rPr>
          <w:spacing w:val="-15"/>
        </w:rPr>
        <w:t xml:space="preserve"> </w:t>
      </w:r>
      <w:r w:rsidRPr="007A3588">
        <w:t>total.</w:t>
      </w:r>
      <w:r w:rsidRPr="007A3588">
        <w:rPr>
          <w:spacing w:val="-15"/>
        </w:rPr>
        <w:t xml:space="preserve"> </w:t>
      </w:r>
      <w:r w:rsidRPr="007A3588">
        <w:t>Na</w:t>
      </w:r>
      <w:r w:rsidRPr="007A3588">
        <w:rPr>
          <w:spacing w:val="-15"/>
        </w:rPr>
        <w:t xml:space="preserve"> </w:t>
      </w:r>
      <w:r w:rsidRPr="007A3588">
        <w:t>ausência</w:t>
      </w:r>
      <w:r w:rsidRPr="007A3588">
        <w:rPr>
          <w:spacing w:val="-15"/>
        </w:rPr>
        <w:t xml:space="preserve"> </w:t>
      </w:r>
      <w:r w:rsidRPr="007A3588">
        <w:t>de</w:t>
      </w:r>
      <w:r w:rsidRPr="007A3588">
        <w:rPr>
          <w:spacing w:val="-16"/>
        </w:rPr>
        <w:t xml:space="preserve"> </w:t>
      </w:r>
      <w:r w:rsidRPr="007A3588">
        <w:t>copépodes</w:t>
      </w:r>
      <w:r w:rsidRPr="007A3588">
        <w:rPr>
          <w:spacing w:val="-15"/>
        </w:rPr>
        <w:t xml:space="preserve"> </w:t>
      </w:r>
      <w:r w:rsidRPr="007A3588">
        <w:t>calanóides,</w:t>
      </w:r>
      <w:r w:rsidRPr="007A3588">
        <w:rPr>
          <w:spacing w:val="-15"/>
        </w:rPr>
        <w:t xml:space="preserve"> </w:t>
      </w:r>
      <w:r w:rsidRPr="007A3588">
        <w:t>emprega-se</w:t>
      </w:r>
      <w:r w:rsidRPr="007A3588">
        <w:rPr>
          <w:spacing w:val="-15"/>
        </w:rPr>
        <w:t xml:space="preserve"> </w:t>
      </w:r>
      <w:r w:rsidRPr="007A3588">
        <w:rPr>
          <w:spacing w:val="-1"/>
        </w:rPr>
        <w:t>N</w:t>
      </w:r>
      <w:r w:rsidRPr="007A3588">
        <w:rPr>
          <w:spacing w:val="-1"/>
          <w:position w:val="-2"/>
        </w:rPr>
        <w:t>Cal</w:t>
      </w:r>
      <w:r w:rsidR="0041314A">
        <w:rPr>
          <w:spacing w:val="-1"/>
          <w:position w:val="-2"/>
        </w:rPr>
        <w:t xml:space="preserve"> </w:t>
      </w:r>
      <w:r w:rsidRPr="007A3588">
        <w:rPr>
          <w:spacing w:val="-2"/>
        </w:rPr>
        <w:t>/</w:t>
      </w:r>
      <w:r w:rsidRPr="007A3588">
        <w:rPr>
          <w:spacing w:val="24"/>
        </w:rPr>
        <w:t xml:space="preserve"> </w:t>
      </w:r>
      <w:r w:rsidRPr="007A3588">
        <w:t>N</w:t>
      </w:r>
      <w:r w:rsidRPr="007A3588">
        <w:rPr>
          <w:position w:val="-2"/>
        </w:rPr>
        <w:t>Cyc</w:t>
      </w:r>
      <w:r w:rsidRPr="007A3588">
        <w:rPr>
          <w:spacing w:val="-6"/>
          <w:position w:val="-2"/>
        </w:rPr>
        <w:t xml:space="preserve"> </w:t>
      </w:r>
      <w:r w:rsidRPr="007A3588">
        <w:t>&lt;</w:t>
      </w:r>
      <w:r w:rsidRPr="007A3588">
        <w:rPr>
          <w:spacing w:val="-25"/>
        </w:rPr>
        <w:t xml:space="preserve"> </w:t>
      </w:r>
      <w:r w:rsidRPr="007A3588">
        <w:t>0,5;</w:t>
      </w:r>
      <w:r w:rsidRPr="007A3588">
        <w:rPr>
          <w:spacing w:val="-26"/>
        </w:rPr>
        <w:t xml:space="preserve"> </w:t>
      </w:r>
      <w:r w:rsidRPr="007A3588">
        <w:t>na</w:t>
      </w:r>
      <w:r w:rsidRPr="007A3588">
        <w:rPr>
          <w:spacing w:val="-26"/>
        </w:rPr>
        <w:t xml:space="preserve"> </w:t>
      </w:r>
      <w:r w:rsidRPr="007A3588">
        <w:t>presença</w:t>
      </w:r>
      <w:r w:rsidRPr="007A3588">
        <w:rPr>
          <w:spacing w:val="-25"/>
        </w:rPr>
        <w:t xml:space="preserve"> </w:t>
      </w:r>
      <w:r w:rsidRPr="007A3588">
        <w:t>de</w:t>
      </w:r>
      <w:r w:rsidRPr="007A3588">
        <w:rPr>
          <w:spacing w:val="-26"/>
        </w:rPr>
        <w:t xml:space="preserve"> </w:t>
      </w:r>
      <w:r w:rsidRPr="007A3588">
        <w:t>calanóides</w:t>
      </w:r>
      <w:r w:rsidRPr="007A3588">
        <w:rPr>
          <w:spacing w:val="-26"/>
        </w:rPr>
        <w:t xml:space="preserve"> </w:t>
      </w:r>
      <w:r w:rsidRPr="007A3588">
        <w:t>e</w:t>
      </w:r>
      <w:r w:rsidRPr="007A3588">
        <w:rPr>
          <w:spacing w:val="-25"/>
        </w:rPr>
        <w:t xml:space="preserve"> </w:t>
      </w:r>
      <w:r w:rsidRPr="007A3588">
        <w:t>ausência</w:t>
      </w:r>
      <w:r w:rsidRPr="007A3588">
        <w:rPr>
          <w:spacing w:val="-26"/>
        </w:rPr>
        <w:t xml:space="preserve"> </w:t>
      </w:r>
      <w:r w:rsidRPr="007A3588">
        <w:t>de</w:t>
      </w:r>
      <w:r w:rsidRPr="007A3588">
        <w:rPr>
          <w:spacing w:val="-26"/>
        </w:rPr>
        <w:t xml:space="preserve"> </w:t>
      </w:r>
      <w:r w:rsidRPr="007A3588">
        <w:t>ciclopóides,</w:t>
      </w:r>
      <w:r w:rsidRPr="007A3588">
        <w:rPr>
          <w:spacing w:val="-25"/>
        </w:rPr>
        <w:t xml:space="preserve"> </w:t>
      </w:r>
      <w:r w:rsidRPr="007A3588">
        <w:t>emprega-se</w:t>
      </w:r>
      <w:r w:rsidRPr="007A3588">
        <w:rPr>
          <w:spacing w:val="-26"/>
        </w:rPr>
        <w:t xml:space="preserve"> </w:t>
      </w:r>
      <w:r w:rsidRPr="007A3588">
        <w:t>N</w:t>
      </w:r>
      <w:r w:rsidRPr="007A3588">
        <w:rPr>
          <w:position w:val="-2"/>
        </w:rPr>
        <w:t>CAL</w:t>
      </w:r>
      <w:r w:rsidR="0041314A">
        <w:rPr>
          <w:position w:val="-2"/>
        </w:rPr>
        <w:t xml:space="preserve"> </w:t>
      </w:r>
      <w:r w:rsidRPr="007A3588">
        <w:t>/</w:t>
      </w:r>
      <w:r w:rsidR="0041314A">
        <w:t xml:space="preserve"> </w:t>
      </w:r>
      <w:r w:rsidRPr="007A3588">
        <w:t>N</w:t>
      </w:r>
      <w:r w:rsidRPr="007A3588">
        <w:rPr>
          <w:position w:val="-2"/>
        </w:rPr>
        <w:t>CYC</w:t>
      </w:r>
      <w:r w:rsidRPr="007A3588">
        <w:rPr>
          <w:spacing w:val="-5"/>
          <w:position w:val="-2"/>
        </w:rPr>
        <w:t xml:space="preserve"> </w:t>
      </w:r>
      <w:r w:rsidRPr="007A3588">
        <w:t>&gt;</w:t>
      </w:r>
      <w:r w:rsidRPr="007A3588">
        <w:rPr>
          <w:spacing w:val="-26"/>
        </w:rPr>
        <w:t xml:space="preserve"> </w:t>
      </w:r>
      <w:r w:rsidRPr="007A3588">
        <w:t>2,0;</w:t>
      </w:r>
      <w:r w:rsidRPr="007A3588">
        <w:rPr>
          <w:spacing w:val="-26"/>
        </w:rPr>
        <w:t xml:space="preserve"> </w:t>
      </w:r>
      <w:r w:rsidRPr="007A3588">
        <w:t>na</w:t>
      </w:r>
      <w:r w:rsidRPr="007A3588">
        <w:rPr>
          <w:spacing w:val="-25"/>
        </w:rPr>
        <w:t xml:space="preserve"> </w:t>
      </w:r>
      <w:r w:rsidRPr="007A3588">
        <w:t>ausência</w:t>
      </w:r>
      <w:r w:rsidRPr="007A3588">
        <w:rPr>
          <w:spacing w:val="-26"/>
        </w:rPr>
        <w:t xml:space="preserve"> </w:t>
      </w:r>
      <w:r w:rsidRPr="007A3588">
        <w:t>de rotíferos</w:t>
      </w:r>
      <w:r w:rsidRPr="007A3588">
        <w:rPr>
          <w:spacing w:val="-14"/>
        </w:rPr>
        <w:t xml:space="preserve"> </w:t>
      </w:r>
      <w:r w:rsidRPr="007A3588">
        <w:t>ou</w:t>
      </w:r>
      <w:r w:rsidRPr="007A3588">
        <w:rPr>
          <w:spacing w:val="-13"/>
        </w:rPr>
        <w:t xml:space="preserve"> </w:t>
      </w:r>
      <w:r w:rsidRPr="007A3588">
        <w:t>cladóceros,</w:t>
      </w:r>
      <w:r w:rsidRPr="007A3588">
        <w:rPr>
          <w:spacing w:val="-14"/>
        </w:rPr>
        <w:t xml:space="preserve"> </w:t>
      </w:r>
      <w:r w:rsidRPr="007A3588">
        <w:t>atribuir</w:t>
      </w:r>
      <w:r w:rsidRPr="007A3588">
        <w:rPr>
          <w:spacing w:val="-13"/>
        </w:rPr>
        <w:t xml:space="preserve"> </w:t>
      </w:r>
      <w:r w:rsidRPr="007A3588">
        <w:t>Ruim</w:t>
      </w:r>
      <w:r w:rsidRPr="007A3588">
        <w:rPr>
          <w:spacing w:val="-14"/>
        </w:rPr>
        <w:t xml:space="preserve"> </w:t>
      </w:r>
      <w:r w:rsidRPr="007A3588">
        <w:t>e,</w:t>
      </w:r>
      <w:r w:rsidRPr="007A3588">
        <w:rPr>
          <w:spacing w:val="-13"/>
        </w:rPr>
        <w:t xml:space="preserve"> </w:t>
      </w:r>
      <w:r w:rsidRPr="007A3588">
        <w:t>na</w:t>
      </w:r>
      <w:r w:rsidRPr="007A3588">
        <w:rPr>
          <w:spacing w:val="-14"/>
        </w:rPr>
        <w:t xml:space="preserve"> </w:t>
      </w:r>
      <w:r w:rsidRPr="007A3588">
        <w:t>ausência</w:t>
      </w:r>
      <w:r w:rsidRPr="007A3588">
        <w:rPr>
          <w:spacing w:val="-13"/>
        </w:rPr>
        <w:t xml:space="preserve"> </w:t>
      </w:r>
      <w:r w:rsidRPr="007A3588">
        <w:t>de</w:t>
      </w:r>
      <w:r w:rsidRPr="007A3588">
        <w:rPr>
          <w:spacing w:val="-14"/>
        </w:rPr>
        <w:t xml:space="preserve"> </w:t>
      </w:r>
      <w:r w:rsidRPr="007A3588">
        <w:rPr>
          <w:spacing w:val="-2"/>
        </w:rPr>
        <w:t>copépodes,</w:t>
      </w:r>
      <w:r w:rsidRPr="007A3588">
        <w:rPr>
          <w:spacing w:val="-13"/>
        </w:rPr>
        <w:t xml:space="preserve"> </w:t>
      </w:r>
      <w:r w:rsidRPr="007A3588">
        <w:t>atribuir</w:t>
      </w:r>
      <w:r w:rsidRPr="007A3588">
        <w:rPr>
          <w:spacing w:val="-13"/>
        </w:rPr>
        <w:t xml:space="preserve"> </w:t>
      </w:r>
      <w:r w:rsidRPr="007A3588">
        <w:t>a</w:t>
      </w:r>
      <w:r w:rsidRPr="007A3588">
        <w:rPr>
          <w:spacing w:val="-14"/>
        </w:rPr>
        <w:t xml:space="preserve"> </w:t>
      </w:r>
      <w:r w:rsidRPr="007A3588">
        <w:t>condição</w:t>
      </w:r>
      <w:r w:rsidRPr="007A3588">
        <w:rPr>
          <w:spacing w:val="-13"/>
        </w:rPr>
        <w:t xml:space="preserve"> </w:t>
      </w:r>
      <w:r w:rsidRPr="007A3588">
        <w:t>Péssima.</w:t>
      </w:r>
    </w:p>
    <w:p w:rsidR="00212C0B" w:rsidRDefault="001B3804" w:rsidP="001B3804">
      <w:pPr>
        <w:pStyle w:val="Ttulo4"/>
      </w:pPr>
      <w:bookmarkStart w:id="145" w:name="_Toc411871210"/>
      <w:r>
        <w:t xml:space="preserve">Informações Limnológicas do </w:t>
      </w:r>
      <w:r w:rsidR="00212C0B" w:rsidRPr="001F7DDB">
        <w:t>Sistema Cantareira</w:t>
      </w:r>
      <w:bookmarkEnd w:id="145"/>
    </w:p>
    <w:p w:rsidR="00212C0B" w:rsidRPr="001F7DDB" w:rsidRDefault="00212C0B" w:rsidP="004532F6">
      <w:r w:rsidRPr="001F7DDB">
        <w:t>CARVALHO (2003)</w:t>
      </w:r>
      <w:r>
        <w:t xml:space="preserve"> e</w:t>
      </w:r>
      <w:r w:rsidRPr="001F7DDB">
        <w:t xml:space="preserve">studou a comunidade fitoplanctônica em águas superficiais próximas à barragem de 6 reservatórios do </w:t>
      </w:r>
      <w:r w:rsidR="004532F6">
        <w:t>e</w:t>
      </w:r>
      <w:r w:rsidRPr="001F7DDB">
        <w:t xml:space="preserve">stado de </w:t>
      </w:r>
      <w:r w:rsidR="004532F6">
        <w:t>SP</w:t>
      </w:r>
      <w:r w:rsidRPr="001F7DDB">
        <w:t>, incluído os reservatórios Atibainha e Cachoeira do Sistema Cantareira</w:t>
      </w:r>
      <w:r>
        <w:t>,</w:t>
      </w:r>
      <w:r w:rsidRPr="001F7DDB">
        <w:t xml:space="preserve"> em coletas trimestrais no período de um ano entre 1997 e 1998.</w:t>
      </w:r>
    </w:p>
    <w:p w:rsidR="00212C0B" w:rsidRDefault="00212C0B" w:rsidP="004532F6">
      <w:r>
        <w:t xml:space="preserve">Os resultados obtidos nesses </w:t>
      </w:r>
      <w:r w:rsidR="0041314A">
        <w:t>dois</w:t>
      </w:r>
      <w:r w:rsidR="00C63BBC">
        <w:t xml:space="preserve"> reservatórios são mostrados na </w:t>
      </w:r>
      <w:r w:rsidR="00C63BBC" w:rsidRPr="00C63BBC">
        <w:rPr>
          <w:b/>
        </w:rPr>
        <w:t>Tabela 6.4.</w:t>
      </w:r>
      <w:r w:rsidR="00991EC9">
        <w:rPr>
          <w:b/>
        </w:rPr>
        <w:t>5-</w:t>
      </w:r>
      <w:r w:rsidR="00C63BBC" w:rsidRPr="00C63BBC">
        <w:rPr>
          <w:b/>
        </w:rPr>
        <w:t>5</w:t>
      </w:r>
      <w:r w:rsidRPr="00C63BBC">
        <w:rPr>
          <w:b/>
        </w:rPr>
        <w:t xml:space="preserve"> </w:t>
      </w:r>
      <w:r>
        <w:t xml:space="preserve">e </w:t>
      </w:r>
      <w:r w:rsidRPr="00C63BBC">
        <w:rPr>
          <w:b/>
        </w:rPr>
        <w:t>Figura</w:t>
      </w:r>
      <w:r w:rsidR="00C63BBC">
        <w:rPr>
          <w:b/>
        </w:rPr>
        <w:t xml:space="preserve"> 6.4.</w:t>
      </w:r>
      <w:r w:rsidR="00991EC9">
        <w:rPr>
          <w:b/>
        </w:rPr>
        <w:t>5-</w:t>
      </w:r>
      <w:r w:rsidR="00C63BBC">
        <w:rPr>
          <w:b/>
        </w:rPr>
        <w:t>2</w:t>
      </w:r>
      <w:r w:rsidR="00C63BBC">
        <w:t>.</w:t>
      </w:r>
    </w:p>
    <w:p w:rsidR="00212C0B" w:rsidRDefault="00212C0B" w:rsidP="00C63BBC">
      <w:pPr>
        <w:pStyle w:val="Quadro"/>
        <w:spacing w:after="0"/>
      </w:pPr>
      <w:r>
        <w:t xml:space="preserve">Tabela </w:t>
      </w:r>
      <w:r w:rsidR="00C63BBC">
        <w:t>6.4.</w:t>
      </w:r>
      <w:r w:rsidR="00991EC9">
        <w:t>5-</w:t>
      </w:r>
      <w:r w:rsidR="00C63BBC">
        <w:t>5</w:t>
      </w:r>
      <w:r w:rsidR="00991EC9">
        <w:t>.</w:t>
      </w:r>
      <w:r w:rsidR="00472518">
        <w:t xml:space="preserve"> </w:t>
      </w:r>
      <w:r>
        <w:t>Densidade (org/m</w:t>
      </w:r>
      <w:r w:rsidR="00991EC9">
        <w:t>l</w:t>
      </w:r>
      <w:r>
        <w:t>) de organismos fitoplactô</w:t>
      </w:r>
      <w:r w:rsidR="00472518">
        <w:t>nicos n</w:t>
      </w:r>
      <w:r w:rsidR="004532F6">
        <w:t xml:space="preserve">o </w:t>
      </w:r>
      <w:r w:rsidR="00BE6BE4">
        <w:t>r</w:t>
      </w:r>
      <w:r w:rsidR="004532F6">
        <w:t>eservatório Cachoeira</w:t>
      </w:r>
    </w:p>
    <w:p w:rsidR="00212C0B" w:rsidRDefault="00212C0B" w:rsidP="00212C0B">
      <w:pPr>
        <w:spacing w:after="0"/>
        <w:rPr>
          <w:sz w:val="24"/>
          <w:szCs w:val="24"/>
        </w:rPr>
      </w:pPr>
      <w:r>
        <w:rPr>
          <w:noProof/>
          <w:lang w:eastAsia="pt-BR"/>
        </w:rPr>
        <w:drawing>
          <wp:inline distT="0" distB="0" distL="0" distR="0" wp14:anchorId="3DE58C4B" wp14:editId="2A43E680">
            <wp:extent cx="5620690" cy="3295650"/>
            <wp:effectExtent l="0" t="0" r="0" b="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2" cstate="print"/>
                    <a:srcRect l="20327" t="29262" r="17065" b="5442"/>
                    <a:stretch/>
                  </pic:blipFill>
                  <pic:spPr bwMode="auto">
                    <a:xfrm>
                      <a:off x="0" y="0"/>
                      <a:ext cx="5639344" cy="3306588"/>
                    </a:xfrm>
                    <a:prstGeom prst="rect">
                      <a:avLst/>
                    </a:prstGeom>
                    <a:ln>
                      <a:noFill/>
                    </a:ln>
                    <a:extLst>
                      <a:ext uri="{53640926-AAD7-44D8-BBD7-CCE9431645EC}">
                        <a14:shadowObscured xmlns:a14="http://schemas.microsoft.com/office/drawing/2010/main"/>
                      </a:ext>
                    </a:extLst>
                  </pic:spPr>
                </pic:pic>
              </a:graphicData>
            </a:graphic>
          </wp:inline>
        </w:drawing>
      </w:r>
    </w:p>
    <w:p w:rsidR="00212C0B" w:rsidRPr="00472518" w:rsidRDefault="004532F6" w:rsidP="00C63BBC">
      <w:pPr>
        <w:spacing w:after="0"/>
        <w:rPr>
          <w:sz w:val="16"/>
          <w:szCs w:val="16"/>
        </w:rPr>
      </w:pPr>
      <w:r w:rsidRPr="00472518">
        <w:rPr>
          <w:sz w:val="16"/>
          <w:szCs w:val="16"/>
        </w:rPr>
        <w:t xml:space="preserve">Fonte: CARVALHO </w:t>
      </w:r>
      <w:r w:rsidR="00212C0B" w:rsidRPr="00472518">
        <w:rPr>
          <w:sz w:val="16"/>
          <w:szCs w:val="16"/>
        </w:rPr>
        <w:t>(2003)</w:t>
      </w:r>
    </w:p>
    <w:p w:rsidR="004532F6" w:rsidRPr="00C63BBC" w:rsidRDefault="00C63BBC" w:rsidP="00472518">
      <w:pPr>
        <w:rPr>
          <w:sz w:val="18"/>
          <w:szCs w:val="18"/>
        </w:rPr>
      </w:pPr>
      <w:r w:rsidRPr="00C63BBC">
        <w:rPr>
          <w:sz w:val="18"/>
          <w:szCs w:val="18"/>
        </w:rPr>
        <w:t xml:space="preserve">Nota - </w:t>
      </w:r>
      <w:r w:rsidR="004532F6" w:rsidRPr="00C63BBC">
        <w:rPr>
          <w:sz w:val="18"/>
          <w:szCs w:val="18"/>
        </w:rPr>
        <w:t>(CI=Cianofíceas; CL=Clorofíceas; DI=Diatomáceas; DN=Dinoflagelados; FI=Fitoflagelados;</w:t>
      </w:r>
      <w:r w:rsidR="00472518" w:rsidRPr="00C63BBC">
        <w:rPr>
          <w:sz w:val="18"/>
          <w:szCs w:val="18"/>
        </w:rPr>
        <w:t xml:space="preserve"> </w:t>
      </w:r>
      <w:r w:rsidR="004532F6" w:rsidRPr="00C63BBC">
        <w:rPr>
          <w:sz w:val="18"/>
          <w:szCs w:val="18"/>
        </w:rPr>
        <w:t>XA=Xantofíceas; R1,</w:t>
      </w:r>
      <w:r w:rsidR="00472518" w:rsidRPr="00C63BBC">
        <w:rPr>
          <w:sz w:val="18"/>
          <w:szCs w:val="18"/>
        </w:rPr>
        <w:t xml:space="preserve"> </w:t>
      </w:r>
      <w:r w:rsidR="004532F6" w:rsidRPr="00C63BBC">
        <w:rPr>
          <w:sz w:val="18"/>
          <w:szCs w:val="18"/>
        </w:rPr>
        <w:t>R2,</w:t>
      </w:r>
      <w:r w:rsidR="00472518" w:rsidRPr="00C63BBC">
        <w:rPr>
          <w:sz w:val="18"/>
          <w:szCs w:val="18"/>
        </w:rPr>
        <w:t xml:space="preserve"> </w:t>
      </w:r>
      <w:r w:rsidR="004532F6" w:rsidRPr="00C63BBC">
        <w:rPr>
          <w:sz w:val="18"/>
          <w:szCs w:val="18"/>
        </w:rPr>
        <w:t>R3=Réplicas)</w:t>
      </w:r>
    </w:p>
    <w:p w:rsidR="00472518" w:rsidRDefault="00472518" w:rsidP="00472518">
      <w:pPr>
        <w:pStyle w:val="Quadro"/>
      </w:pPr>
      <w:r>
        <w:lastRenderedPageBreak/>
        <w:t xml:space="preserve">Figura </w:t>
      </w:r>
      <w:r w:rsidR="00C63BBC">
        <w:t>6.4.</w:t>
      </w:r>
      <w:r w:rsidR="00991EC9">
        <w:t>5-</w:t>
      </w:r>
      <w:r w:rsidR="00C63BBC">
        <w:t>2</w:t>
      </w:r>
      <w:r w:rsidR="00991EC9">
        <w:t>.</w:t>
      </w:r>
      <w:r>
        <w:t xml:space="preserve"> Densidade de organismos fitoplactônicos no </w:t>
      </w:r>
      <w:r w:rsidR="00BE6BE4">
        <w:t>r</w:t>
      </w:r>
      <w:r>
        <w:t>eservatório Cachoeira</w:t>
      </w:r>
    </w:p>
    <w:p w:rsidR="00212C0B" w:rsidRDefault="00212C0B" w:rsidP="00472518">
      <w:pPr>
        <w:spacing w:after="0"/>
        <w:jc w:val="center"/>
        <w:rPr>
          <w:sz w:val="24"/>
          <w:szCs w:val="24"/>
        </w:rPr>
      </w:pPr>
      <w:r>
        <w:rPr>
          <w:noProof/>
          <w:lang w:eastAsia="pt-BR"/>
        </w:rPr>
        <w:drawing>
          <wp:inline distT="0" distB="0" distL="0" distR="0" wp14:anchorId="09EE7A65" wp14:editId="1CDA2985">
            <wp:extent cx="5473375" cy="3333750"/>
            <wp:effectExtent l="0" t="0" r="0"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3" cstate="print"/>
                    <a:srcRect l="21941" t="17402" r="17278" b="16747"/>
                    <a:stretch/>
                  </pic:blipFill>
                  <pic:spPr bwMode="auto">
                    <a:xfrm>
                      <a:off x="0" y="0"/>
                      <a:ext cx="5494271" cy="3346478"/>
                    </a:xfrm>
                    <a:prstGeom prst="rect">
                      <a:avLst/>
                    </a:prstGeom>
                    <a:ln>
                      <a:noFill/>
                    </a:ln>
                    <a:extLst>
                      <a:ext uri="{53640926-AAD7-44D8-BBD7-CCE9431645EC}">
                        <a14:shadowObscured xmlns:a14="http://schemas.microsoft.com/office/drawing/2010/main"/>
                      </a:ext>
                    </a:extLst>
                  </pic:spPr>
                </pic:pic>
              </a:graphicData>
            </a:graphic>
          </wp:inline>
        </w:drawing>
      </w:r>
    </w:p>
    <w:p w:rsidR="00212C0B" w:rsidRDefault="00212C0B" w:rsidP="00472518">
      <w:r>
        <w:t>O reservatório Cachoeira apresentou qualidade boa segundo o Índice de Estado Trófico (IET) e ótima segundo o Índice de Pre</w:t>
      </w:r>
      <w:r w:rsidR="00991EC9">
        <w:t>servação da Vida Aquática (IVA).</w:t>
      </w:r>
      <w:r>
        <w:t xml:space="preserve"> A densidade de cianofíceas foi baixa e não se observou problemas de toxicidade (CARVALHO, 2003).</w:t>
      </w:r>
    </w:p>
    <w:p w:rsidR="00212C0B" w:rsidRDefault="00212C0B" w:rsidP="00472518">
      <w:pPr>
        <w:pStyle w:val="Quadro"/>
      </w:pPr>
      <w:r>
        <w:t xml:space="preserve">Tabela </w:t>
      </w:r>
      <w:r w:rsidR="00C63BBC">
        <w:t>6.4.</w:t>
      </w:r>
      <w:r w:rsidR="00991EC9">
        <w:t>5-</w:t>
      </w:r>
      <w:r w:rsidR="00C63BBC">
        <w:t>6</w:t>
      </w:r>
      <w:r w:rsidR="00991EC9">
        <w:t>.</w:t>
      </w:r>
      <w:r w:rsidR="00472518">
        <w:t xml:space="preserve"> </w:t>
      </w:r>
      <w:r>
        <w:t>Densidade (org/m</w:t>
      </w:r>
      <w:r w:rsidR="00991EC9">
        <w:t>l</w:t>
      </w:r>
      <w:r>
        <w:t xml:space="preserve">) de organismos fitoplactônicos </w:t>
      </w:r>
      <w:r w:rsidR="00991EC9">
        <w:t>n</w:t>
      </w:r>
      <w:r>
        <w:t xml:space="preserve">o </w:t>
      </w:r>
      <w:r w:rsidR="00BE6BE4">
        <w:t>r</w:t>
      </w:r>
      <w:r>
        <w:t xml:space="preserve">eservatório Atibainha </w:t>
      </w:r>
    </w:p>
    <w:p w:rsidR="00212C0B" w:rsidRDefault="00212C0B" w:rsidP="0041314A">
      <w:pPr>
        <w:spacing w:after="0"/>
        <w:jc w:val="center"/>
        <w:rPr>
          <w:sz w:val="24"/>
          <w:szCs w:val="24"/>
        </w:rPr>
      </w:pPr>
      <w:r>
        <w:rPr>
          <w:noProof/>
          <w:lang w:eastAsia="pt-BR"/>
        </w:rPr>
        <w:drawing>
          <wp:inline distT="0" distB="0" distL="0" distR="0" wp14:anchorId="787788F6" wp14:editId="1CCE47AC">
            <wp:extent cx="5348750" cy="3000375"/>
            <wp:effectExtent l="0" t="0" r="4445" b="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4" cstate="print"/>
                    <a:srcRect l="19296" t="27536" r="15887" b="7791"/>
                    <a:stretch/>
                  </pic:blipFill>
                  <pic:spPr bwMode="auto">
                    <a:xfrm>
                      <a:off x="0" y="0"/>
                      <a:ext cx="5362261" cy="3007954"/>
                    </a:xfrm>
                    <a:prstGeom prst="rect">
                      <a:avLst/>
                    </a:prstGeom>
                    <a:ln>
                      <a:noFill/>
                    </a:ln>
                    <a:extLst>
                      <a:ext uri="{53640926-AAD7-44D8-BBD7-CCE9431645EC}">
                        <a14:shadowObscured xmlns:a14="http://schemas.microsoft.com/office/drawing/2010/main"/>
                      </a:ext>
                    </a:extLst>
                  </pic:spPr>
                </pic:pic>
              </a:graphicData>
            </a:graphic>
          </wp:inline>
        </w:drawing>
      </w:r>
    </w:p>
    <w:p w:rsidR="00212C0B" w:rsidRPr="00472518" w:rsidRDefault="00212C0B" w:rsidP="00C63BBC">
      <w:pPr>
        <w:spacing w:after="0"/>
        <w:ind w:firstLine="708"/>
        <w:rPr>
          <w:sz w:val="16"/>
          <w:szCs w:val="16"/>
        </w:rPr>
      </w:pPr>
      <w:r w:rsidRPr="00472518">
        <w:rPr>
          <w:sz w:val="16"/>
          <w:szCs w:val="16"/>
        </w:rPr>
        <w:t>Fonte: CARVALHO (2003)</w:t>
      </w:r>
    </w:p>
    <w:p w:rsidR="00C63BBC" w:rsidRPr="00C63BBC" w:rsidRDefault="00C63BBC" w:rsidP="00C63BBC">
      <w:pPr>
        <w:rPr>
          <w:sz w:val="18"/>
          <w:szCs w:val="18"/>
        </w:rPr>
      </w:pPr>
      <w:r w:rsidRPr="00C63BBC">
        <w:rPr>
          <w:sz w:val="18"/>
          <w:szCs w:val="18"/>
        </w:rPr>
        <w:t>Nota - (CI=Cianofíceas; CL=Clorofíceas; DI=Diatomáceas; DN=Dinoflagelados; FI=Fitoflagelados; XA=Xantofíceas; R1, R2, R3=Réplicas)</w:t>
      </w:r>
    </w:p>
    <w:p w:rsidR="00472518" w:rsidRDefault="00472518" w:rsidP="00472518"/>
    <w:p w:rsidR="00472518" w:rsidRDefault="00472518" w:rsidP="00472518">
      <w:pPr>
        <w:pStyle w:val="Quadro"/>
      </w:pPr>
      <w:r>
        <w:lastRenderedPageBreak/>
        <w:t xml:space="preserve">Figura </w:t>
      </w:r>
      <w:r w:rsidR="00C63BBC">
        <w:t>6.4.</w:t>
      </w:r>
      <w:r w:rsidR="00991EC9">
        <w:t>5-</w:t>
      </w:r>
      <w:r w:rsidR="00C63BBC">
        <w:t>3</w:t>
      </w:r>
      <w:r w:rsidR="00991EC9">
        <w:t>.</w:t>
      </w:r>
      <w:r>
        <w:t xml:space="preserve"> Densidade de organismos fitoplactônicos </w:t>
      </w:r>
      <w:r w:rsidR="00991EC9">
        <w:t>n</w:t>
      </w:r>
      <w:r>
        <w:t>o Reservatório Atibainha</w:t>
      </w:r>
    </w:p>
    <w:p w:rsidR="00212C0B" w:rsidRDefault="00212C0B" w:rsidP="00472518">
      <w:pPr>
        <w:spacing w:after="0" w:line="360" w:lineRule="auto"/>
        <w:jc w:val="center"/>
        <w:rPr>
          <w:sz w:val="24"/>
          <w:szCs w:val="24"/>
        </w:rPr>
      </w:pPr>
      <w:r>
        <w:rPr>
          <w:noProof/>
          <w:lang w:eastAsia="pt-BR"/>
        </w:rPr>
        <w:drawing>
          <wp:inline distT="0" distB="0" distL="0" distR="0" wp14:anchorId="30A0402A" wp14:editId="0ECA6B52">
            <wp:extent cx="5120887" cy="3581400"/>
            <wp:effectExtent l="0" t="0" r="3810"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5" cstate="print"/>
                    <a:srcRect l="21793" t="17548" r="17977" b="7528"/>
                    <a:stretch/>
                  </pic:blipFill>
                  <pic:spPr bwMode="auto">
                    <a:xfrm>
                      <a:off x="0" y="0"/>
                      <a:ext cx="5129545" cy="3587455"/>
                    </a:xfrm>
                    <a:prstGeom prst="rect">
                      <a:avLst/>
                    </a:prstGeom>
                    <a:ln>
                      <a:noFill/>
                    </a:ln>
                    <a:extLst>
                      <a:ext uri="{53640926-AAD7-44D8-BBD7-CCE9431645EC}">
                        <a14:shadowObscured xmlns:a14="http://schemas.microsoft.com/office/drawing/2010/main"/>
                      </a:ext>
                    </a:extLst>
                  </pic:spPr>
                </pic:pic>
              </a:graphicData>
            </a:graphic>
          </wp:inline>
        </w:drawing>
      </w:r>
    </w:p>
    <w:p w:rsidR="00212C0B" w:rsidRDefault="00212C0B" w:rsidP="00472518">
      <w:r>
        <w:t>O reservatório Atibainha mostrou qualidade das águas regular, tanto através do IVA como da comunidade fitoplanctônica, também com presença de cianofíceas em densidades baixas e sem indícios de problemas de toxicidade (CARVALHO, 2003).</w:t>
      </w:r>
    </w:p>
    <w:p w:rsidR="00212C0B" w:rsidRDefault="00212C0B" w:rsidP="00472518">
      <w:r w:rsidRPr="00A722E3">
        <w:t>NASCIMENTO (2010)</w:t>
      </w:r>
      <w:r>
        <w:t xml:space="preserve"> avaliou as</w:t>
      </w:r>
      <w:r w:rsidRPr="00A722E3">
        <w:t xml:space="preserve"> condições ambientais das águas captadas por 4 estações de tratamento de água em mananciais do Sistema Cantareira, nos rios Jaguari, Cachoeira e nas represas </w:t>
      </w:r>
      <w:r>
        <w:t xml:space="preserve">de Atibainha e Juqueri, </w:t>
      </w:r>
      <w:r w:rsidRPr="00A722E3">
        <w:t xml:space="preserve">para abastecimento, respectivamente, de Bragança Paulista, Piracaia, Nazaré Paulista e Mairiporã, a partir da análise de dados da densidade de cianobactérias obtidos em relatórios da </w:t>
      </w:r>
      <w:r w:rsidR="0023044E">
        <w:t xml:space="preserve">Sabesp </w:t>
      </w:r>
      <w:r w:rsidRPr="00A722E3">
        <w:t>no período de 2002 a 2008, em amostragens mensai</w:t>
      </w:r>
      <w:r w:rsidR="008477B6">
        <w:t>s (quando o número de células/ml</w:t>
      </w:r>
      <w:r w:rsidRPr="00A722E3">
        <w:t xml:space="preserve"> era inferior a 10.000) ou semanal (quando excedia essa densidade)</w:t>
      </w:r>
      <w:r w:rsidR="00E4284F">
        <w:t xml:space="preserve">. Vide </w:t>
      </w:r>
      <w:r w:rsidRPr="00C63BBC">
        <w:rPr>
          <w:b/>
        </w:rPr>
        <w:t xml:space="preserve">Figura </w:t>
      </w:r>
      <w:r w:rsidR="00C63BBC" w:rsidRPr="00C63BBC">
        <w:rPr>
          <w:b/>
        </w:rPr>
        <w:t>6.4.</w:t>
      </w:r>
      <w:r w:rsidR="008477B6">
        <w:rPr>
          <w:b/>
        </w:rPr>
        <w:t>5-</w:t>
      </w:r>
      <w:r w:rsidR="00C63BBC" w:rsidRPr="00C63BBC">
        <w:rPr>
          <w:b/>
        </w:rPr>
        <w:t>4</w:t>
      </w:r>
      <w:r>
        <w:t>.</w:t>
      </w:r>
    </w:p>
    <w:p w:rsidR="00C63BBC" w:rsidRDefault="00C63BBC" w:rsidP="00C63BBC">
      <w:pPr>
        <w:pStyle w:val="Quadro"/>
      </w:pPr>
      <w:r w:rsidRPr="00C63BBC">
        <w:t>Figura 6.4.</w:t>
      </w:r>
      <w:r w:rsidR="008477B6">
        <w:t>5-</w:t>
      </w:r>
      <w:r w:rsidRPr="00C63BBC">
        <w:t>4</w:t>
      </w:r>
      <w:r w:rsidR="008477B6">
        <w:t>.</w:t>
      </w:r>
      <w:r>
        <w:t xml:space="preserve"> Variação da Densidade de Cianobactérias</w:t>
      </w:r>
      <w:r w:rsidR="00E4284F">
        <w:t>. 2002 a 2008</w:t>
      </w:r>
    </w:p>
    <w:tbl>
      <w:tblPr>
        <w:tblStyle w:val="Tabelacomgrade"/>
        <w:tblW w:w="0" w:type="auto"/>
        <w:tblLayout w:type="fixed"/>
        <w:tblLook w:val="04A0" w:firstRow="1" w:lastRow="0" w:firstColumn="1" w:lastColumn="0" w:noHBand="0" w:noVBand="1"/>
      </w:tblPr>
      <w:tblGrid>
        <w:gridCol w:w="4580"/>
        <w:gridCol w:w="4459"/>
      </w:tblGrid>
      <w:tr w:rsidR="00212C0B" w:rsidTr="00472518">
        <w:tc>
          <w:tcPr>
            <w:tcW w:w="4580" w:type="dxa"/>
          </w:tcPr>
          <w:p w:rsidR="00212C0B" w:rsidRDefault="00212C0B" w:rsidP="00212C0B">
            <w:pPr>
              <w:ind w:right="104"/>
              <w:rPr>
                <w:sz w:val="24"/>
                <w:szCs w:val="24"/>
              </w:rPr>
            </w:pPr>
            <w:r>
              <w:rPr>
                <w:noProof/>
              </w:rPr>
              <w:drawing>
                <wp:inline distT="0" distB="0" distL="0" distR="0" wp14:anchorId="0683D706" wp14:editId="0ADCB76E">
                  <wp:extent cx="2631518" cy="1121134"/>
                  <wp:effectExtent l="0" t="0" r="0" b="3175"/>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6" cstate="print"/>
                          <a:srcRect l="20775" t="27762" r="16311" b="24561"/>
                          <a:stretch/>
                        </pic:blipFill>
                        <pic:spPr bwMode="auto">
                          <a:xfrm>
                            <a:off x="0" y="0"/>
                            <a:ext cx="2648362" cy="1128310"/>
                          </a:xfrm>
                          <a:prstGeom prst="rect">
                            <a:avLst/>
                          </a:prstGeom>
                          <a:ln>
                            <a:noFill/>
                          </a:ln>
                          <a:extLst>
                            <a:ext uri="{53640926-AAD7-44D8-BBD7-CCE9431645EC}">
                              <a14:shadowObscured xmlns:a14="http://schemas.microsoft.com/office/drawing/2010/main"/>
                            </a:ext>
                          </a:extLst>
                        </pic:spPr>
                      </pic:pic>
                    </a:graphicData>
                  </a:graphic>
                </wp:inline>
              </w:drawing>
            </w:r>
          </w:p>
        </w:tc>
        <w:tc>
          <w:tcPr>
            <w:tcW w:w="4459" w:type="dxa"/>
          </w:tcPr>
          <w:p w:rsidR="00212C0B" w:rsidRDefault="00212C0B" w:rsidP="00212C0B">
            <w:pPr>
              <w:ind w:right="104"/>
              <w:rPr>
                <w:sz w:val="24"/>
                <w:szCs w:val="24"/>
              </w:rPr>
            </w:pPr>
            <w:r>
              <w:rPr>
                <w:noProof/>
              </w:rPr>
              <w:drawing>
                <wp:inline distT="0" distB="0" distL="0" distR="0" wp14:anchorId="5075BDEB" wp14:editId="5003BABC">
                  <wp:extent cx="2674971" cy="1129085"/>
                  <wp:effectExtent l="0" t="0" r="0"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7" cstate="print"/>
                          <a:srcRect l="20621" t="41384" r="15894" b="10952"/>
                          <a:stretch/>
                        </pic:blipFill>
                        <pic:spPr bwMode="auto">
                          <a:xfrm>
                            <a:off x="0" y="0"/>
                            <a:ext cx="2704901" cy="1141718"/>
                          </a:xfrm>
                          <a:prstGeom prst="rect">
                            <a:avLst/>
                          </a:prstGeom>
                          <a:ln>
                            <a:noFill/>
                          </a:ln>
                          <a:extLst>
                            <a:ext uri="{53640926-AAD7-44D8-BBD7-CCE9431645EC}">
                              <a14:shadowObscured xmlns:a14="http://schemas.microsoft.com/office/drawing/2010/main"/>
                            </a:ext>
                          </a:extLst>
                        </pic:spPr>
                      </pic:pic>
                    </a:graphicData>
                  </a:graphic>
                </wp:inline>
              </w:drawing>
            </w:r>
          </w:p>
        </w:tc>
      </w:tr>
      <w:tr w:rsidR="00212C0B" w:rsidRPr="00472518" w:rsidTr="00472518">
        <w:tc>
          <w:tcPr>
            <w:tcW w:w="4580" w:type="dxa"/>
          </w:tcPr>
          <w:p w:rsidR="00212C0B" w:rsidRPr="00472518" w:rsidRDefault="00212C0B" w:rsidP="00212C0B">
            <w:pPr>
              <w:ind w:right="104"/>
              <w:rPr>
                <w:sz w:val="18"/>
                <w:szCs w:val="18"/>
              </w:rPr>
            </w:pPr>
            <w:r w:rsidRPr="00472518">
              <w:rPr>
                <w:sz w:val="18"/>
                <w:szCs w:val="18"/>
              </w:rPr>
              <w:t>Rio Jaguari</w:t>
            </w:r>
          </w:p>
        </w:tc>
        <w:tc>
          <w:tcPr>
            <w:tcW w:w="4459" w:type="dxa"/>
          </w:tcPr>
          <w:p w:rsidR="00212C0B" w:rsidRPr="00472518" w:rsidRDefault="00212C0B" w:rsidP="00212C0B">
            <w:pPr>
              <w:ind w:right="104"/>
              <w:rPr>
                <w:sz w:val="18"/>
                <w:szCs w:val="18"/>
              </w:rPr>
            </w:pPr>
            <w:r w:rsidRPr="00472518">
              <w:rPr>
                <w:sz w:val="18"/>
                <w:szCs w:val="18"/>
              </w:rPr>
              <w:t>Rio Cachoeira</w:t>
            </w:r>
          </w:p>
        </w:tc>
      </w:tr>
      <w:tr w:rsidR="00212C0B" w:rsidTr="00472518">
        <w:tc>
          <w:tcPr>
            <w:tcW w:w="4580" w:type="dxa"/>
          </w:tcPr>
          <w:p w:rsidR="00212C0B" w:rsidRDefault="00212C0B" w:rsidP="00212C0B">
            <w:pPr>
              <w:ind w:right="104"/>
              <w:rPr>
                <w:sz w:val="24"/>
                <w:szCs w:val="24"/>
              </w:rPr>
            </w:pPr>
            <w:r>
              <w:rPr>
                <w:noProof/>
              </w:rPr>
              <w:drawing>
                <wp:inline distT="0" distB="0" distL="0" distR="0" wp14:anchorId="3A1F9A62" wp14:editId="69728481">
                  <wp:extent cx="2703444" cy="1179154"/>
                  <wp:effectExtent l="0" t="0" r="1905" b="254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8" cstate="print"/>
                          <a:srcRect l="20919" t="36671" r="16612" b="14865"/>
                          <a:stretch/>
                        </pic:blipFill>
                        <pic:spPr bwMode="auto">
                          <a:xfrm>
                            <a:off x="0" y="0"/>
                            <a:ext cx="2713645" cy="1183603"/>
                          </a:xfrm>
                          <a:prstGeom prst="rect">
                            <a:avLst/>
                          </a:prstGeom>
                          <a:ln>
                            <a:noFill/>
                          </a:ln>
                          <a:extLst>
                            <a:ext uri="{53640926-AAD7-44D8-BBD7-CCE9431645EC}">
                              <a14:shadowObscured xmlns:a14="http://schemas.microsoft.com/office/drawing/2010/main"/>
                            </a:ext>
                          </a:extLst>
                        </pic:spPr>
                      </pic:pic>
                    </a:graphicData>
                  </a:graphic>
                </wp:inline>
              </w:drawing>
            </w:r>
          </w:p>
        </w:tc>
        <w:tc>
          <w:tcPr>
            <w:tcW w:w="4459" w:type="dxa"/>
          </w:tcPr>
          <w:p w:rsidR="00212C0B" w:rsidRDefault="00212C0B" w:rsidP="00212C0B">
            <w:pPr>
              <w:ind w:right="104"/>
              <w:rPr>
                <w:sz w:val="24"/>
                <w:szCs w:val="24"/>
              </w:rPr>
            </w:pPr>
            <w:r>
              <w:rPr>
                <w:noProof/>
              </w:rPr>
              <w:drawing>
                <wp:inline distT="0" distB="0" distL="0" distR="0" wp14:anchorId="69524012" wp14:editId="1370F25F">
                  <wp:extent cx="2657330" cy="1168842"/>
                  <wp:effectExtent l="0" t="0" r="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9" cstate="print"/>
                          <a:srcRect l="21063" t="39024" r="16331" b="11995"/>
                          <a:stretch/>
                        </pic:blipFill>
                        <pic:spPr bwMode="auto">
                          <a:xfrm>
                            <a:off x="0" y="0"/>
                            <a:ext cx="2677083" cy="1177530"/>
                          </a:xfrm>
                          <a:prstGeom prst="rect">
                            <a:avLst/>
                          </a:prstGeom>
                          <a:ln>
                            <a:noFill/>
                          </a:ln>
                          <a:extLst>
                            <a:ext uri="{53640926-AAD7-44D8-BBD7-CCE9431645EC}">
                              <a14:shadowObscured xmlns:a14="http://schemas.microsoft.com/office/drawing/2010/main"/>
                            </a:ext>
                          </a:extLst>
                        </pic:spPr>
                      </pic:pic>
                    </a:graphicData>
                  </a:graphic>
                </wp:inline>
              </w:drawing>
            </w:r>
          </w:p>
        </w:tc>
      </w:tr>
      <w:tr w:rsidR="00212C0B" w:rsidRPr="00472518" w:rsidTr="00472518">
        <w:tc>
          <w:tcPr>
            <w:tcW w:w="4580" w:type="dxa"/>
          </w:tcPr>
          <w:p w:rsidR="00212C0B" w:rsidRPr="00472518" w:rsidRDefault="00212C0B" w:rsidP="00212C0B">
            <w:pPr>
              <w:ind w:right="104"/>
              <w:rPr>
                <w:sz w:val="18"/>
                <w:szCs w:val="18"/>
              </w:rPr>
            </w:pPr>
            <w:r w:rsidRPr="00472518">
              <w:rPr>
                <w:sz w:val="18"/>
                <w:szCs w:val="18"/>
              </w:rPr>
              <w:t>Reservatório Atibainha</w:t>
            </w:r>
          </w:p>
        </w:tc>
        <w:tc>
          <w:tcPr>
            <w:tcW w:w="4459" w:type="dxa"/>
          </w:tcPr>
          <w:p w:rsidR="00212C0B" w:rsidRPr="00472518" w:rsidRDefault="00212C0B" w:rsidP="00212C0B">
            <w:pPr>
              <w:ind w:right="104"/>
              <w:rPr>
                <w:sz w:val="18"/>
                <w:szCs w:val="18"/>
              </w:rPr>
            </w:pPr>
            <w:r w:rsidRPr="00472518">
              <w:rPr>
                <w:sz w:val="18"/>
                <w:szCs w:val="18"/>
              </w:rPr>
              <w:t>Reservatório Juqueri</w:t>
            </w:r>
          </w:p>
        </w:tc>
      </w:tr>
    </w:tbl>
    <w:p w:rsidR="00212C0B" w:rsidRPr="00472518" w:rsidRDefault="00212C0B" w:rsidP="00472518">
      <w:pPr>
        <w:rPr>
          <w:sz w:val="16"/>
          <w:szCs w:val="16"/>
        </w:rPr>
      </w:pPr>
      <w:r w:rsidRPr="00472518">
        <w:rPr>
          <w:sz w:val="16"/>
          <w:szCs w:val="16"/>
        </w:rPr>
        <w:t>Fonte: Nascimento</w:t>
      </w:r>
      <w:r w:rsidR="00472518">
        <w:rPr>
          <w:sz w:val="16"/>
          <w:szCs w:val="16"/>
        </w:rPr>
        <w:t xml:space="preserve"> </w:t>
      </w:r>
      <w:r w:rsidRPr="00472518">
        <w:rPr>
          <w:sz w:val="16"/>
          <w:szCs w:val="16"/>
        </w:rPr>
        <w:t>(2010)</w:t>
      </w:r>
    </w:p>
    <w:p w:rsidR="00212C0B" w:rsidRDefault="00212C0B" w:rsidP="00472518">
      <w:r w:rsidRPr="00A722E3">
        <w:lastRenderedPageBreak/>
        <w:t>Os resultados apresentados mostraram valores igua</w:t>
      </w:r>
      <w:r w:rsidR="008477B6">
        <w:t>is ou inferiores a 10.000 cél/ml</w:t>
      </w:r>
      <w:r w:rsidRPr="00A722E3">
        <w:t xml:space="preserve"> e leve tendência de aumento nos rios Cachoeira e nas represas de Atibainha e Juqueri e de redução no Rio Jaguari. As cianobactérias mais comumente encontradas foram Chroococales e filamentosas como </w:t>
      </w:r>
      <w:r w:rsidRPr="00A722E3">
        <w:rPr>
          <w:i/>
        </w:rPr>
        <w:t>Anabaena</w:t>
      </w:r>
      <w:r w:rsidRPr="00A722E3">
        <w:t xml:space="preserve">, </w:t>
      </w:r>
      <w:r w:rsidRPr="00A722E3">
        <w:rPr>
          <w:i/>
        </w:rPr>
        <w:t>Oscillatoria</w:t>
      </w:r>
      <w:r w:rsidRPr="00A722E3">
        <w:t xml:space="preserve"> e </w:t>
      </w:r>
      <w:r w:rsidRPr="00A722E3">
        <w:rPr>
          <w:i/>
        </w:rPr>
        <w:t>Cylindrospermopsis.</w:t>
      </w:r>
      <w:r w:rsidRPr="00A722E3">
        <w:t xml:space="preserve"> Os valores de microcistinas mostraram </w:t>
      </w:r>
      <w:r>
        <w:t>valores inferiores até mesmo ao</w:t>
      </w:r>
      <w:r w:rsidRPr="00A722E3">
        <w:t xml:space="preserve"> permitido para águas tratadas.</w:t>
      </w:r>
    </w:p>
    <w:p w:rsidR="00B07667" w:rsidRPr="00A722E3" w:rsidRDefault="00B07667" w:rsidP="00B07667">
      <w:pPr>
        <w:pStyle w:val="Quadro"/>
      </w:pPr>
      <w:r>
        <w:t>Figura 6.4.</w:t>
      </w:r>
      <w:r w:rsidR="008477B6">
        <w:t>5-</w:t>
      </w:r>
      <w:r>
        <w:t>5</w:t>
      </w:r>
      <w:r w:rsidR="008477B6">
        <w:t>.</w:t>
      </w:r>
      <w:r>
        <w:t xml:space="preserve"> Desenvolvimento de Cianobactérias</w:t>
      </w:r>
    </w:p>
    <w:p w:rsidR="00212C0B" w:rsidRDefault="00212C0B" w:rsidP="00212C0B">
      <w:pPr>
        <w:spacing w:after="0"/>
        <w:ind w:right="102"/>
        <w:jc w:val="center"/>
        <w:rPr>
          <w:sz w:val="24"/>
          <w:szCs w:val="24"/>
        </w:rPr>
      </w:pPr>
      <w:r>
        <w:rPr>
          <w:noProof/>
          <w:lang w:eastAsia="pt-BR"/>
        </w:rPr>
        <w:drawing>
          <wp:inline distT="0" distB="0" distL="0" distR="0" wp14:anchorId="6F0ED557" wp14:editId="271B589A">
            <wp:extent cx="4728353" cy="2457450"/>
            <wp:effectExtent l="1905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0" cstate="print"/>
                    <a:srcRect l="22647" t="26492" r="19595" b="20069"/>
                    <a:stretch/>
                  </pic:blipFill>
                  <pic:spPr bwMode="auto">
                    <a:xfrm>
                      <a:off x="0" y="0"/>
                      <a:ext cx="4728353" cy="2457450"/>
                    </a:xfrm>
                    <a:prstGeom prst="rect">
                      <a:avLst/>
                    </a:prstGeom>
                    <a:ln>
                      <a:noFill/>
                    </a:ln>
                    <a:extLst>
                      <a:ext uri="{53640926-AAD7-44D8-BBD7-CCE9431645EC}">
                        <a14:shadowObscured xmlns:a14="http://schemas.microsoft.com/office/drawing/2010/main"/>
                      </a:ext>
                    </a:extLst>
                  </pic:spPr>
                </pic:pic>
              </a:graphicData>
            </a:graphic>
          </wp:inline>
        </w:drawing>
      </w:r>
    </w:p>
    <w:p w:rsidR="00212C0B" w:rsidRDefault="00212C0B" w:rsidP="00B07667">
      <w:pPr>
        <w:ind w:right="102"/>
        <w:jc w:val="center"/>
        <w:rPr>
          <w:sz w:val="20"/>
          <w:szCs w:val="20"/>
        </w:rPr>
      </w:pPr>
      <w:r w:rsidRPr="006F6986">
        <w:rPr>
          <w:sz w:val="20"/>
          <w:szCs w:val="20"/>
        </w:rPr>
        <w:t xml:space="preserve">Fonte: </w:t>
      </w:r>
      <w:r>
        <w:rPr>
          <w:sz w:val="20"/>
          <w:szCs w:val="20"/>
        </w:rPr>
        <w:t xml:space="preserve">Dados da SABESP em </w:t>
      </w:r>
      <w:r w:rsidRPr="006F6986">
        <w:rPr>
          <w:sz w:val="20"/>
          <w:szCs w:val="20"/>
        </w:rPr>
        <w:t>NASCIMENTO (2010)</w:t>
      </w:r>
    </w:p>
    <w:p w:rsidR="00212C0B" w:rsidRDefault="00212C0B" w:rsidP="00472518">
      <w:r w:rsidRPr="004E1521">
        <w:t>A biodiversidade e distribuição temporal e espacial das diatomáceas planctônicas e presentes nos sedimentos superficiais da represa Jaguari-Jacareí (Sistema Cantareira) foi avaliada por NASCIMENTO (2012), visando contribuir para a caracterização da qualidade ecológica do maior manancial abastecedor da RMSP</w:t>
      </w:r>
      <w:r>
        <w:t>.</w:t>
      </w:r>
    </w:p>
    <w:p w:rsidR="00212C0B" w:rsidRPr="002F23FA" w:rsidRDefault="00212C0B" w:rsidP="00472518">
      <w:r w:rsidRPr="002F23FA">
        <w:t xml:space="preserve">A comunidade de diatomáceas planctônicas foi constituída por 62 táxons específicos e infraespecíficos distribuídos em 27 gêneros. Desses táxons, 15 foram considerados abundantes, sem ocorrer dominância. </w:t>
      </w:r>
    </w:p>
    <w:p w:rsidR="00212C0B" w:rsidRPr="002F23FA" w:rsidRDefault="00212C0B" w:rsidP="00472518">
      <w:r w:rsidRPr="002F23FA">
        <w:t>As diatomáceas do sedimento foram representadas por 65 táxons específicos e infraespecíficos distribuídos em 30 gêneros, dos quais 15 foram considerados abundantes e apenas uma espécie (</w:t>
      </w:r>
      <w:r w:rsidRPr="002F23FA">
        <w:rPr>
          <w:i/>
          <w:iCs/>
        </w:rPr>
        <w:t>Aulacoseira tenella</w:t>
      </w:r>
      <w:r w:rsidRPr="002F23FA">
        <w:t xml:space="preserve">) dominante em </w:t>
      </w:r>
      <w:r w:rsidR="007663CE">
        <w:t>uma única estação de amostragem.</w:t>
      </w:r>
    </w:p>
    <w:p w:rsidR="00212C0B" w:rsidRPr="00C5113B" w:rsidRDefault="00212C0B" w:rsidP="00472518">
      <w:r w:rsidRPr="00C5113B">
        <w:t>Considerando a represa Jaguari-Jacareí como um todo, as espécies mais abundantes em ambos os períodos, nas estações de amostragem sem influência dos tributários, foram espécies cêntricas (</w:t>
      </w:r>
      <w:r w:rsidRPr="00C5113B">
        <w:rPr>
          <w:i/>
          <w:iCs/>
        </w:rPr>
        <w:t>Aulacoseira tenella</w:t>
      </w:r>
      <w:r w:rsidRPr="00C5113B">
        <w:t xml:space="preserve">, </w:t>
      </w:r>
      <w:r w:rsidRPr="00C5113B">
        <w:rPr>
          <w:i/>
          <w:iCs/>
        </w:rPr>
        <w:t>Discostella pseudostelligera</w:t>
      </w:r>
      <w:r w:rsidRPr="00C5113B">
        <w:t xml:space="preserve">, </w:t>
      </w:r>
      <w:r w:rsidRPr="00C5113B">
        <w:rPr>
          <w:i/>
          <w:iCs/>
        </w:rPr>
        <w:t xml:space="preserve">Cyclotella meneghiniana </w:t>
      </w:r>
      <w:r w:rsidRPr="00C5113B">
        <w:t xml:space="preserve">e </w:t>
      </w:r>
      <w:r w:rsidRPr="00C5113B">
        <w:rPr>
          <w:i/>
          <w:iCs/>
        </w:rPr>
        <w:t>Thalassiosira rudis</w:t>
      </w:r>
      <w:r w:rsidRPr="00C5113B">
        <w:t>), formadoras de cadeias (</w:t>
      </w:r>
      <w:r w:rsidRPr="00C5113B">
        <w:rPr>
          <w:i/>
          <w:iCs/>
        </w:rPr>
        <w:t xml:space="preserve">Fragilaria rupens </w:t>
      </w:r>
      <w:r w:rsidRPr="00C5113B">
        <w:t xml:space="preserve">var. </w:t>
      </w:r>
      <w:r w:rsidRPr="00C5113B">
        <w:rPr>
          <w:i/>
          <w:iCs/>
        </w:rPr>
        <w:t>fusa</w:t>
      </w:r>
      <w:r w:rsidRPr="00C5113B">
        <w:t>), ou cobertas por mucilagem (</w:t>
      </w:r>
      <w:r w:rsidRPr="00C5113B">
        <w:rPr>
          <w:i/>
          <w:iCs/>
        </w:rPr>
        <w:t>Achnanthidium catenatum</w:t>
      </w:r>
      <w:r w:rsidRPr="00C5113B">
        <w:t xml:space="preserve">), ou seja, espécies com estratégias adaptativas para flotabilidade, o que é uma vantagem competitiva em ambientes com grande profundidade, como é o caso da </w:t>
      </w:r>
      <w:r w:rsidR="007663CE">
        <w:t>r</w:t>
      </w:r>
      <w:r w:rsidRPr="00C5113B">
        <w:t>epresa Jaguari-Jacareí. Destaca-se a prevalência das cêntricas diminutas em período de estratificação e das cêntricas maiores em períodos de circulação ou</w:t>
      </w:r>
      <w:r>
        <w:t xml:space="preserve"> sob influência dos </w:t>
      </w:r>
      <w:r w:rsidRPr="00C5113B">
        <w:t>tributários (NASCIMENTO, 2012)</w:t>
      </w:r>
      <w:r>
        <w:t>.</w:t>
      </w:r>
      <w:r w:rsidRPr="00C5113B">
        <w:t xml:space="preserve"> </w:t>
      </w:r>
    </w:p>
    <w:p w:rsidR="00212C0B" w:rsidRPr="004E1521" w:rsidRDefault="00212C0B" w:rsidP="001B3804">
      <w:r w:rsidRPr="004E1521">
        <w:t xml:space="preserve">A represa Jaguari-Jacareí foi classificada como ultra-oligotrófica a oligotrófica, exceto </w:t>
      </w:r>
      <w:r w:rsidR="007663CE">
        <w:t>n</w:t>
      </w:r>
      <w:r w:rsidRPr="004E1521">
        <w:t>os locais que recebem influência dos rios Jaguari e Jacareí, classificados como mesotróficos, e que sinalizam um processo de eutrofização</w:t>
      </w:r>
      <w:r>
        <w:t xml:space="preserve"> </w:t>
      </w:r>
      <w:r w:rsidRPr="00C5113B">
        <w:t>(NASCIMENTO, 2012)</w:t>
      </w:r>
      <w:r>
        <w:t>.</w:t>
      </w:r>
    </w:p>
    <w:p w:rsidR="00212C0B" w:rsidRDefault="00212C0B" w:rsidP="001B3804">
      <w:r>
        <w:t>Os dados referentes ao monitoramento da qualidade da água realizado entre 2010 e 2013 (CETESB, 2011, 2012, 2013, 2014) nos pontos situados nos reservatórios de Jaguari e Juqueri (Paiva Castro) e no rio à jusante dos reservatórios de Cachoeira e Atibainha são apresentados a seguir.</w:t>
      </w:r>
    </w:p>
    <w:p w:rsidR="00212C0B" w:rsidRDefault="00B07667" w:rsidP="001B3804">
      <w:r>
        <w:t>A Ta</w:t>
      </w:r>
      <w:r w:rsidRPr="00B07667">
        <w:rPr>
          <w:b/>
        </w:rPr>
        <w:t>bela</w:t>
      </w:r>
      <w:r w:rsidR="00212C0B" w:rsidRPr="00B07667">
        <w:rPr>
          <w:b/>
        </w:rPr>
        <w:t xml:space="preserve"> </w:t>
      </w:r>
      <w:r w:rsidRPr="00B07667">
        <w:rPr>
          <w:b/>
        </w:rPr>
        <w:t>6.4.</w:t>
      </w:r>
      <w:r w:rsidR="007663CE">
        <w:rPr>
          <w:b/>
        </w:rPr>
        <w:t>5-</w:t>
      </w:r>
      <w:r w:rsidRPr="00B07667">
        <w:rPr>
          <w:b/>
        </w:rPr>
        <w:t xml:space="preserve">7 </w:t>
      </w:r>
      <w:r w:rsidR="00212C0B">
        <w:t xml:space="preserve">apresenta os dados de clorofila e de cianobactérias </w:t>
      </w:r>
      <w:r w:rsidR="00E4284F">
        <w:t xml:space="preserve">nas represas do Sistema Cantareira, </w:t>
      </w:r>
      <w:r w:rsidR="00212C0B">
        <w:t xml:space="preserve">com os limites referentes às classes 1 (para os corpos d’água de classe especial) e 2 estabelecidos pela Resolução CONAMA 357/2005, ressaltando os valores em não </w:t>
      </w:r>
      <w:r w:rsidR="00212C0B">
        <w:lastRenderedPageBreak/>
        <w:t>conformidade, além dos índices calculados pela CETESB (IET, IVA, ICF e ICZ) com a devida classificação em cores segundo a categoria em que o índice se enquadra.</w:t>
      </w:r>
    </w:p>
    <w:p w:rsidR="00962F6B" w:rsidRPr="00B07667" w:rsidRDefault="00962F6B" w:rsidP="00B07667">
      <w:pPr>
        <w:pStyle w:val="Quadro"/>
      </w:pPr>
      <w:r w:rsidRPr="00B07667">
        <w:t xml:space="preserve">Tabela </w:t>
      </w:r>
      <w:r w:rsidR="00B07667" w:rsidRPr="00B07667">
        <w:t>6.4.</w:t>
      </w:r>
      <w:r w:rsidR="007663CE">
        <w:t>5-</w:t>
      </w:r>
      <w:r w:rsidR="00B07667" w:rsidRPr="00B07667">
        <w:t>7</w:t>
      </w:r>
      <w:r w:rsidR="00E4284F">
        <w:t>.</w:t>
      </w:r>
      <w:r w:rsidR="00B07667">
        <w:t xml:space="preserve"> </w:t>
      </w:r>
      <w:r w:rsidR="00E4284F">
        <w:t>C</w:t>
      </w:r>
      <w:r w:rsidR="00B07667">
        <w:t>lorofila e cianobactérias</w:t>
      </w:r>
      <w:r w:rsidR="00E4284F">
        <w:t xml:space="preserve"> nas represas do Sistema Cantareira</w:t>
      </w:r>
    </w:p>
    <w:p w:rsidR="00212C0B" w:rsidRDefault="00212C0B" w:rsidP="0041314A">
      <w:pPr>
        <w:spacing w:after="0" w:line="360" w:lineRule="auto"/>
        <w:jc w:val="center"/>
        <w:rPr>
          <w:sz w:val="24"/>
          <w:szCs w:val="24"/>
        </w:rPr>
      </w:pPr>
      <w:r w:rsidRPr="003630A2">
        <w:rPr>
          <w:noProof/>
          <w:lang w:eastAsia="pt-BR"/>
        </w:rPr>
        <w:drawing>
          <wp:inline distT="0" distB="0" distL="0" distR="0" wp14:anchorId="5F22D84C" wp14:editId="56D0B8F8">
            <wp:extent cx="5476875" cy="4838700"/>
            <wp:effectExtent l="0" t="0" r="9525"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476875" cy="4838700"/>
                    </a:xfrm>
                    <a:prstGeom prst="rect">
                      <a:avLst/>
                    </a:prstGeom>
                    <a:noFill/>
                    <a:ln>
                      <a:noFill/>
                    </a:ln>
                  </pic:spPr>
                </pic:pic>
              </a:graphicData>
            </a:graphic>
          </wp:inline>
        </w:drawing>
      </w:r>
    </w:p>
    <w:p w:rsidR="00212C0B" w:rsidRDefault="00212C0B" w:rsidP="00212C0B">
      <w:pPr>
        <w:spacing w:after="0" w:line="360" w:lineRule="auto"/>
        <w:rPr>
          <w:sz w:val="24"/>
          <w:szCs w:val="24"/>
        </w:rPr>
      </w:pPr>
    </w:p>
    <w:p w:rsidR="00212C0B" w:rsidRDefault="00212C0B" w:rsidP="0041314A">
      <w:pPr>
        <w:spacing w:after="0" w:line="360" w:lineRule="auto"/>
        <w:jc w:val="center"/>
        <w:rPr>
          <w:sz w:val="24"/>
          <w:szCs w:val="24"/>
        </w:rPr>
      </w:pPr>
      <w:r w:rsidRPr="00612626">
        <w:rPr>
          <w:noProof/>
          <w:lang w:eastAsia="pt-BR"/>
        </w:rPr>
        <w:drawing>
          <wp:inline distT="0" distB="0" distL="0" distR="0" wp14:anchorId="2054E860" wp14:editId="74635C06">
            <wp:extent cx="4743450" cy="2524125"/>
            <wp:effectExtent l="0" t="0" r="0" b="9525"/>
            <wp:docPr id="11648" name="Imagem 1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743450" cy="2524125"/>
                    </a:xfrm>
                    <a:prstGeom prst="rect">
                      <a:avLst/>
                    </a:prstGeom>
                    <a:noFill/>
                    <a:ln>
                      <a:noFill/>
                    </a:ln>
                  </pic:spPr>
                </pic:pic>
              </a:graphicData>
            </a:graphic>
          </wp:inline>
        </w:drawing>
      </w:r>
    </w:p>
    <w:p w:rsidR="00212C0B" w:rsidRDefault="00212C0B" w:rsidP="00212C0B">
      <w:pPr>
        <w:spacing w:after="0" w:line="360" w:lineRule="auto"/>
        <w:rPr>
          <w:sz w:val="24"/>
          <w:szCs w:val="24"/>
        </w:rPr>
      </w:pPr>
    </w:p>
    <w:p w:rsidR="00212C0B" w:rsidRDefault="00212C0B" w:rsidP="0041314A">
      <w:pPr>
        <w:spacing w:after="0" w:line="360" w:lineRule="auto"/>
        <w:jc w:val="center"/>
        <w:rPr>
          <w:sz w:val="24"/>
          <w:szCs w:val="24"/>
        </w:rPr>
      </w:pPr>
      <w:r w:rsidRPr="00612626">
        <w:rPr>
          <w:noProof/>
          <w:lang w:eastAsia="pt-BR"/>
        </w:rPr>
        <w:lastRenderedPageBreak/>
        <w:drawing>
          <wp:inline distT="0" distB="0" distL="0" distR="0" wp14:anchorId="22CE5861" wp14:editId="61214100">
            <wp:extent cx="3867150" cy="2524125"/>
            <wp:effectExtent l="0" t="0" r="0" b="9525"/>
            <wp:docPr id="11649" name="Imagem 1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867150" cy="2524125"/>
                    </a:xfrm>
                    <a:prstGeom prst="rect">
                      <a:avLst/>
                    </a:prstGeom>
                    <a:noFill/>
                    <a:ln>
                      <a:noFill/>
                    </a:ln>
                  </pic:spPr>
                </pic:pic>
              </a:graphicData>
            </a:graphic>
          </wp:inline>
        </w:drawing>
      </w:r>
    </w:p>
    <w:p w:rsidR="00212C0B" w:rsidRDefault="00212C0B" w:rsidP="00212C0B">
      <w:pPr>
        <w:spacing w:after="0" w:line="360" w:lineRule="auto"/>
        <w:rPr>
          <w:sz w:val="24"/>
          <w:szCs w:val="24"/>
        </w:rPr>
      </w:pPr>
    </w:p>
    <w:p w:rsidR="00212C0B" w:rsidRDefault="00212C0B" w:rsidP="0041314A">
      <w:pPr>
        <w:spacing w:after="0" w:line="360" w:lineRule="auto"/>
        <w:jc w:val="center"/>
        <w:rPr>
          <w:sz w:val="24"/>
          <w:szCs w:val="24"/>
        </w:rPr>
      </w:pPr>
      <w:r w:rsidRPr="00612626">
        <w:rPr>
          <w:noProof/>
          <w:lang w:eastAsia="pt-BR"/>
        </w:rPr>
        <w:drawing>
          <wp:inline distT="0" distB="0" distL="0" distR="0" wp14:anchorId="53C78CF1" wp14:editId="2976E1A1">
            <wp:extent cx="5181600" cy="4838700"/>
            <wp:effectExtent l="0" t="0" r="0" b="0"/>
            <wp:docPr id="11650" name="Imagem 1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181600" cy="4838700"/>
                    </a:xfrm>
                    <a:prstGeom prst="rect">
                      <a:avLst/>
                    </a:prstGeom>
                    <a:noFill/>
                    <a:ln>
                      <a:noFill/>
                    </a:ln>
                  </pic:spPr>
                </pic:pic>
              </a:graphicData>
            </a:graphic>
          </wp:inline>
        </w:drawing>
      </w:r>
    </w:p>
    <w:p w:rsidR="00212C0B" w:rsidRDefault="001B3804" w:rsidP="001B3804">
      <w:pPr>
        <w:pStyle w:val="Ttulo4"/>
        <w:rPr>
          <w:sz w:val="24"/>
          <w:szCs w:val="24"/>
        </w:rPr>
      </w:pPr>
      <w:bookmarkStart w:id="146" w:name="_Toc411871211"/>
      <w:r>
        <w:t xml:space="preserve">Informações Limnológicas do Rio </w:t>
      </w:r>
      <w:r w:rsidR="00212C0B">
        <w:rPr>
          <w:sz w:val="24"/>
          <w:szCs w:val="24"/>
        </w:rPr>
        <w:t>Paraíba do Sul</w:t>
      </w:r>
      <w:bookmarkEnd w:id="146"/>
    </w:p>
    <w:p w:rsidR="00212C0B" w:rsidRDefault="00212C0B" w:rsidP="001B3804">
      <w:r w:rsidRPr="00DE0F5A">
        <w:t>ROSSETTI</w:t>
      </w:r>
      <w:r w:rsidR="0041314A">
        <w:t xml:space="preserve"> </w:t>
      </w:r>
      <w:r w:rsidRPr="00DE0F5A">
        <w:t xml:space="preserve">(2009) avaliou a evolução da carga orgânica de origem doméstica lançada pelos municípios que compõem a bacia hidrográfica até o limite de SP-RJ, entre 1998 e 2007. Os dados indicaram que a concentração de matéria orgânica no rio Paraíba do Sul está dentro dos </w:t>
      </w:r>
      <w:r w:rsidRPr="00DE0F5A">
        <w:lastRenderedPageBreak/>
        <w:t>padrões exigido</w:t>
      </w:r>
      <w:r w:rsidR="0041314A">
        <w:t>s</w:t>
      </w:r>
      <w:r w:rsidRPr="00DE0F5A">
        <w:t xml:space="preserve"> pela legislação para um rio de classe 2.</w:t>
      </w:r>
      <w:r>
        <w:t xml:space="preserve"> Contudo o rio apresentou</w:t>
      </w:r>
      <w:r w:rsidRPr="00DE0F5A">
        <w:t xml:space="preserve"> sinais de estar muito perto do esgotamento da sua capacidade de suporte.</w:t>
      </w:r>
    </w:p>
    <w:p w:rsidR="00212C0B" w:rsidRDefault="00212C0B" w:rsidP="001B3804">
      <w:r w:rsidRPr="00DE0F5A">
        <w:t>ROSA (2012)</w:t>
      </w:r>
      <w:r w:rsidRPr="00DE0F5A">
        <w:rPr>
          <w:b/>
        </w:rPr>
        <w:t xml:space="preserve"> </w:t>
      </w:r>
      <w:r>
        <w:t>a</w:t>
      </w:r>
      <w:r w:rsidRPr="00DE0F5A">
        <w:t>nalisou a evolução da qualidade da água do</w:t>
      </w:r>
      <w:r>
        <w:t xml:space="preserve"> trecho paulista do </w:t>
      </w:r>
      <w:r w:rsidR="007663CE">
        <w:t>r</w:t>
      </w:r>
      <w:r>
        <w:t>io</w:t>
      </w:r>
      <w:r w:rsidRPr="00DE0F5A">
        <w:t xml:space="preserve"> Paraíba do Sul durante 29 anos a partir dos dados o monitoramento da CETESB. Os dados mostraram o impacto significativo do crescimento populacional na deterioração da qualidade da água do rio e as melhorias advindas da implantação de várias ETEs nos municípios ao longo do rio.</w:t>
      </w:r>
      <w:r>
        <w:t xml:space="preserve"> As figuras abaixo mostram os valores médios do IET e do IVA no período de 2006 a 2010 ao longo do curso do rio</w:t>
      </w:r>
      <w:r w:rsidR="001B3804">
        <w:t>.</w:t>
      </w:r>
    </w:p>
    <w:p w:rsidR="001B3804" w:rsidRDefault="001B3804" w:rsidP="001B3804">
      <w:pPr>
        <w:pStyle w:val="Quadro"/>
      </w:pPr>
      <w:r>
        <w:t xml:space="preserve">Figura </w:t>
      </w:r>
      <w:r w:rsidR="00B07667">
        <w:t>6.4.</w:t>
      </w:r>
      <w:r w:rsidR="007663CE">
        <w:t>5-</w:t>
      </w:r>
      <w:r w:rsidR="00B07667">
        <w:t>6</w:t>
      </w:r>
      <w:r w:rsidR="007663CE">
        <w:t>.</w:t>
      </w:r>
      <w:r>
        <w:t xml:space="preserve"> IET, Rio Paraíba do Sul no período de 2006 a 2010. </w:t>
      </w:r>
    </w:p>
    <w:p w:rsidR="00212C0B" w:rsidRDefault="00212C0B" w:rsidP="00212C0B">
      <w:pPr>
        <w:spacing w:after="0" w:line="360" w:lineRule="auto"/>
        <w:ind w:right="102"/>
        <w:rPr>
          <w:sz w:val="24"/>
          <w:szCs w:val="24"/>
        </w:rPr>
      </w:pPr>
      <w:r>
        <w:rPr>
          <w:noProof/>
          <w:lang w:eastAsia="pt-BR"/>
        </w:rPr>
        <w:drawing>
          <wp:inline distT="0" distB="0" distL="0" distR="0" wp14:anchorId="50BA9C6D" wp14:editId="220FF19E">
            <wp:extent cx="6691630" cy="4060248"/>
            <wp:effectExtent l="0" t="0" r="0" b="0"/>
            <wp:docPr id="11651" name="Imagem 1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rotWithShape="1">
                    <a:blip r:embed="rId145" cstate="print">
                      <a:extLst>
                        <a:ext uri="{28A0092B-C50C-407E-A947-70E740481C1C}">
                          <a14:useLocalDpi xmlns:a14="http://schemas.microsoft.com/office/drawing/2010/main" val="0"/>
                        </a:ext>
                      </a:extLst>
                    </a:blip>
                    <a:srcRect l="23536" t="26813" r="15785" b="7618"/>
                    <a:stretch/>
                  </pic:blipFill>
                  <pic:spPr bwMode="auto">
                    <a:xfrm>
                      <a:off x="0" y="0"/>
                      <a:ext cx="6714415" cy="4074073"/>
                    </a:xfrm>
                    <a:prstGeom prst="rect">
                      <a:avLst/>
                    </a:prstGeom>
                    <a:noFill/>
                    <a:ln>
                      <a:noFill/>
                    </a:ln>
                    <a:extLst>
                      <a:ext uri="{53640926-AAD7-44D8-BBD7-CCE9431645EC}">
                        <a14:shadowObscured xmlns:a14="http://schemas.microsoft.com/office/drawing/2010/main"/>
                      </a:ext>
                    </a:extLst>
                  </pic:spPr>
                </pic:pic>
              </a:graphicData>
            </a:graphic>
          </wp:inline>
        </w:drawing>
      </w:r>
    </w:p>
    <w:p w:rsidR="00212C0B" w:rsidRPr="001B3804" w:rsidRDefault="00212C0B" w:rsidP="001B3804">
      <w:pPr>
        <w:rPr>
          <w:sz w:val="16"/>
          <w:szCs w:val="16"/>
        </w:rPr>
      </w:pPr>
      <w:r w:rsidRPr="001B3804">
        <w:rPr>
          <w:sz w:val="16"/>
          <w:szCs w:val="16"/>
        </w:rPr>
        <w:t>Fonte: ROSA (2012)</w:t>
      </w:r>
    </w:p>
    <w:p w:rsidR="001B3804" w:rsidRDefault="001B3804" w:rsidP="001B3804">
      <w:pPr>
        <w:pStyle w:val="Quadro"/>
      </w:pPr>
      <w:r>
        <w:lastRenderedPageBreak/>
        <w:t>Figura</w:t>
      </w:r>
      <w:r w:rsidR="00B07667">
        <w:t xml:space="preserve"> 6.4.</w:t>
      </w:r>
      <w:r w:rsidR="007663CE">
        <w:t>5-</w:t>
      </w:r>
      <w:r w:rsidR="00B07667">
        <w:t>7</w:t>
      </w:r>
      <w:r w:rsidR="007663CE">
        <w:t>.</w:t>
      </w:r>
      <w:r>
        <w:t xml:space="preserve"> IVA, Rio Paraíba do Sul no período de 2006 a 2010. </w:t>
      </w:r>
    </w:p>
    <w:p w:rsidR="00212C0B" w:rsidRDefault="00212C0B" w:rsidP="00212C0B">
      <w:pPr>
        <w:spacing w:after="0" w:line="360" w:lineRule="auto"/>
        <w:ind w:right="102"/>
        <w:rPr>
          <w:sz w:val="24"/>
          <w:szCs w:val="24"/>
        </w:rPr>
      </w:pPr>
      <w:r>
        <w:rPr>
          <w:noProof/>
          <w:lang w:eastAsia="pt-BR"/>
        </w:rPr>
        <w:drawing>
          <wp:inline distT="0" distB="0" distL="0" distR="0" wp14:anchorId="58B50314" wp14:editId="3343F773">
            <wp:extent cx="5781675" cy="3544717"/>
            <wp:effectExtent l="0" t="0" r="0" b="0"/>
            <wp:docPr id="11652" name="Imagem 1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rotWithShape="1">
                    <a:blip r:embed="rId146" cstate="print">
                      <a:extLst>
                        <a:ext uri="{28A0092B-C50C-407E-A947-70E740481C1C}">
                          <a14:useLocalDpi xmlns:a14="http://schemas.microsoft.com/office/drawing/2010/main" val="0"/>
                        </a:ext>
                      </a:extLst>
                    </a:blip>
                    <a:srcRect l="21924" t="23595" r="17393" b="10348"/>
                    <a:stretch/>
                  </pic:blipFill>
                  <pic:spPr bwMode="auto">
                    <a:xfrm>
                      <a:off x="0" y="0"/>
                      <a:ext cx="5786350" cy="3547583"/>
                    </a:xfrm>
                    <a:prstGeom prst="rect">
                      <a:avLst/>
                    </a:prstGeom>
                    <a:noFill/>
                    <a:ln>
                      <a:noFill/>
                    </a:ln>
                    <a:extLst>
                      <a:ext uri="{53640926-AAD7-44D8-BBD7-CCE9431645EC}">
                        <a14:shadowObscured xmlns:a14="http://schemas.microsoft.com/office/drawing/2010/main"/>
                      </a:ext>
                    </a:extLst>
                  </pic:spPr>
                </pic:pic>
              </a:graphicData>
            </a:graphic>
          </wp:inline>
        </w:drawing>
      </w:r>
    </w:p>
    <w:p w:rsidR="00212C0B" w:rsidRPr="001B3804" w:rsidRDefault="00212C0B" w:rsidP="001B3804">
      <w:pPr>
        <w:rPr>
          <w:sz w:val="16"/>
          <w:szCs w:val="16"/>
        </w:rPr>
      </w:pPr>
      <w:r w:rsidRPr="001B3804">
        <w:rPr>
          <w:sz w:val="16"/>
          <w:szCs w:val="16"/>
        </w:rPr>
        <w:t>Fonte: ROSA (2012)</w:t>
      </w:r>
    </w:p>
    <w:p w:rsidR="0041314A" w:rsidRDefault="00212C0B" w:rsidP="001B3804">
      <w:r w:rsidRPr="00370817">
        <w:rPr>
          <w:iCs/>
        </w:rPr>
        <w:t xml:space="preserve">FERRÃO-FILHO </w:t>
      </w:r>
      <w:r w:rsidRPr="00370817">
        <w:rPr>
          <w:i/>
          <w:iCs/>
        </w:rPr>
        <w:t>et al</w:t>
      </w:r>
      <w:r w:rsidRPr="00370817">
        <w:rPr>
          <w:iCs/>
        </w:rPr>
        <w:t>. (2009)</w:t>
      </w:r>
      <w:r w:rsidRPr="00370817">
        <w:t xml:space="preserve"> apresentaram uma série temporal de dados físicos, químicos e biológicos do </w:t>
      </w:r>
      <w:r w:rsidR="0041314A">
        <w:t>r</w:t>
      </w:r>
      <w:r w:rsidRPr="00370817">
        <w:t>eservatório de Funil,</w:t>
      </w:r>
      <w:r>
        <w:t xml:space="preserve"> situado no Paraíba do Sul na divisa SP-RJ,</w:t>
      </w:r>
      <w:r w:rsidRPr="00370817">
        <w:t xml:space="preserve"> abrangendo amostragens mensais em um período de quatro anos (junho/02 a março/06) de clorofila-</w:t>
      </w:r>
      <w:r w:rsidRPr="00370817">
        <w:rPr>
          <w:i/>
          <w:iCs/>
        </w:rPr>
        <w:t>a</w:t>
      </w:r>
      <w:r w:rsidRPr="00370817">
        <w:t>, cianotoxinas do seston e do plâncton de rede, e da composição da comunidade fitoplanctônica e zooplanctônica</w:t>
      </w:r>
      <w:r w:rsidR="0041314A">
        <w:t>,</w:t>
      </w:r>
      <w:r w:rsidRPr="00370817">
        <w:t xml:space="preserve"> além de testes de toxicidade com cladóceros</w:t>
      </w:r>
      <w:r w:rsidR="0041314A">
        <w:t xml:space="preserve"> nativos e de origem temperada.</w:t>
      </w:r>
    </w:p>
    <w:p w:rsidR="00212C0B" w:rsidRPr="00370817" w:rsidRDefault="00212C0B" w:rsidP="001B3804">
      <w:r w:rsidRPr="00370817">
        <w:t xml:space="preserve">Os resultados mostraram que o elevado e constante aporte de N e P favorece a ocorrência de cianobactérias durante todo </w:t>
      </w:r>
      <w:r w:rsidR="0041314A">
        <w:t xml:space="preserve">o </w:t>
      </w:r>
      <w:r w:rsidRPr="00370817">
        <w:t xml:space="preserve">ano. Entretanto, a variabilidade temporal está principalmente relacionada às alterações de temperatura, caracterizando dois períodos distintos: quente-chuvoso, com floração de cianobactérias e frio-seco, com reduzidas biomassas. Entre as cianobactérias presentes estão espécies potencialmente produtoras de hepatotoxinas (microcistinas), como </w:t>
      </w:r>
      <w:r w:rsidRPr="00370817">
        <w:rPr>
          <w:i/>
          <w:iCs/>
        </w:rPr>
        <w:t xml:space="preserve">Microcystis </w:t>
      </w:r>
      <w:r w:rsidRPr="00370817">
        <w:t xml:space="preserve">spp., e de neurotoxinas (saxitoxinas), como </w:t>
      </w:r>
      <w:r w:rsidRPr="00370817">
        <w:rPr>
          <w:i/>
          <w:iCs/>
        </w:rPr>
        <w:t xml:space="preserve">Anabaena circinalis </w:t>
      </w:r>
      <w:r w:rsidRPr="00370817">
        <w:t xml:space="preserve">e </w:t>
      </w:r>
      <w:r w:rsidRPr="00370817">
        <w:rPr>
          <w:i/>
          <w:iCs/>
        </w:rPr>
        <w:t>Cylindrospermopsis raciborskii</w:t>
      </w:r>
      <w:r w:rsidRPr="00370817">
        <w:t>. Foram encontradas concentrações elevadas de microcistinas e saxitoxinas no fitoplâncton e microcistinas no zooplâncton, sugerindo que pode haver transferência trófica destas toxinas na cadeia alimentar. Os testes de toxicidade revelaram que as florações de cianobactérias exerceram efeitos tóxicos para os cladóceros, como alta mortalidade, redução da taxa de crescimento populacional (</w:t>
      </w:r>
      <w:r w:rsidRPr="00370817">
        <w:rPr>
          <w:i/>
          <w:iCs/>
        </w:rPr>
        <w:t>r</w:t>
      </w:r>
      <w:r w:rsidRPr="00370817">
        <w:t>) e paralisia dos movimentos natatórios, que parecem estar relacionados ao mecanismo de ação das cianotoxinas presentes.</w:t>
      </w:r>
    </w:p>
    <w:p w:rsidR="00212C0B" w:rsidRPr="00370817" w:rsidRDefault="00212C0B" w:rsidP="001B3804">
      <w:r w:rsidRPr="00370817">
        <w:t xml:space="preserve">O reservatório de Funil se caracterizou como um sistema eutrófico, com reduzida transparência </w:t>
      </w:r>
      <w:r w:rsidR="0041314A">
        <w:t>d</w:t>
      </w:r>
      <w:r w:rsidRPr="00370817">
        <w:t xml:space="preserve">‘água e elevadas concentrações de nutrientes e clorofila a. O grande aporte de nutrientes provém do </w:t>
      </w:r>
      <w:r w:rsidR="007663CE">
        <w:t>r</w:t>
      </w:r>
      <w:r w:rsidRPr="00370817">
        <w:t xml:space="preserve">io Paraíba do Sul, após este receber </w:t>
      </w:r>
      <w:r>
        <w:t>efluentes</w:t>
      </w:r>
      <w:r w:rsidRPr="00370817">
        <w:t xml:space="preserve"> provenientes de uma das áreas mais populosas e industrializadas do país. O processo de eutrofização do reservatório vem ocorrendo nas últimas décadas, ocasionando a mudança do estado mesotrófico para eutrófico.</w:t>
      </w:r>
    </w:p>
    <w:p w:rsidR="00212C0B" w:rsidRDefault="00212C0B" w:rsidP="001B3804">
      <w:r>
        <w:t>Os dados referentes ao monitoramento da qualidade da água realizado entre 2010 e 2013 (CETESB, 2011, 2012, 2013, 2014) nos pontos situados nos reservatórios de Jaguar</w:t>
      </w:r>
      <w:r w:rsidR="001B3804">
        <w:t>i/CESP e no rio Paraíba do Sul a montante e a</w:t>
      </w:r>
      <w:r>
        <w:t xml:space="preserve"> jusante da confluência com o </w:t>
      </w:r>
      <w:r w:rsidR="00C37999">
        <w:t>r</w:t>
      </w:r>
      <w:r>
        <w:t>io Jaguari são apresentados a seguir.</w:t>
      </w:r>
    </w:p>
    <w:p w:rsidR="00212C0B" w:rsidRDefault="00212C0B" w:rsidP="001B3804">
      <w:r>
        <w:t>As tabelas apresenta</w:t>
      </w:r>
      <w:r w:rsidR="0041314A">
        <w:t>m</w:t>
      </w:r>
      <w:r>
        <w:t xml:space="preserve"> os dados de clorofila e de cianobactérias com os limites referentes às classes 1 (para os corpos d’água de classe especial) e 2 estabelecidos pela Resolução CONAMA </w:t>
      </w:r>
      <w:r>
        <w:lastRenderedPageBreak/>
        <w:t>357/2005, ressaltando os valores em não conformidade, além dos índices calculados pela CETESB (IET, IVA, ICF e ICZ) com a devida classificação em cores segundo a categoria em que o índice se enquadra.</w:t>
      </w:r>
    </w:p>
    <w:p w:rsidR="00962F6B" w:rsidRPr="00B07667" w:rsidRDefault="00962F6B" w:rsidP="00B07667">
      <w:pPr>
        <w:pStyle w:val="Quadro"/>
      </w:pPr>
      <w:r w:rsidRPr="00B07667">
        <w:t>Tabela</w:t>
      </w:r>
      <w:r w:rsidR="00B07667" w:rsidRPr="00B07667">
        <w:t xml:space="preserve"> 6.4.</w:t>
      </w:r>
      <w:r w:rsidR="007663CE">
        <w:t>5-</w:t>
      </w:r>
      <w:r w:rsidR="00B07667" w:rsidRPr="00B07667">
        <w:t>8</w:t>
      </w:r>
      <w:r w:rsidR="007663CE">
        <w:t>.</w:t>
      </w:r>
      <w:r w:rsidR="00B07667">
        <w:t xml:space="preserve"> </w:t>
      </w:r>
      <w:r w:rsidR="00E4284F">
        <w:rPr>
          <w:rFonts w:hint="eastAsia"/>
        </w:rPr>
        <w:t xml:space="preserve">Clorofila </w:t>
      </w:r>
      <w:r w:rsidR="00633149">
        <w:t xml:space="preserve">e cianobactérias </w:t>
      </w:r>
      <w:r w:rsidR="00E4284F">
        <w:t>n</w:t>
      </w:r>
      <w:r w:rsidR="00BE6BE4">
        <w:t>a bacia do</w:t>
      </w:r>
      <w:r w:rsidR="00E4284F">
        <w:t xml:space="preserve"> Paraíba do Sul </w:t>
      </w:r>
    </w:p>
    <w:p w:rsidR="00212C0B" w:rsidRDefault="00212C0B" w:rsidP="0041314A">
      <w:pPr>
        <w:spacing w:after="0" w:line="360" w:lineRule="auto"/>
        <w:jc w:val="center"/>
        <w:rPr>
          <w:sz w:val="24"/>
          <w:szCs w:val="24"/>
        </w:rPr>
      </w:pPr>
      <w:r w:rsidRPr="00B4316D">
        <w:rPr>
          <w:noProof/>
          <w:lang w:eastAsia="pt-BR"/>
        </w:rPr>
        <w:drawing>
          <wp:inline distT="0" distB="0" distL="0" distR="0" wp14:anchorId="5178C0CE" wp14:editId="20898A5C">
            <wp:extent cx="5610225" cy="4067175"/>
            <wp:effectExtent l="0" t="0" r="9525" b="9525"/>
            <wp:docPr id="11653" name="Imagem 1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610225" cy="4067175"/>
                    </a:xfrm>
                    <a:prstGeom prst="rect">
                      <a:avLst/>
                    </a:prstGeom>
                    <a:noFill/>
                    <a:ln>
                      <a:noFill/>
                    </a:ln>
                  </pic:spPr>
                </pic:pic>
              </a:graphicData>
            </a:graphic>
          </wp:inline>
        </w:drawing>
      </w:r>
    </w:p>
    <w:p w:rsidR="00212C0B" w:rsidRDefault="00212C0B" w:rsidP="0041314A">
      <w:pPr>
        <w:spacing w:after="0" w:line="360" w:lineRule="auto"/>
        <w:jc w:val="center"/>
        <w:rPr>
          <w:sz w:val="24"/>
          <w:szCs w:val="24"/>
        </w:rPr>
      </w:pPr>
      <w:r w:rsidRPr="001F1E6E">
        <w:rPr>
          <w:noProof/>
          <w:lang w:eastAsia="pt-BR"/>
        </w:rPr>
        <w:drawing>
          <wp:inline distT="0" distB="0" distL="0" distR="0" wp14:anchorId="578DB7FF" wp14:editId="72D8A3E6">
            <wp:extent cx="5181600" cy="2524125"/>
            <wp:effectExtent l="0" t="0" r="0" b="9525"/>
            <wp:docPr id="11654" name="Imagem 1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181600" cy="2524125"/>
                    </a:xfrm>
                    <a:prstGeom prst="rect">
                      <a:avLst/>
                    </a:prstGeom>
                    <a:noFill/>
                    <a:ln>
                      <a:noFill/>
                    </a:ln>
                  </pic:spPr>
                </pic:pic>
              </a:graphicData>
            </a:graphic>
          </wp:inline>
        </w:drawing>
      </w:r>
    </w:p>
    <w:p w:rsidR="00212C0B" w:rsidRDefault="00212C0B" w:rsidP="00212C0B">
      <w:pPr>
        <w:spacing w:after="0" w:line="360" w:lineRule="auto"/>
        <w:rPr>
          <w:sz w:val="24"/>
          <w:szCs w:val="24"/>
        </w:rPr>
      </w:pPr>
    </w:p>
    <w:p w:rsidR="00212C0B" w:rsidRDefault="00212C0B" w:rsidP="0041314A">
      <w:pPr>
        <w:spacing w:after="0" w:line="360" w:lineRule="auto"/>
        <w:jc w:val="center"/>
        <w:rPr>
          <w:sz w:val="24"/>
          <w:szCs w:val="24"/>
        </w:rPr>
      </w:pPr>
      <w:r w:rsidRPr="001F1E6E">
        <w:rPr>
          <w:noProof/>
          <w:lang w:eastAsia="pt-BR"/>
        </w:rPr>
        <w:lastRenderedPageBreak/>
        <w:drawing>
          <wp:inline distT="0" distB="0" distL="0" distR="0" wp14:anchorId="7C14AED4" wp14:editId="4083FA05">
            <wp:extent cx="5019675" cy="2524125"/>
            <wp:effectExtent l="0" t="0" r="9525" b="9525"/>
            <wp:docPr id="11655" name="Imagem 1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019675" cy="2524125"/>
                    </a:xfrm>
                    <a:prstGeom prst="rect">
                      <a:avLst/>
                    </a:prstGeom>
                    <a:noFill/>
                    <a:ln>
                      <a:noFill/>
                    </a:ln>
                  </pic:spPr>
                </pic:pic>
              </a:graphicData>
            </a:graphic>
          </wp:inline>
        </w:drawing>
      </w:r>
    </w:p>
    <w:p w:rsidR="00D9475A" w:rsidRPr="0069310A" w:rsidRDefault="00D9475A" w:rsidP="00D9475A">
      <w:pPr>
        <w:rPr>
          <w:lang w:eastAsia="pt-BR"/>
        </w:rPr>
      </w:pPr>
    </w:p>
    <w:p w:rsidR="00D9475A" w:rsidRDefault="00C37999" w:rsidP="00C37999">
      <w:pPr>
        <w:pStyle w:val="Ttulo4"/>
      </w:pPr>
      <w:bookmarkStart w:id="147" w:name="_Toc411871212"/>
      <w:r>
        <w:t>Campanha de Limnologia nos Reservatórios Jaguari e Atibainha</w:t>
      </w:r>
      <w:bookmarkEnd w:id="147"/>
    </w:p>
    <w:p w:rsidR="00C37999" w:rsidRDefault="00C37999" w:rsidP="00ED14F2">
      <w:pPr>
        <w:rPr>
          <w:spacing w:val="-1"/>
        </w:rPr>
      </w:pPr>
      <w:r>
        <w:t xml:space="preserve">Informações relativas </w:t>
      </w:r>
      <w:r w:rsidR="00ED14F2">
        <w:t>a limnologia e</w:t>
      </w:r>
      <w:r>
        <w:t xml:space="preserve"> qualidade da água </w:t>
      </w:r>
      <w:r w:rsidR="00ED14F2">
        <w:t xml:space="preserve">nos reservatórios Jaguari (CESP) e Atibainha </w:t>
      </w:r>
      <w:r>
        <w:t xml:space="preserve">foram obtidas </w:t>
      </w:r>
      <w:r w:rsidR="00FA3F8A">
        <w:t>n</w:t>
      </w:r>
      <w:r w:rsidR="00ED14F2">
        <w:t>a campanha preliminar realizada</w:t>
      </w:r>
      <w:r>
        <w:t xml:space="preserve"> </w:t>
      </w:r>
      <w:r w:rsidR="00ED14F2">
        <w:t xml:space="preserve">conjuntamente pela Sabesp e CETESB em </w:t>
      </w:r>
      <w:r w:rsidR="00D51A0E">
        <w:t xml:space="preserve">Maio e Julho </w:t>
      </w:r>
      <w:r w:rsidR="00ED14F2">
        <w:t>2014, já descrita na seção relativa ao Diagnóstico de Qualidade de Água</w:t>
      </w:r>
      <w:r>
        <w:t xml:space="preserve">. As análises qualitativas e quantitativas referentes ao fitoplâncton e zooplâncton foram realizadas pela </w:t>
      </w:r>
      <w:r w:rsidR="00FA3F8A">
        <w:rPr>
          <w:spacing w:val="-2"/>
        </w:rPr>
        <w:t>Bioalgas</w:t>
      </w:r>
      <w:r w:rsidR="00FA3F8A">
        <w:rPr>
          <w:spacing w:val="-4"/>
        </w:rPr>
        <w:t xml:space="preserve"> </w:t>
      </w:r>
      <w:r>
        <w:rPr>
          <w:spacing w:val="-2"/>
        </w:rPr>
        <w:t>Análise</w:t>
      </w:r>
      <w:r>
        <w:rPr>
          <w:spacing w:val="3"/>
        </w:rPr>
        <w:t xml:space="preserve"> </w:t>
      </w:r>
      <w:r>
        <w:t>e</w:t>
      </w:r>
      <w:r>
        <w:rPr>
          <w:spacing w:val="-1"/>
        </w:rPr>
        <w:t xml:space="preserve"> Consultoria</w:t>
      </w:r>
      <w:r>
        <w:rPr>
          <w:spacing w:val="-3"/>
        </w:rPr>
        <w:t xml:space="preserve"> </w:t>
      </w:r>
      <w:r>
        <w:rPr>
          <w:spacing w:val="-2"/>
        </w:rPr>
        <w:t xml:space="preserve">Ambiental </w:t>
      </w:r>
      <w:r w:rsidR="00ED14F2">
        <w:rPr>
          <w:spacing w:val="-1"/>
        </w:rPr>
        <w:t xml:space="preserve">Ltda </w:t>
      </w:r>
      <w:r>
        <w:rPr>
          <w:spacing w:val="-1"/>
        </w:rPr>
        <w:t>e permitiram uma caracterização com dados recentes da condição d</w:t>
      </w:r>
      <w:r w:rsidR="00FA3F8A">
        <w:rPr>
          <w:spacing w:val="-1"/>
        </w:rPr>
        <w:t>e amb</w:t>
      </w:r>
      <w:r>
        <w:rPr>
          <w:spacing w:val="-1"/>
        </w:rPr>
        <w:t>o</w:t>
      </w:r>
      <w:r w:rsidR="00ED14F2">
        <w:rPr>
          <w:spacing w:val="-1"/>
        </w:rPr>
        <w:t>s</w:t>
      </w:r>
      <w:r>
        <w:rPr>
          <w:spacing w:val="-1"/>
        </w:rPr>
        <w:t xml:space="preserve"> reservatórios. </w:t>
      </w:r>
    </w:p>
    <w:p w:rsidR="00C37999" w:rsidRDefault="00C37999" w:rsidP="00ED14F2">
      <w:pPr>
        <w:rPr>
          <w:spacing w:val="-1"/>
        </w:rPr>
      </w:pPr>
      <w:r>
        <w:rPr>
          <w:spacing w:val="-1"/>
        </w:rPr>
        <w:t xml:space="preserve">Vale ressaltar a variação extremamente dinâmica das populações de organismos que compõem o fito e zooplâncton, com respostas rápidas às variações ambientais e às interações entre os organismos da comunidade aquática, de forma que os dados obtidos representam um quadro </w:t>
      </w:r>
      <w:r w:rsidR="00D51A0E">
        <w:rPr>
          <w:spacing w:val="-1"/>
        </w:rPr>
        <w:t>a</w:t>
      </w:r>
      <w:r>
        <w:rPr>
          <w:spacing w:val="-1"/>
        </w:rPr>
        <w:t xml:space="preserve">o momento da amostragem, </w:t>
      </w:r>
      <w:r w:rsidR="00D51A0E">
        <w:rPr>
          <w:spacing w:val="-1"/>
        </w:rPr>
        <w:t>sujeito</w:t>
      </w:r>
      <w:r>
        <w:rPr>
          <w:spacing w:val="-1"/>
        </w:rPr>
        <w:t xml:space="preserve"> a variação ao longo do tempo.</w:t>
      </w:r>
    </w:p>
    <w:p w:rsidR="00C37999" w:rsidRPr="00D51A0E" w:rsidRDefault="00D51A0E" w:rsidP="00424B6B">
      <w:pPr>
        <w:pStyle w:val="Ttulo5"/>
        <w:numPr>
          <w:ilvl w:val="0"/>
          <w:numId w:val="17"/>
        </w:numPr>
      </w:pPr>
      <w:r w:rsidRPr="00D51A0E">
        <w:t xml:space="preserve">Reservatório </w:t>
      </w:r>
      <w:r w:rsidR="00C37999" w:rsidRPr="00D51A0E">
        <w:t>Atibainha</w:t>
      </w:r>
    </w:p>
    <w:p w:rsidR="00C37999" w:rsidRDefault="00C37999" w:rsidP="00FA3F8A">
      <w:pPr>
        <w:rPr>
          <w:lang w:eastAsia="pt-BR"/>
        </w:rPr>
      </w:pPr>
      <w:r w:rsidRPr="00E02818">
        <w:rPr>
          <w:spacing w:val="-1"/>
        </w:rPr>
        <w:t xml:space="preserve">Os dados de fitoplâncton do </w:t>
      </w:r>
      <w:r w:rsidR="00FA3F8A">
        <w:rPr>
          <w:spacing w:val="-1"/>
        </w:rPr>
        <w:t>r</w:t>
      </w:r>
      <w:r w:rsidRPr="00E02818">
        <w:rPr>
          <w:spacing w:val="-1"/>
        </w:rPr>
        <w:t xml:space="preserve">eservatório Atibainha foram obtidos em 3 pontos situados </w:t>
      </w:r>
      <w:r w:rsidRPr="00E02818">
        <w:rPr>
          <w:lang w:eastAsia="pt-BR"/>
        </w:rPr>
        <w:t xml:space="preserve">na saída </w:t>
      </w:r>
      <w:r w:rsidR="00D51A0E">
        <w:rPr>
          <w:lang w:eastAsia="pt-BR"/>
        </w:rPr>
        <w:t>d</w:t>
      </w:r>
      <w:r w:rsidRPr="00E02818">
        <w:rPr>
          <w:lang w:eastAsia="pt-BR"/>
        </w:rPr>
        <w:t>o Túnel 6 (AT</w:t>
      </w:r>
      <w:r w:rsidR="00FA3F8A">
        <w:rPr>
          <w:lang w:eastAsia="pt-BR"/>
        </w:rPr>
        <w:t>-</w:t>
      </w:r>
      <w:r w:rsidRPr="00E02818">
        <w:rPr>
          <w:lang w:eastAsia="pt-BR"/>
        </w:rPr>
        <w:t>301</w:t>
      </w:r>
      <w:r w:rsidR="00FA3F8A">
        <w:rPr>
          <w:lang w:eastAsia="pt-BR"/>
        </w:rPr>
        <w:t xml:space="preserve">, </w:t>
      </w:r>
      <w:r>
        <w:rPr>
          <w:lang w:eastAsia="pt-BR"/>
        </w:rPr>
        <w:t>RAIN 00200</w:t>
      </w:r>
      <w:r w:rsidR="00FA3F8A">
        <w:rPr>
          <w:lang w:eastAsia="pt-BR"/>
        </w:rPr>
        <w:t>), no meio do reservatório (AT-</w:t>
      </w:r>
      <w:r w:rsidRPr="00E02818">
        <w:rPr>
          <w:lang w:eastAsia="pt-BR"/>
        </w:rPr>
        <w:t>102</w:t>
      </w:r>
      <w:r>
        <w:rPr>
          <w:lang w:eastAsia="pt-BR"/>
        </w:rPr>
        <w:t>A</w:t>
      </w:r>
      <w:r w:rsidR="00FA3F8A">
        <w:rPr>
          <w:lang w:eastAsia="pt-BR"/>
        </w:rPr>
        <w:t xml:space="preserve">, </w:t>
      </w:r>
      <w:r>
        <w:rPr>
          <w:lang w:eastAsia="pt-BR"/>
        </w:rPr>
        <w:t>RAIN 00500)</w:t>
      </w:r>
      <w:r w:rsidRPr="00E02818">
        <w:rPr>
          <w:lang w:eastAsia="pt-BR"/>
        </w:rPr>
        <w:t xml:space="preserve"> e</w:t>
      </w:r>
      <w:r>
        <w:rPr>
          <w:lang w:eastAsia="pt-BR"/>
        </w:rPr>
        <w:t xml:space="preserve"> </w:t>
      </w:r>
      <w:r w:rsidRPr="00E02818">
        <w:rPr>
          <w:spacing w:val="-1"/>
        </w:rPr>
        <w:t>na entrada do Túnel 5 (</w:t>
      </w:r>
      <w:r w:rsidRPr="00E02818">
        <w:rPr>
          <w:lang w:eastAsia="pt-BR"/>
        </w:rPr>
        <w:t>AT</w:t>
      </w:r>
      <w:r w:rsidR="00FA3F8A">
        <w:rPr>
          <w:lang w:eastAsia="pt-BR"/>
        </w:rPr>
        <w:t>-</w:t>
      </w:r>
      <w:r w:rsidRPr="00E02818">
        <w:rPr>
          <w:lang w:eastAsia="pt-BR"/>
        </w:rPr>
        <w:t>103</w:t>
      </w:r>
      <w:r w:rsidR="00FA3F8A">
        <w:rPr>
          <w:lang w:eastAsia="pt-BR"/>
        </w:rPr>
        <w:t xml:space="preserve">, </w:t>
      </w:r>
      <w:r>
        <w:rPr>
          <w:lang w:eastAsia="pt-BR"/>
        </w:rPr>
        <w:t>RAIN 00900</w:t>
      </w:r>
      <w:r w:rsidRPr="00E02818">
        <w:rPr>
          <w:lang w:eastAsia="pt-BR"/>
        </w:rPr>
        <w:t>)</w:t>
      </w:r>
      <w:r>
        <w:rPr>
          <w:lang w:eastAsia="pt-BR"/>
        </w:rPr>
        <w:t xml:space="preserve">, considerando portanto o percurso das águas transpostas do </w:t>
      </w:r>
      <w:r w:rsidR="00424B6B">
        <w:rPr>
          <w:lang w:eastAsia="pt-BR"/>
        </w:rPr>
        <w:t>r</w:t>
      </w:r>
      <w:r>
        <w:rPr>
          <w:lang w:eastAsia="pt-BR"/>
        </w:rPr>
        <w:t xml:space="preserve">eservatório Cachoeira, passando pelo reservatório Atibainha e saindo em direção ao </w:t>
      </w:r>
      <w:r w:rsidR="00FA3F8A">
        <w:rPr>
          <w:lang w:eastAsia="pt-BR"/>
        </w:rPr>
        <w:t>r</w:t>
      </w:r>
      <w:r>
        <w:rPr>
          <w:lang w:eastAsia="pt-BR"/>
        </w:rPr>
        <w:t xml:space="preserve">eservatório </w:t>
      </w:r>
      <w:r w:rsidR="00FA3F8A">
        <w:rPr>
          <w:lang w:eastAsia="pt-BR"/>
        </w:rPr>
        <w:t>Paiva Castro</w:t>
      </w:r>
      <w:r>
        <w:rPr>
          <w:lang w:eastAsia="pt-BR"/>
        </w:rPr>
        <w:t xml:space="preserve">. A localização dos pontos é mostrada na imagem abaixo e os resultados nas </w:t>
      </w:r>
      <w:r w:rsidR="00FA3F8A" w:rsidRPr="00FA3F8A">
        <w:rPr>
          <w:b/>
          <w:lang w:eastAsia="pt-BR"/>
        </w:rPr>
        <w:t xml:space="preserve">Figuras </w:t>
      </w:r>
      <w:r w:rsidR="00633149">
        <w:rPr>
          <w:b/>
          <w:lang w:eastAsia="pt-BR"/>
        </w:rPr>
        <w:t>6.4.</w:t>
      </w:r>
      <w:r w:rsidR="00424B6B">
        <w:rPr>
          <w:b/>
          <w:lang w:eastAsia="pt-BR"/>
        </w:rPr>
        <w:t>5-</w:t>
      </w:r>
      <w:r w:rsidR="00633149">
        <w:rPr>
          <w:b/>
          <w:lang w:eastAsia="pt-BR"/>
        </w:rPr>
        <w:t>8</w:t>
      </w:r>
      <w:r w:rsidRPr="00FA3F8A">
        <w:rPr>
          <w:b/>
          <w:lang w:eastAsia="pt-BR"/>
        </w:rPr>
        <w:t xml:space="preserve"> e </w:t>
      </w:r>
      <w:r w:rsidR="00633149">
        <w:rPr>
          <w:b/>
          <w:lang w:eastAsia="pt-BR"/>
        </w:rPr>
        <w:t>6.4.</w:t>
      </w:r>
      <w:r w:rsidR="00424B6B">
        <w:rPr>
          <w:b/>
          <w:lang w:eastAsia="pt-BR"/>
        </w:rPr>
        <w:t>5-</w:t>
      </w:r>
      <w:r w:rsidR="00633149">
        <w:rPr>
          <w:b/>
          <w:lang w:eastAsia="pt-BR"/>
        </w:rPr>
        <w:t>9</w:t>
      </w:r>
      <w:r>
        <w:rPr>
          <w:lang w:eastAsia="pt-BR"/>
        </w:rPr>
        <w:t>.</w:t>
      </w:r>
    </w:p>
    <w:p w:rsidR="00C37999" w:rsidRDefault="00C37999" w:rsidP="00D0199E">
      <w:pPr>
        <w:spacing w:line="360" w:lineRule="auto"/>
        <w:jc w:val="center"/>
        <w:rPr>
          <w:rFonts w:ascii="Calibri" w:eastAsia="Times New Roman" w:hAnsi="Calibri" w:cs="Times New Roman"/>
          <w:color w:val="080000"/>
          <w:lang w:eastAsia="pt-BR"/>
        </w:rPr>
      </w:pPr>
      <w:r>
        <w:rPr>
          <w:noProof/>
          <w:lang w:eastAsia="pt-BR"/>
        </w:rPr>
        <w:drawing>
          <wp:inline distT="0" distB="0" distL="0" distR="0" wp14:anchorId="221B6729" wp14:editId="10516577">
            <wp:extent cx="4971787" cy="2571750"/>
            <wp:effectExtent l="0" t="0" r="0" b="0"/>
            <wp:docPr id="6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pic:cNvPicPr>
                      <a:picLocks noChangeAspect="1"/>
                    </pic:cNvPicPr>
                  </pic:nvPicPr>
                  <pic:blipFill rotWithShape="1">
                    <a:blip r:embed="rId150" cstate="print"/>
                    <a:srcRect b="13220"/>
                    <a:stretch/>
                  </pic:blipFill>
                  <pic:spPr bwMode="auto">
                    <a:xfrm>
                      <a:off x="0" y="0"/>
                      <a:ext cx="4979717" cy="2575852"/>
                    </a:xfrm>
                    <a:prstGeom prst="rect">
                      <a:avLst/>
                    </a:prstGeom>
                    <a:ln>
                      <a:noFill/>
                    </a:ln>
                    <a:extLst>
                      <a:ext uri="{53640926-AAD7-44D8-BBD7-CCE9431645EC}">
                        <a14:shadowObscured xmlns:a14="http://schemas.microsoft.com/office/drawing/2010/main"/>
                      </a:ext>
                    </a:extLst>
                  </pic:spPr>
                </pic:pic>
              </a:graphicData>
            </a:graphic>
          </wp:inline>
        </w:drawing>
      </w:r>
    </w:p>
    <w:p w:rsidR="00FA3F8A" w:rsidRPr="00E02818" w:rsidRDefault="00633149" w:rsidP="00FA3F8A">
      <w:pPr>
        <w:pStyle w:val="Quadro"/>
      </w:pPr>
      <w:r>
        <w:lastRenderedPageBreak/>
        <w:t>Figura 6.4.</w:t>
      </w:r>
      <w:r w:rsidR="00424B6B">
        <w:t>5-</w:t>
      </w:r>
      <w:r>
        <w:t>8</w:t>
      </w:r>
      <w:r w:rsidR="00424B6B">
        <w:t>.</w:t>
      </w:r>
      <w:r w:rsidR="00FA3F8A">
        <w:t xml:space="preserve"> Análise qualitativa da comunidade fitoplanctônica da </w:t>
      </w:r>
      <w:r w:rsidR="00424B6B">
        <w:t>r</w:t>
      </w:r>
      <w:r w:rsidR="00FA3F8A">
        <w:t>epresa de Atibainha</w:t>
      </w:r>
    </w:p>
    <w:p w:rsidR="00C37999" w:rsidRDefault="00C37999" w:rsidP="00FA3F8A">
      <w:pPr>
        <w:spacing w:line="360" w:lineRule="auto"/>
        <w:jc w:val="center"/>
        <w:rPr>
          <w:rFonts w:ascii="Calibri" w:eastAsia="Times New Roman" w:hAnsi="Calibri" w:cs="Times New Roman"/>
          <w:color w:val="080000"/>
          <w:lang w:eastAsia="pt-BR"/>
        </w:rPr>
      </w:pPr>
      <w:r>
        <w:rPr>
          <w:noProof/>
          <w:lang w:eastAsia="pt-BR"/>
        </w:rPr>
        <w:drawing>
          <wp:inline distT="0" distB="0" distL="0" distR="0" wp14:anchorId="1DAE4A58" wp14:editId="4266C9B7">
            <wp:extent cx="4495800" cy="2495550"/>
            <wp:effectExtent l="0" t="0" r="0" b="0"/>
            <wp:docPr id="99" name="Gráfico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r>
        <w:rPr>
          <w:noProof/>
          <w:lang w:eastAsia="pt-BR"/>
        </w:rPr>
        <w:drawing>
          <wp:inline distT="0" distB="0" distL="0" distR="0" wp14:anchorId="7C5550B6" wp14:editId="70065126">
            <wp:extent cx="4514850" cy="2543175"/>
            <wp:effectExtent l="0" t="0" r="0" b="9525"/>
            <wp:docPr id="100" name="Gráfico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r>
        <w:rPr>
          <w:noProof/>
          <w:lang w:eastAsia="pt-BR"/>
        </w:rPr>
        <w:drawing>
          <wp:inline distT="0" distB="0" distL="0" distR="0" wp14:anchorId="3D640289" wp14:editId="40C2129E">
            <wp:extent cx="4524375" cy="2428875"/>
            <wp:effectExtent l="0" t="0" r="9525" b="9525"/>
            <wp:docPr id="101" name="Gráfico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rsidR="00FA3F8A" w:rsidRDefault="00633149" w:rsidP="00FA3F8A">
      <w:pPr>
        <w:pStyle w:val="Quadro"/>
      </w:pPr>
      <w:r>
        <w:lastRenderedPageBreak/>
        <w:t>Figura 6.4.</w:t>
      </w:r>
      <w:r w:rsidR="00424B6B">
        <w:t>5-</w:t>
      </w:r>
      <w:r>
        <w:t>9</w:t>
      </w:r>
      <w:r w:rsidR="00424B6B">
        <w:t>.</w:t>
      </w:r>
      <w:r w:rsidR="00FA3F8A">
        <w:t xml:space="preserve"> Análise quantitativa da comunidade fitoplanctônica da </w:t>
      </w:r>
      <w:r w:rsidR="00424B6B">
        <w:t>r</w:t>
      </w:r>
      <w:r w:rsidR="00FA3F8A">
        <w:t>epresa de Atibainha</w:t>
      </w:r>
    </w:p>
    <w:p w:rsidR="00C37999" w:rsidRDefault="00C37999" w:rsidP="00FA3F8A">
      <w:pPr>
        <w:spacing w:line="360" w:lineRule="auto"/>
        <w:jc w:val="center"/>
      </w:pPr>
      <w:r>
        <w:rPr>
          <w:noProof/>
          <w:lang w:eastAsia="pt-BR"/>
        </w:rPr>
        <w:drawing>
          <wp:inline distT="0" distB="0" distL="0" distR="0" wp14:anchorId="705110DC" wp14:editId="7100C37A">
            <wp:extent cx="4572000" cy="2600325"/>
            <wp:effectExtent l="0" t="0" r="0" b="9525"/>
            <wp:docPr id="102" name="Gráfico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r>
        <w:rPr>
          <w:noProof/>
          <w:lang w:eastAsia="pt-BR"/>
        </w:rPr>
        <w:drawing>
          <wp:inline distT="0" distB="0" distL="0" distR="0" wp14:anchorId="45580D64" wp14:editId="5E0688B9">
            <wp:extent cx="4581525" cy="2581275"/>
            <wp:effectExtent l="0" t="0" r="9525" b="9525"/>
            <wp:docPr id="103" name="Gráfico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r>
        <w:rPr>
          <w:noProof/>
          <w:lang w:eastAsia="pt-BR"/>
        </w:rPr>
        <w:drawing>
          <wp:inline distT="0" distB="0" distL="0" distR="0" wp14:anchorId="3BB8016A" wp14:editId="1D1B220A">
            <wp:extent cx="4581525" cy="2552700"/>
            <wp:effectExtent l="0" t="0" r="9525" b="0"/>
            <wp:docPr id="104" name="Gráfico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rsidR="00C37999" w:rsidRDefault="00C37999" w:rsidP="00FA3F8A">
      <w:r>
        <w:t>Em termos de composição foram re</w:t>
      </w:r>
      <w:r w:rsidR="00FA3F8A">
        <w:t>gistrados 20 táxons no ponto AT-103, 23 no AT-102</w:t>
      </w:r>
      <w:r>
        <w:t>A e</w:t>
      </w:r>
      <w:r w:rsidR="00FA3F8A">
        <w:t xml:space="preserve"> 16 no ponto AT-</w:t>
      </w:r>
      <w:r>
        <w:t xml:space="preserve">301, sendo as algas verdes (Chlorophyceae) as com maior riqueza de espécies nos 3 pontos. Em termos de abundância a densidade de organismos foi baixa, sem dominância </w:t>
      </w:r>
      <w:r>
        <w:lastRenderedPageBreak/>
        <w:t xml:space="preserve">expressiva de um grupo. Tais condições caracterizam uma situação ótima em termos de comunidade fitoplactônica, embora a condição trófica por ocasião das amostragens indicasse mesotrofia em 2 pontos e eutrofia na entrada do Túnel 5, conforme mostra a </w:t>
      </w:r>
      <w:r w:rsidRPr="00FA3F8A">
        <w:rPr>
          <w:b/>
        </w:rPr>
        <w:t xml:space="preserve">Tabela </w:t>
      </w:r>
      <w:r w:rsidR="00633149">
        <w:rPr>
          <w:b/>
        </w:rPr>
        <w:t>6.4.</w:t>
      </w:r>
      <w:r w:rsidR="00424B6B">
        <w:rPr>
          <w:b/>
        </w:rPr>
        <w:t>5-</w:t>
      </w:r>
      <w:r w:rsidR="00633149">
        <w:rPr>
          <w:b/>
        </w:rPr>
        <w:t>9</w:t>
      </w:r>
      <w:r>
        <w:t xml:space="preserve"> abaixo, com o índice de estado trófico (IET) calculado segundo a CETESB com os dados de clorofila a e Fósforo Total. </w:t>
      </w:r>
      <w:r w:rsidR="00FA3F8A">
        <w:t>É possível</w:t>
      </w:r>
      <w:r>
        <w:t xml:space="preserve">, no entanto, que </w:t>
      </w:r>
      <w:r w:rsidR="00FA3F8A">
        <w:t>as baixas densidades populacionais verificadas decorram d</w:t>
      </w:r>
      <w:r>
        <w:t xml:space="preserve">o uso de algicidas </w:t>
      </w:r>
      <w:r w:rsidR="00FA3F8A">
        <w:t>(</w:t>
      </w:r>
      <w:r w:rsidR="00FA3F8A" w:rsidRPr="00D0199E">
        <w:rPr>
          <w:b/>
        </w:rPr>
        <w:t>a confirmar</w:t>
      </w:r>
      <w:r w:rsidR="00FA3F8A">
        <w:t>)</w:t>
      </w:r>
      <w:r>
        <w:t xml:space="preserve">. </w:t>
      </w:r>
      <w:r w:rsidR="00FA3F8A">
        <w:t xml:space="preserve">As baixas densidades também podem estar relacionadas com </w:t>
      </w:r>
      <w:r w:rsidR="00421F98">
        <w:t xml:space="preserve">a redução </w:t>
      </w:r>
      <w:r>
        <w:t>significativa de nível d’água provocada pela estiagem atípica em 2013-2014.</w:t>
      </w:r>
    </w:p>
    <w:p w:rsidR="00C37999" w:rsidRDefault="00633149" w:rsidP="00FA3F8A">
      <w:pPr>
        <w:pStyle w:val="Quadro"/>
      </w:pPr>
      <w:r>
        <w:t>Tabela 6.4.</w:t>
      </w:r>
      <w:r w:rsidR="00424B6B">
        <w:t>5-</w:t>
      </w:r>
      <w:r>
        <w:t>9</w:t>
      </w:r>
      <w:r w:rsidR="00FA3F8A">
        <w:t xml:space="preserve"> -</w:t>
      </w:r>
      <w:r w:rsidR="00C37999">
        <w:t xml:space="preserve"> IET no Reservatório de Atibainha por ocasião da coleta</w:t>
      </w:r>
    </w:p>
    <w:tbl>
      <w:tblPr>
        <w:tblW w:w="5462" w:type="dxa"/>
        <w:jc w:val="center"/>
        <w:tblCellMar>
          <w:left w:w="70" w:type="dxa"/>
          <w:right w:w="70" w:type="dxa"/>
        </w:tblCellMar>
        <w:tblLook w:val="04A0" w:firstRow="1" w:lastRow="0" w:firstColumn="1" w:lastColumn="0" w:noHBand="0" w:noVBand="1"/>
      </w:tblPr>
      <w:tblGrid>
        <w:gridCol w:w="2060"/>
        <w:gridCol w:w="1701"/>
        <w:gridCol w:w="1701"/>
      </w:tblGrid>
      <w:tr w:rsidR="00C37999" w:rsidRPr="00FA3F8A" w:rsidTr="00872E90">
        <w:trPr>
          <w:trHeight w:val="300"/>
          <w:jc w:val="center"/>
        </w:trPr>
        <w:tc>
          <w:tcPr>
            <w:tcW w:w="2060" w:type="dxa"/>
            <w:tcBorders>
              <w:top w:val="single" w:sz="4" w:space="0" w:color="auto"/>
              <w:left w:val="single" w:sz="4" w:space="0" w:color="auto"/>
              <w:bottom w:val="single" w:sz="4" w:space="0" w:color="auto"/>
              <w:right w:val="single" w:sz="4" w:space="0" w:color="auto"/>
            </w:tcBorders>
            <w:vAlign w:val="center"/>
          </w:tcPr>
          <w:p w:rsidR="00C37999" w:rsidRPr="00FA3F8A" w:rsidRDefault="00872E90" w:rsidP="00872E90">
            <w:pPr>
              <w:spacing w:after="0"/>
              <w:jc w:val="center"/>
              <w:rPr>
                <w:rFonts w:eastAsia="Times New Roman" w:cs="Arial"/>
                <w:color w:val="080000"/>
                <w:sz w:val="16"/>
                <w:szCs w:val="16"/>
                <w:lang w:eastAsia="pt-BR"/>
              </w:rPr>
            </w:pPr>
            <w:r>
              <w:rPr>
                <w:rFonts w:eastAsia="Times New Roman" w:cs="Arial"/>
                <w:color w:val="080000"/>
                <w:sz w:val="16"/>
                <w:szCs w:val="16"/>
                <w:lang w:eastAsia="pt-BR"/>
              </w:rPr>
              <w:t>AT-</w:t>
            </w:r>
            <w:r w:rsidR="00C37999" w:rsidRPr="00FA3F8A">
              <w:rPr>
                <w:rFonts w:eastAsia="Times New Roman" w:cs="Arial"/>
                <w:color w:val="080000"/>
                <w:sz w:val="16"/>
                <w:szCs w:val="16"/>
                <w:lang w:eastAsia="pt-BR"/>
              </w:rPr>
              <w:t>301 Desemboque do Túnel 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37999" w:rsidRPr="00FA3F8A" w:rsidRDefault="00C37999" w:rsidP="0004496F">
            <w:pPr>
              <w:spacing w:after="0"/>
              <w:jc w:val="center"/>
              <w:rPr>
                <w:rFonts w:eastAsia="Times New Roman" w:cs="Arial"/>
                <w:color w:val="080000"/>
                <w:sz w:val="16"/>
                <w:szCs w:val="16"/>
                <w:lang w:eastAsia="pt-BR"/>
              </w:rPr>
            </w:pPr>
            <w:r w:rsidRPr="00FA3F8A">
              <w:rPr>
                <w:rFonts w:eastAsia="Times New Roman" w:cs="Arial"/>
                <w:color w:val="080000"/>
                <w:sz w:val="16"/>
                <w:szCs w:val="16"/>
                <w:lang w:eastAsia="pt-BR"/>
              </w:rPr>
              <w:t>A</w:t>
            </w:r>
            <w:r w:rsidR="00872E90">
              <w:rPr>
                <w:rFonts w:eastAsia="Times New Roman" w:cs="Arial"/>
                <w:color w:val="080000"/>
                <w:sz w:val="16"/>
                <w:szCs w:val="16"/>
                <w:lang w:eastAsia="pt-BR"/>
              </w:rPr>
              <w:t>T-</w:t>
            </w:r>
            <w:r w:rsidRPr="00FA3F8A">
              <w:rPr>
                <w:rFonts w:eastAsia="Times New Roman" w:cs="Arial"/>
                <w:color w:val="080000"/>
                <w:sz w:val="16"/>
                <w:szCs w:val="16"/>
                <w:lang w:eastAsia="pt-BR"/>
              </w:rPr>
              <w:t>103 - Meio do Corpo da Represa</w:t>
            </w:r>
          </w:p>
        </w:tc>
        <w:tc>
          <w:tcPr>
            <w:tcW w:w="1701" w:type="dxa"/>
            <w:tcBorders>
              <w:top w:val="single" w:sz="4" w:space="0" w:color="auto"/>
              <w:left w:val="nil"/>
              <w:bottom w:val="single" w:sz="4" w:space="0" w:color="auto"/>
              <w:right w:val="single" w:sz="4" w:space="0" w:color="auto"/>
            </w:tcBorders>
            <w:vAlign w:val="center"/>
          </w:tcPr>
          <w:p w:rsidR="00C37999" w:rsidRPr="00FA3F8A" w:rsidRDefault="00D0199E" w:rsidP="00D0199E">
            <w:pPr>
              <w:spacing w:after="0"/>
              <w:jc w:val="center"/>
              <w:rPr>
                <w:rFonts w:eastAsia="Times New Roman" w:cs="Arial"/>
                <w:color w:val="080000"/>
                <w:sz w:val="16"/>
                <w:szCs w:val="16"/>
                <w:lang w:eastAsia="pt-BR"/>
              </w:rPr>
            </w:pPr>
            <w:r>
              <w:rPr>
                <w:rFonts w:eastAsia="Times New Roman" w:cs="Arial"/>
                <w:color w:val="080000"/>
                <w:sz w:val="16"/>
                <w:szCs w:val="16"/>
                <w:lang w:eastAsia="pt-BR"/>
              </w:rPr>
              <w:t>AT-</w:t>
            </w:r>
            <w:r w:rsidR="00C37999" w:rsidRPr="00FA3F8A">
              <w:rPr>
                <w:rFonts w:eastAsia="Times New Roman" w:cs="Arial"/>
                <w:color w:val="080000"/>
                <w:sz w:val="16"/>
                <w:szCs w:val="16"/>
                <w:lang w:eastAsia="pt-BR"/>
              </w:rPr>
              <w:t>102A Entrada do Túnel 5</w:t>
            </w:r>
          </w:p>
        </w:tc>
      </w:tr>
      <w:tr w:rsidR="00C37999" w:rsidRPr="00FA3F8A" w:rsidTr="00872E90">
        <w:trPr>
          <w:trHeight w:val="300"/>
          <w:jc w:val="center"/>
        </w:trPr>
        <w:tc>
          <w:tcPr>
            <w:tcW w:w="2060" w:type="dxa"/>
            <w:tcBorders>
              <w:top w:val="single" w:sz="4" w:space="0" w:color="auto"/>
              <w:left w:val="single" w:sz="4" w:space="0" w:color="auto"/>
              <w:bottom w:val="single" w:sz="4" w:space="0" w:color="auto"/>
              <w:right w:val="single" w:sz="4" w:space="0" w:color="auto"/>
            </w:tcBorders>
            <w:shd w:val="clear" w:color="000000" w:fill="FF9900"/>
            <w:vAlign w:val="center"/>
          </w:tcPr>
          <w:p w:rsidR="00C37999" w:rsidRPr="00FA3F8A" w:rsidRDefault="00C37999" w:rsidP="0004496F">
            <w:pPr>
              <w:spacing w:after="0"/>
              <w:jc w:val="center"/>
              <w:rPr>
                <w:rFonts w:eastAsia="Times New Roman" w:cs="Arial"/>
                <w:color w:val="000000"/>
                <w:sz w:val="16"/>
                <w:szCs w:val="16"/>
                <w:lang w:eastAsia="pt-BR"/>
              </w:rPr>
            </w:pPr>
            <w:r w:rsidRPr="00FA3F8A">
              <w:rPr>
                <w:rFonts w:eastAsia="Times New Roman" w:cs="Arial"/>
                <w:color w:val="000000"/>
                <w:sz w:val="16"/>
                <w:szCs w:val="16"/>
                <w:lang w:eastAsia="pt-BR"/>
              </w:rPr>
              <w:t>58</w:t>
            </w:r>
          </w:p>
        </w:tc>
        <w:tc>
          <w:tcPr>
            <w:tcW w:w="1701" w:type="dxa"/>
            <w:tcBorders>
              <w:top w:val="single" w:sz="4" w:space="0" w:color="auto"/>
              <w:left w:val="nil"/>
              <w:bottom w:val="single" w:sz="4" w:space="0" w:color="auto"/>
              <w:right w:val="single" w:sz="4" w:space="0" w:color="auto"/>
            </w:tcBorders>
            <w:shd w:val="clear" w:color="000000" w:fill="EEEE12"/>
            <w:noWrap/>
            <w:vAlign w:val="center"/>
            <w:hideMark/>
          </w:tcPr>
          <w:p w:rsidR="00C37999" w:rsidRPr="00FA3F8A" w:rsidRDefault="00C37999" w:rsidP="0004496F">
            <w:pPr>
              <w:spacing w:after="0"/>
              <w:jc w:val="center"/>
              <w:rPr>
                <w:rFonts w:eastAsia="Times New Roman" w:cs="Arial"/>
                <w:color w:val="000000"/>
                <w:sz w:val="16"/>
                <w:szCs w:val="16"/>
                <w:lang w:eastAsia="pt-BR"/>
              </w:rPr>
            </w:pPr>
            <w:r w:rsidRPr="00FA3F8A">
              <w:rPr>
                <w:rFonts w:eastAsia="Times New Roman" w:cs="Arial"/>
                <w:color w:val="000000"/>
                <w:sz w:val="16"/>
                <w:szCs w:val="16"/>
                <w:lang w:eastAsia="pt-BR"/>
              </w:rPr>
              <w:t>58</w:t>
            </w:r>
          </w:p>
        </w:tc>
        <w:tc>
          <w:tcPr>
            <w:tcW w:w="1701" w:type="dxa"/>
            <w:tcBorders>
              <w:top w:val="single" w:sz="4" w:space="0" w:color="auto"/>
              <w:left w:val="nil"/>
              <w:bottom w:val="single" w:sz="4" w:space="0" w:color="auto"/>
              <w:right w:val="single" w:sz="4" w:space="0" w:color="auto"/>
            </w:tcBorders>
            <w:shd w:val="clear" w:color="000000" w:fill="EEEE12"/>
            <w:vAlign w:val="center"/>
          </w:tcPr>
          <w:p w:rsidR="00C37999" w:rsidRPr="00FA3F8A" w:rsidRDefault="00C37999" w:rsidP="0004496F">
            <w:pPr>
              <w:spacing w:after="0"/>
              <w:jc w:val="center"/>
              <w:rPr>
                <w:rFonts w:eastAsia="Times New Roman" w:cs="Arial"/>
                <w:color w:val="000000"/>
                <w:sz w:val="16"/>
                <w:szCs w:val="16"/>
                <w:lang w:eastAsia="pt-BR"/>
              </w:rPr>
            </w:pPr>
            <w:r w:rsidRPr="00FA3F8A">
              <w:rPr>
                <w:rFonts w:eastAsia="Times New Roman" w:cs="Arial"/>
                <w:color w:val="000000"/>
                <w:sz w:val="16"/>
                <w:szCs w:val="16"/>
                <w:lang w:eastAsia="pt-BR"/>
              </w:rPr>
              <w:t>62</w:t>
            </w:r>
          </w:p>
        </w:tc>
      </w:tr>
    </w:tbl>
    <w:p w:rsidR="00C37999" w:rsidRDefault="00C37999" w:rsidP="00421F98">
      <w:pPr>
        <w:spacing w:before="120"/>
      </w:pPr>
      <w:r>
        <w:t>CARVALHO (2003) em coletas trimestrais ao longo de um ano nesse reservatório encontrou densidades de fitoplâncton bem mais elevadas que as registradas no presente estudo (entre 1.120 e 8.608 org/m</w:t>
      </w:r>
      <w:r w:rsidR="00424B6B">
        <w:t>l</w:t>
      </w:r>
      <w:r>
        <w:t>).</w:t>
      </w:r>
    </w:p>
    <w:p w:rsidR="00C37999" w:rsidRDefault="00C37999" w:rsidP="00421F98">
      <w:r>
        <w:t>A densidade de cianobactérias foi contad</w:t>
      </w:r>
      <w:r w:rsidR="00424B6B">
        <w:t>a também em termos de células/ml</w:t>
      </w:r>
      <w:r>
        <w:t xml:space="preserve"> com o intuito de avaliar a condição do corpo d’água em relação às normas vigentes, fruto da preocupação representada por organismos desse grupo, uma vez que algumas espécies liberam substâncias tóxicas ao ser humano </w:t>
      </w:r>
      <w:r w:rsidR="00421F98">
        <w:t>qu</w:t>
      </w:r>
      <w:r>
        <w:t>e não são retiradas pelos processos usuais de tratamento de água para abastecimento. A resolução CONAMA 357 estabelece valor máximo de</w:t>
      </w:r>
      <w:r w:rsidR="00421F98">
        <w:t xml:space="preserve"> </w:t>
      </w:r>
      <w:r w:rsidR="00424B6B">
        <w:t>20.000 cel/ml</w:t>
      </w:r>
      <w:r>
        <w:t xml:space="preserve"> para a Classe 1.</w:t>
      </w:r>
    </w:p>
    <w:p w:rsidR="00C37999" w:rsidRDefault="00421F98" w:rsidP="00421F98">
      <w:r>
        <w:t>A amostra do ponto AT-</w:t>
      </w:r>
      <w:r w:rsidR="00C37999">
        <w:t>301 não apresentou cianobactérias e nas amostras</w:t>
      </w:r>
      <w:r>
        <w:t xml:space="preserve"> do ponto AT-102A e AT-</w:t>
      </w:r>
      <w:r w:rsidR="00C37999">
        <w:t>103 os valores encontrados foram, resp</w:t>
      </w:r>
      <w:r w:rsidR="00424B6B">
        <w:t>ectivamente, de 840 e 733 cel/ml</w:t>
      </w:r>
      <w:r w:rsidR="00C37999">
        <w:t>.</w:t>
      </w:r>
    </w:p>
    <w:p w:rsidR="00C37999" w:rsidRDefault="00421F98" w:rsidP="00421F98">
      <w:r>
        <w:t>A comunidade zooplanctônica do r</w:t>
      </w:r>
      <w:r w:rsidR="00C37999">
        <w:t xml:space="preserve">eservatório Atibainha foi analisada nos mesmos pontos citados para o fitoplâncton e os resultados são resumidos nas </w:t>
      </w:r>
      <w:r w:rsidRPr="00421F98">
        <w:rPr>
          <w:b/>
        </w:rPr>
        <w:t xml:space="preserve">Figuras </w:t>
      </w:r>
      <w:r w:rsidR="00633149">
        <w:rPr>
          <w:b/>
        </w:rPr>
        <w:t>6.4.</w:t>
      </w:r>
      <w:r w:rsidR="00424B6B">
        <w:rPr>
          <w:b/>
        </w:rPr>
        <w:t>5-1</w:t>
      </w:r>
      <w:r w:rsidR="00633149">
        <w:rPr>
          <w:b/>
        </w:rPr>
        <w:t>0</w:t>
      </w:r>
      <w:r w:rsidR="00C37999" w:rsidRPr="00421F98">
        <w:rPr>
          <w:b/>
        </w:rPr>
        <w:t xml:space="preserve"> e </w:t>
      </w:r>
      <w:r w:rsidR="00633149">
        <w:rPr>
          <w:b/>
        </w:rPr>
        <w:t>6.4.</w:t>
      </w:r>
      <w:r w:rsidR="00424B6B">
        <w:rPr>
          <w:b/>
        </w:rPr>
        <w:t>5-1</w:t>
      </w:r>
      <w:r w:rsidR="00633149">
        <w:rPr>
          <w:b/>
        </w:rPr>
        <w:t>1</w:t>
      </w:r>
      <w:r w:rsidR="00C37999">
        <w:t xml:space="preserve"> </w:t>
      </w:r>
      <w:r>
        <w:t>abaixo.</w:t>
      </w:r>
    </w:p>
    <w:p w:rsidR="00421F98" w:rsidRDefault="00633149" w:rsidP="00421F98">
      <w:pPr>
        <w:pStyle w:val="Quadro"/>
      </w:pPr>
      <w:r>
        <w:lastRenderedPageBreak/>
        <w:t>Figura 6.4.</w:t>
      </w:r>
      <w:r w:rsidR="00424B6B">
        <w:t>5-1</w:t>
      </w:r>
      <w:r>
        <w:t>0</w:t>
      </w:r>
      <w:r w:rsidR="00424B6B">
        <w:t>.</w:t>
      </w:r>
      <w:r w:rsidR="00421F98">
        <w:t xml:space="preserve"> Análise qualitativa da comunidade zooplanctônica da </w:t>
      </w:r>
      <w:r w:rsidR="00424B6B">
        <w:t>r</w:t>
      </w:r>
      <w:r w:rsidR="00421F98">
        <w:t>epresa de Atibainha</w:t>
      </w:r>
    </w:p>
    <w:p w:rsidR="00C37999" w:rsidRDefault="00C37999" w:rsidP="00421F98">
      <w:pPr>
        <w:spacing w:line="360" w:lineRule="auto"/>
        <w:jc w:val="center"/>
      </w:pPr>
      <w:r>
        <w:rPr>
          <w:noProof/>
          <w:lang w:eastAsia="pt-BR"/>
        </w:rPr>
        <w:drawing>
          <wp:inline distT="0" distB="0" distL="0" distR="0" wp14:anchorId="34F5AE01" wp14:editId="50212412">
            <wp:extent cx="3981450" cy="2162175"/>
            <wp:effectExtent l="0" t="0" r="0" b="9525"/>
            <wp:docPr id="105" name="Gráfico 10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r>
        <w:rPr>
          <w:noProof/>
          <w:lang w:eastAsia="pt-BR"/>
        </w:rPr>
        <w:drawing>
          <wp:inline distT="0" distB="0" distL="0" distR="0" wp14:anchorId="227199DD" wp14:editId="7B286628">
            <wp:extent cx="3981450" cy="2143125"/>
            <wp:effectExtent l="0" t="0" r="0" b="9525"/>
            <wp:docPr id="106" name="Gráfico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r>
        <w:rPr>
          <w:noProof/>
          <w:lang w:eastAsia="pt-BR"/>
        </w:rPr>
        <w:drawing>
          <wp:inline distT="0" distB="0" distL="0" distR="0" wp14:anchorId="57E4198C" wp14:editId="64B4E400">
            <wp:extent cx="4010025" cy="2009775"/>
            <wp:effectExtent l="0" t="0" r="9525" b="9525"/>
            <wp:docPr id="107" name="Gráfico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rsidR="00421F98" w:rsidRDefault="00421F98" w:rsidP="00421F98">
      <w:pPr>
        <w:spacing w:line="360" w:lineRule="auto"/>
        <w:jc w:val="center"/>
      </w:pPr>
    </w:p>
    <w:p w:rsidR="00C37999" w:rsidRDefault="00633149" w:rsidP="00421F98">
      <w:pPr>
        <w:pStyle w:val="Quadro"/>
      </w:pPr>
      <w:r>
        <w:lastRenderedPageBreak/>
        <w:t>Figura 6.4.</w:t>
      </w:r>
      <w:r w:rsidR="00424B6B">
        <w:t>5-</w:t>
      </w:r>
      <w:r>
        <w:t>1</w:t>
      </w:r>
      <w:r w:rsidR="00424B6B">
        <w:t>1.</w:t>
      </w:r>
      <w:r w:rsidR="00421F98">
        <w:t xml:space="preserve"> Análise quantitativa da comunidade zooplanctônica da </w:t>
      </w:r>
      <w:r w:rsidR="00424B6B">
        <w:t>r</w:t>
      </w:r>
      <w:r w:rsidR="00421F98">
        <w:t>epresa de Atibainha</w:t>
      </w:r>
    </w:p>
    <w:p w:rsidR="00C37999" w:rsidRDefault="00C37999" w:rsidP="00421F98">
      <w:pPr>
        <w:spacing w:line="360" w:lineRule="auto"/>
        <w:jc w:val="center"/>
      </w:pPr>
      <w:r>
        <w:rPr>
          <w:noProof/>
          <w:lang w:eastAsia="pt-BR"/>
        </w:rPr>
        <w:drawing>
          <wp:inline distT="0" distB="0" distL="0" distR="0" wp14:anchorId="0A9BD388" wp14:editId="170EC1BB">
            <wp:extent cx="4067175" cy="2352675"/>
            <wp:effectExtent l="0" t="0" r="9525" b="9525"/>
            <wp:docPr id="109" name="Gráfico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r>
        <w:rPr>
          <w:noProof/>
          <w:lang w:eastAsia="pt-BR"/>
        </w:rPr>
        <w:drawing>
          <wp:inline distT="0" distB="0" distL="0" distR="0" wp14:anchorId="2C2AD4B0" wp14:editId="022E2ECC">
            <wp:extent cx="4076700" cy="2124075"/>
            <wp:effectExtent l="19050" t="0" r="19050" b="0"/>
            <wp:docPr id="110" name="Gráfico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r>
        <w:rPr>
          <w:noProof/>
          <w:lang w:eastAsia="pt-BR"/>
        </w:rPr>
        <w:drawing>
          <wp:inline distT="0" distB="0" distL="0" distR="0" wp14:anchorId="40C5E6D5" wp14:editId="03353EFE">
            <wp:extent cx="4114800" cy="2114550"/>
            <wp:effectExtent l="0" t="0" r="0" b="0"/>
            <wp:docPr id="111" name="Gráfico 1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rsidR="00C37999" w:rsidRPr="00421F98" w:rsidRDefault="00C37999" w:rsidP="00421F98">
      <w:pPr>
        <w:rPr>
          <w:rFonts w:cs="Arial"/>
        </w:rPr>
      </w:pPr>
      <w:r w:rsidRPr="00421F98">
        <w:rPr>
          <w:rFonts w:cs="Arial"/>
        </w:rPr>
        <w:t>No</w:t>
      </w:r>
      <w:r w:rsidR="00421F98" w:rsidRPr="00421F98">
        <w:rPr>
          <w:rFonts w:cs="Arial"/>
        </w:rPr>
        <w:t xml:space="preserve"> ponto AT-</w:t>
      </w:r>
      <w:r w:rsidRPr="00421F98">
        <w:rPr>
          <w:rFonts w:cs="Arial"/>
        </w:rPr>
        <w:t>103 os microcrustáceos da ordem Cyclopoida representaram 43% da comunidade zooplanctônica com uma densidade de 7.467 org/m³. Em sua composição predominaram as fases larvais e juvenis, náuplios e copepoditos, respectivamente. O predomínio de formas jovens, sobretudo náuplios, é um padrão comum em ecossistemas de água doce (Neves et al 2003). O segundo grupo mais representativo foram os rotíferos (5.387 org/m³), que constituíram 31% da comunidade. Em sua composição dominaram espécies euplanctônicas como Collotheca sp</w:t>
      </w:r>
      <w:r w:rsidRPr="00421F98">
        <w:rPr>
          <w:rFonts w:cs="Arial"/>
          <w:i/>
        </w:rPr>
        <w:t>, Kellicottia bostoniensis</w:t>
      </w:r>
      <w:r w:rsidRPr="00421F98">
        <w:rPr>
          <w:rFonts w:cs="Arial"/>
        </w:rPr>
        <w:t xml:space="preserve"> e </w:t>
      </w:r>
      <w:r w:rsidRPr="00421F98">
        <w:rPr>
          <w:rFonts w:cs="Arial"/>
          <w:i/>
        </w:rPr>
        <w:t>Keratella cochlearis</w:t>
      </w:r>
      <w:r w:rsidRPr="00421F98">
        <w:rPr>
          <w:rFonts w:cs="Arial"/>
        </w:rPr>
        <w:t xml:space="preserve">. Cabe destacar que </w:t>
      </w:r>
      <w:r w:rsidRPr="00421F98">
        <w:rPr>
          <w:rFonts w:cs="Arial"/>
          <w:i/>
        </w:rPr>
        <w:t>Kellicottia bostoniensis</w:t>
      </w:r>
      <w:r w:rsidRPr="00421F98">
        <w:rPr>
          <w:rFonts w:cs="Arial"/>
        </w:rPr>
        <w:t xml:space="preserve"> pode estar associada a ambientes eutrofizados (Lucinda et al 2004). O grupo Cladocera foi o terceiro grupo mais representativo (3.947 org/m³), onde se </w:t>
      </w:r>
      <w:r w:rsidR="00421F98" w:rsidRPr="00421F98">
        <w:rPr>
          <w:rFonts w:cs="Arial"/>
        </w:rPr>
        <w:t xml:space="preserve">destacou a </w:t>
      </w:r>
      <w:r w:rsidRPr="00421F98">
        <w:rPr>
          <w:rFonts w:cs="Arial"/>
        </w:rPr>
        <w:t xml:space="preserve">espécie </w:t>
      </w:r>
      <w:r w:rsidRPr="00421F98">
        <w:rPr>
          <w:rFonts w:cs="Arial"/>
          <w:i/>
        </w:rPr>
        <w:t>Ceriodaphnia silvestrii</w:t>
      </w:r>
      <w:r w:rsidRPr="00421F98">
        <w:rPr>
          <w:rFonts w:cs="Arial"/>
        </w:rPr>
        <w:t>, caracterizada pela sua ampla distribuição (Rocha et al 2010).</w:t>
      </w:r>
    </w:p>
    <w:p w:rsidR="00C37999" w:rsidRPr="00421F98" w:rsidRDefault="00421F98" w:rsidP="00421F98">
      <w:pPr>
        <w:rPr>
          <w:rFonts w:eastAsia="Times New Roman" w:cs="Arial"/>
          <w:color w:val="080000"/>
          <w:lang w:eastAsia="pt-BR"/>
        </w:rPr>
      </w:pPr>
      <w:r w:rsidRPr="00421F98">
        <w:rPr>
          <w:rFonts w:eastAsia="Times New Roman" w:cs="Arial"/>
          <w:color w:val="080000"/>
          <w:lang w:eastAsia="pt-BR"/>
        </w:rPr>
        <w:lastRenderedPageBreak/>
        <w:t xml:space="preserve">No </w:t>
      </w:r>
      <w:r w:rsidR="004F753C">
        <w:rPr>
          <w:rFonts w:eastAsia="Times New Roman" w:cs="Arial"/>
          <w:color w:val="080000"/>
          <w:lang w:eastAsia="pt-BR"/>
        </w:rPr>
        <w:t>p</w:t>
      </w:r>
      <w:r w:rsidRPr="00421F98">
        <w:rPr>
          <w:rFonts w:eastAsia="Times New Roman" w:cs="Arial"/>
          <w:color w:val="080000"/>
          <w:lang w:eastAsia="pt-BR"/>
        </w:rPr>
        <w:t>onto AT-</w:t>
      </w:r>
      <w:r w:rsidR="00C37999" w:rsidRPr="00421F98">
        <w:rPr>
          <w:rFonts w:eastAsia="Times New Roman" w:cs="Arial"/>
          <w:color w:val="080000"/>
          <w:lang w:eastAsia="pt-BR"/>
        </w:rPr>
        <w:t xml:space="preserve">102 a comunidade zooplanctônica foi representada majoritariamente (75%) por pequenos filtradores do Filo Rotífera (1.920 org/m³). Em ecossistemas límnicos é comum o predomínio destes organismos sobre os outros grupos da comunidade zooplanctônica por conta de sua natureza oportunista. No que se refere </w:t>
      </w:r>
      <w:r w:rsidR="004F753C">
        <w:rPr>
          <w:rFonts w:eastAsia="Times New Roman" w:cs="Arial"/>
          <w:color w:val="080000"/>
          <w:lang w:eastAsia="pt-BR"/>
        </w:rPr>
        <w:t xml:space="preserve">à </w:t>
      </w:r>
      <w:r w:rsidR="00C37999" w:rsidRPr="00421F98">
        <w:rPr>
          <w:rFonts w:eastAsia="Times New Roman" w:cs="Arial"/>
          <w:color w:val="080000"/>
          <w:lang w:eastAsia="pt-BR"/>
        </w:rPr>
        <w:t>sua composição</w:t>
      </w:r>
      <w:r w:rsidR="004F753C">
        <w:rPr>
          <w:rFonts w:eastAsia="Times New Roman" w:cs="Arial"/>
          <w:color w:val="080000"/>
          <w:lang w:eastAsia="pt-BR"/>
        </w:rPr>
        <w:t>,</w:t>
      </w:r>
      <w:r w:rsidR="00C37999" w:rsidRPr="00421F98">
        <w:rPr>
          <w:rFonts w:eastAsia="Times New Roman" w:cs="Arial"/>
          <w:color w:val="080000"/>
          <w:lang w:eastAsia="pt-BR"/>
        </w:rPr>
        <w:t xml:space="preserve"> a amostra AT</w:t>
      </w:r>
      <w:r w:rsidRPr="00421F98">
        <w:rPr>
          <w:rFonts w:eastAsia="Times New Roman" w:cs="Arial"/>
          <w:color w:val="080000"/>
          <w:lang w:eastAsia="pt-BR"/>
        </w:rPr>
        <w:t>-</w:t>
      </w:r>
      <w:r w:rsidR="00C37999" w:rsidRPr="00421F98">
        <w:rPr>
          <w:rFonts w:eastAsia="Times New Roman" w:cs="Arial"/>
          <w:color w:val="080000"/>
          <w:lang w:eastAsia="pt-BR"/>
        </w:rPr>
        <w:t>102A compreendeu principalmente espécies cosmopolitas</w:t>
      </w:r>
      <w:r w:rsidR="004F753C">
        <w:rPr>
          <w:rFonts w:eastAsia="Times New Roman" w:cs="Arial"/>
          <w:color w:val="080000"/>
          <w:lang w:eastAsia="pt-BR"/>
        </w:rPr>
        <w:t>,</w:t>
      </w:r>
      <w:r w:rsidR="00C37999" w:rsidRPr="00421F98">
        <w:rPr>
          <w:rFonts w:eastAsia="Times New Roman" w:cs="Arial"/>
          <w:color w:val="080000"/>
          <w:lang w:eastAsia="pt-BR"/>
        </w:rPr>
        <w:t xml:space="preserve"> como </w:t>
      </w:r>
      <w:r w:rsidR="00C37999" w:rsidRPr="00421F98">
        <w:rPr>
          <w:rFonts w:eastAsia="Times New Roman" w:cs="Arial"/>
          <w:i/>
          <w:color w:val="080000"/>
          <w:lang w:eastAsia="pt-BR"/>
        </w:rPr>
        <w:t>Keratella cochlearis</w:t>
      </w:r>
      <w:r w:rsidR="00C37999" w:rsidRPr="00421F98">
        <w:rPr>
          <w:rFonts w:eastAsia="Times New Roman" w:cs="Arial"/>
          <w:color w:val="080000"/>
          <w:lang w:eastAsia="pt-BR"/>
        </w:rPr>
        <w:t xml:space="preserve"> e </w:t>
      </w:r>
      <w:r w:rsidR="00C37999" w:rsidRPr="00421F98">
        <w:rPr>
          <w:rFonts w:eastAsia="Times New Roman" w:cs="Arial"/>
          <w:i/>
          <w:color w:val="080000"/>
          <w:lang w:eastAsia="pt-BR"/>
        </w:rPr>
        <w:t>Polyarthra dolichoptera</w:t>
      </w:r>
      <w:r w:rsidR="00C37999" w:rsidRPr="00421F98">
        <w:rPr>
          <w:rFonts w:eastAsia="Times New Roman" w:cs="Arial"/>
          <w:color w:val="080000"/>
          <w:lang w:eastAsia="pt-BR"/>
        </w:rPr>
        <w:t xml:space="preserve"> (Lucinda et al 2004, Marce et al 2005). O segundo grupo mais representativo foram os microcrustáceos Copepoda Cyclopoida, que constituíram 21% da comunidade zooplanctônica (533 org/m³), sendo os principais componentes as fases larvais e juvenis, náuplios e copepoditos, respectivamente. O predomínio de formas jovens, sobretudo náuplios, é um padrão comum em ecossistemas de água doce (Neves et al 2003).</w:t>
      </w:r>
    </w:p>
    <w:p w:rsidR="00C37999" w:rsidRPr="00421F98" w:rsidRDefault="00C37999" w:rsidP="00421F98">
      <w:pPr>
        <w:rPr>
          <w:rFonts w:cs="Arial"/>
        </w:rPr>
      </w:pPr>
      <w:r w:rsidRPr="00421F98">
        <w:rPr>
          <w:rFonts w:cs="Arial"/>
        </w:rPr>
        <w:t>A comunidade zooplanctônica do ponto AT</w:t>
      </w:r>
      <w:r w:rsidR="00421F98" w:rsidRPr="00421F98">
        <w:rPr>
          <w:rFonts w:cs="Arial"/>
        </w:rPr>
        <w:t>-</w:t>
      </w:r>
      <w:r w:rsidRPr="00421F98">
        <w:rPr>
          <w:rFonts w:cs="Arial"/>
        </w:rPr>
        <w:t>301</w:t>
      </w:r>
      <w:r w:rsidR="00421F98" w:rsidRPr="00421F98">
        <w:rPr>
          <w:rFonts w:cs="Arial"/>
        </w:rPr>
        <w:t xml:space="preserve"> </w:t>
      </w:r>
      <w:r w:rsidRPr="00421F98">
        <w:rPr>
          <w:rFonts w:cs="Arial"/>
        </w:rPr>
        <w:t xml:space="preserve">foi representada em sua maior </w:t>
      </w:r>
      <w:r w:rsidR="004F753C" w:rsidRPr="00421F98">
        <w:rPr>
          <w:rFonts w:cs="Arial"/>
        </w:rPr>
        <w:t xml:space="preserve">parte </w:t>
      </w:r>
      <w:r w:rsidRPr="00421F98">
        <w:rPr>
          <w:rFonts w:cs="Arial"/>
        </w:rPr>
        <w:t xml:space="preserve">(59%) por microcrustáceos da ordem Cyclopoida </w:t>
      </w:r>
      <w:r w:rsidR="004F753C">
        <w:rPr>
          <w:rFonts w:cs="Arial"/>
        </w:rPr>
        <w:t xml:space="preserve">com uma densidade de 507 org/m³, </w:t>
      </w:r>
      <w:r w:rsidRPr="00421F98">
        <w:rPr>
          <w:rFonts w:cs="Arial"/>
        </w:rPr>
        <w:t xml:space="preserve">sendo composta exclusivamente por náuplios. O predomínio de formas jovens, sobretudo náuplios, é um padrão comum em ecossistemas de água doce (Neves et al 2003). O segundo grupo mais representativo foram os rotíferos (347 org/m³), que constituíram 41% da comunidade. Em sua composição dominaram espécies euplanctônicas como </w:t>
      </w:r>
      <w:r w:rsidRPr="00421F98">
        <w:rPr>
          <w:rFonts w:cs="Arial"/>
          <w:i/>
        </w:rPr>
        <w:t>Keratella cochlearis</w:t>
      </w:r>
      <w:r w:rsidRPr="00421F98">
        <w:rPr>
          <w:rFonts w:cs="Arial"/>
        </w:rPr>
        <w:t xml:space="preserve"> </w:t>
      </w:r>
      <w:r w:rsidRPr="00421F98">
        <w:rPr>
          <w:rFonts w:cs="Arial"/>
          <w:i/>
        </w:rPr>
        <w:t>e Kellicottia bostoniensis</w:t>
      </w:r>
      <w:r w:rsidRPr="00421F98">
        <w:rPr>
          <w:rFonts w:cs="Arial"/>
        </w:rPr>
        <w:t>, sendo a primeira uma espécie cosmopolita e a segunda comumente associada a ambientes eutrofizados (Lucinda et al 2004).</w:t>
      </w:r>
    </w:p>
    <w:p w:rsidR="00C37999" w:rsidRPr="00421F98" w:rsidRDefault="00C37999" w:rsidP="00421F98">
      <w:pPr>
        <w:rPr>
          <w:rFonts w:cs="Arial"/>
        </w:rPr>
      </w:pPr>
      <w:r w:rsidRPr="00421F98">
        <w:rPr>
          <w:rFonts w:cs="Arial"/>
        </w:rPr>
        <w:t>SENDACZ et al.</w:t>
      </w:r>
      <w:r w:rsidR="00421F98" w:rsidRPr="00421F98">
        <w:rPr>
          <w:rFonts w:cs="Arial"/>
        </w:rPr>
        <w:t xml:space="preserve"> </w:t>
      </w:r>
      <w:r w:rsidRPr="00421F98">
        <w:rPr>
          <w:rFonts w:cs="Arial"/>
        </w:rPr>
        <w:t>(2006) encontr</w:t>
      </w:r>
      <w:r w:rsidR="005559AF">
        <w:rPr>
          <w:rFonts w:cs="Arial"/>
        </w:rPr>
        <w:t>aram</w:t>
      </w:r>
      <w:r w:rsidRPr="00421F98">
        <w:rPr>
          <w:rFonts w:cs="Arial"/>
        </w:rPr>
        <w:t xml:space="preserve"> densidades numéricas bem superiores ao estudar, na época de estiagem e chuvosa duas represas da bacia do Alto Tietê com graus de trofia diferentes. Para Ponte Nova os valores variaram de 69.623 org/m³ na estiagem a 214.069 org/m³ no período chuvoso. Em Guarapiranga </w:t>
      </w:r>
      <w:r w:rsidR="00D51A0E">
        <w:rPr>
          <w:rFonts w:cs="Arial"/>
        </w:rPr>
        <w:t>os valores foram</w:t>
      </w:r>
      <w:r w:rsidRPr="00421F98">
        <w:rPr>
          <w:rFonts w:cs="Arial"/>
        </w:rPr>
        <w:t>, estiagem e chuva, respectivamente, de 672.790 e 417.356 org/ m³.</w:t>
      </w:r>
    </w:p>
    <w:p w:rsidR="00C37999" w:rsidRPr="00424B6B" w:rsidRDefault="00BE6BE4" w:rsidP="00424B6B">
      <w:pPr>
        <w:pStyle w:val="Ttulo5"/>
        <w:numPr>
          <w:ilvl w:val="0"/>
          <w:numId w:val="17"/>
        </w:numPr>
      </w:pPr>
      <w:r>
        <w:t xml:space="preserve">Reservatório </w:t>
      </w:r>
      <w:r w:rsidR="00C37999" w:rsidRPr="00424B6B">
        <w:t>Jaguari</w:t>
      </w:r>
      <w:r w:rsidR="00872E90" w:rsidRPr="00424B6B">
        <w:t>/CESP</w:t>
      </w:r>
      <w:r w:rsidR="00C37999" w:rsidRPr="00424B6B">
        <w:t xml:space="preserve"> </w:t>
      </w:r>
      <w:r w:rsidR="00872E90" w:rsidRPr="00424B6B">
        <w:t>(</w:t>
      </w:r>
      <w:r w:rsidR="00C37999" w:rsidRPr="00424B6B">
        <w:t>UGRHI 2</w:t>
      </w:r>
      <w:r w:rsidR="00872E90" w:rsidRPr="00424B6B">
        <w:t>)</w:t>
      </w:r>
    </w:p>
    <w:p w:rsidR="00C37999" w:rsidRDefault="00C37999" w:rsidP="00F46B3F">
      <w:r w:rsidRPr="00E02818">
        <w:t xml:space="preserve">Os dados de fitoplâncton do </w:t>
      </w:r>
      <w:r w:rsidR="00F46B3F">
        <w:t>r</w:t>
      </w:r>
      <w:r w:rsidRPr="00E02818">
        <w:t xml:space="preserve">eservatório </w:t>
      </w:r>
      <w:r>
        <w:t>Jaguari</w:t>
      </w:r>
      <w:r w:rsidR="00F46B3F">
        <w:t xml:space="preserve"> (</w:t>
      </w:r>
      <w:r>
        <w:t>CESP</w:t>
      </w:r>
      <w:r w:rsidR="00F46B3F">
        <w:t>)</w:t>
      </w:r>
      <w:r w:rsidRPr="00E02818">
        <w:t xml:space="preserve"> foram obtidos</w:t>
      </w:r>
      <w:r>
        <w:t xml:space="preserve"> em 5 pontos do reservatório, mostrados na imagem abaixo</w:t>
      </w:r>
      <w:r w:rsidR="00F46B3F">
        <w:t xml:space="preserve">: (i) </w:t>
      </w:r>
      <w:r w:rsidR="00D42B22">
        <w:t>três</w:t>
      </w:r>
      <w:r w:rsidR="00F46B3F">
        <w:t xml:space="preserve"> pontos no braço do rio Jaguari: IG-102 (montante), IG-101A (captação proposta), e IG-</w:t>
      </w:r>
      <w:r>
        <w:t xml:space="preserve">101 (captação </w:t>
      </w:r>
      <w:r w:rsidR="00F46B3F">
        <w:t xml:space="preserve">descartada); (ii) um ponto no </w:t>
      </w:r>
      <w:r w:rsidR="00D42B22">
        <w:t xml:space="preserve">braço do rio do Peixe: </w:t>
      </w:r>
      <w:r w:rsidR="00F46B3F">
        <w:t>IG-</w:t>
      </w:r>
      <w:r>
        <w:t>1</w:t>
      </w:r>
      <w:r w:rsidR="00F46B3F">
        <w:t>03</w:t>
      </w:r>
      <w:r w:rsidR="00D42B22">
        <w:t>; e</w:t>
      </w:r>
      <w:r w:rsidR="00F46B3F">
        <w:t xml:space="preserve"> (</w:t>
      </w:r>
      <w:r w:rsidR="00D42B22">
        <w:t>iii) um ponto</w:t>
      </w:r>
      <w:r w:rsidR="00F46B3F">
        <w:t xml:space="preserve"> </w:t>
      </w:r>
      <w:r w:rsidR="00D42B22">
        <w:t xml:space="preserve">junto à barragem da CESP: </w:t>
      </w:r>
      <w:r w:rsidR="00F46B3F">
        <w:t>IG-</w:t>
      </w:r>
      <w:r>
        <w:t xml:space="preserve">104. </w:t>
      </w:r>
    </w:p>
    <w:p w:rsidR="00C37999" w:rsidRDefault="00C37999" w:rsidP="00C37999">
      <w:pPr>
        <w:spacing w:before="240" w:line="360" w:lineRule="auto"/>
        <w:rPr>
          <w:spacing w:val="-1"/>
        </w:rPr>
      </w:pPr>
      <w:r>
        <w:rPr>
          <w:noProof/>
          <w:lang w:eastAsia="pt-BR"/>
        </w:rPr>
        <w:drawing>
          <wp:inline distT="0" distB="0" distL="0" distR="0" wp14:anchorId="2CBE56F0" wp14:editId="1D1A05AA">
            <wp:extent cx="5400040" cy="3259455"/>
            <wp:effectExtent l="0" t="0" r="0" b="0"/>
            <wp:docPr id="1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1"/>
                    <pic:cNvPicPr>
                      <a:picLocks noChangeAspect="1"/>
                    </pic:cNvPicPr>
                  </pic:nvPicPr>
                  <pic:blipFill>
                    <a:blip r:embed="rId163" cstate="print"/>
                    <a:stretch>
                      <a:fillRect/>
                    </a:stretch>
                  </pic:blipFill>
                  <pic:spPr>
                    <a:xfrm>
                      <a:off x="0" y="0"/>
                      <a:ext cx="5400040" cy="3259455"/>
                    </a:xfrm>
                    <a:prstGeom prst="rect">
                      <a:avLst/>
                    </a:prstGeom>
                  </pic:spPr>
                </pic:pic>
              </a:graphicData>
            </a:graphic>
          </wp:inline>
        </w:drawing>
      </w:r>
    </w:p>
    <w:p w:rsidR="00C37999" w:rsidRDefault="00C37999" w:rsidP="00C37999">
      <w:pPr>
        <w:spacing w:before="240" w:line="360" w:lineRule="auto"/>
        <w:rPr>
          <w:spacing w:val="-1"/>
        </w:rPr>
      </w:pPr>
      <w:r>
        <w:rPr>
          <w:spacing w:val="-1"/>
        </w:rPr>
        <w:t xml:space="preserve">Os resultados obtidos estão nas </w:t>
      </w:r>
      <w:r w:rsidR="00CA5CDB" w:rsidRPr="00D51A0E">
        <w:rPr>
          <w:b/>
          <w:spacing w:val="-1"/>
        </w:rPr>
        <w:t xml:space="preserve">Figuras </w:t>
      </w:r>
      <w:r w:rsidR="00633149">
        <w:rPr>
          <w:b/>
          <w:spacing w:val="-1"/>
        </w:rPr>
        <w:t>6.4.</w:t>
      </w:r>
      <w:r w:rsidR="00195B96">
        <w:rPr>
          <w:b/>
          <w:spacing w:val="-1"/>
        </w:rPr>
        <w:t>5-1</w:t>
      </w:r>
      <w:r w:rsidR="00633149">
        <w:rPr>
          <w:b/>
          <w:spacing w:val="-1"/>
        </w:rPr>
        <w:t>2</w:t>
      </w:r>
      <w:r w:rsidRPr="00D51A0E">
        <w:rPr>
          <w:b/>
          <w:spacing w:val="-1"/>
        </w:rPr>
        <w:t xml:space="preserve"> e 6</w:t>
      </w:r>
      <w:r w:rsidR="00633149">
        <w:rPr>
          <w:b/>
          <w:spacing w:val="-1"/>
        </w:rPr>
        <w:t>.4.</w:t>
      </w:r>
      <w:r w:rsidR="00195B96">
        <w:rPr>
          <w:b/>
          <w:spacing w:val="-1"/>
        </w:rPr>
        <w:t>5-1</w:t>
      </w:r>
      <w:r w:rsidR="00633149">
        <w:rPr>
          <w:b/>
          <w:spacing w:val="-1"/>
        </w:rPr>
        <w:t>3</w:t>
      </w:r>
      <w:r w:rsidR="00CA5CDB">
        <w:rPr>
          <w:spacing w:val="-1"/>
        </w:rPr>
        <w:t>,</w:t>
      </w:r>
      <w:r>
        <w:rPr>
          <w:spacing w:val="-1"/>
        </w:rPr>
        <w:t xml:space="preserve"> </w:t>
      </w:r>
      <w:r w:rsidR="00195B96">
        <w:rPr>
          <w:spacing w:val="-1"/>
        </w:rPr>
        <w:t>a seguir</w:t>
      </w:r>
      <w:r>
        <w:rPr>
          <w:spacing w:val="-1"/>
        </w:rPr>
        <w:t>.</w:t>
      </w:r>
    </w:p>
    <w:p w:rsidR="00CA5CDB" w:rsidRDefault="00633149" w:rsidP="00CA5CDB">
      <w:pPr>
        <w:pStyle w:val="Quadro"/>
        <w:rPr>
          <w:spacing w:val="-1"/>
        </w:rPr>
      </w:pPr>
      <w:r>
        <w:lastRenderedPageBreak/>
        <w:t>Figura 6.4.</w:t>
      </w:r>
      <w:r w:rsidR="00195B96">
        <w:t>5.1</w:t>
      </w:r>
      <w:r>
        <w:t>2</w:t>
      </w:r>
      <w:r w:rsidR="00195B96">
        <w:t>.</w:t>
      </w:r>
      <w:r w:rsidR="00CA5CDB">
        <w:t xml:space="preserve"> Análise qualitativa da comunidade fitoplanctônica da </w:t>
      </w:r>
      <w:r w:rsidR="00195B96">
        <w:t>r</w:t>
      </w:r>
      <w:r w:rsidR="00CA5CDB">
        <w:t>epresa Jaguari/CESP</w:t>
      </w:r>
    </w:p>
    <w:p w:rsidR="00C37999" w:rsidRDefault="00C37999" w:rsidP="00CA5CDB">
      <w:pPr>
        <w:spacing w:before="240" w:line="360" w:lineRule="auto"/>
        <w:jc w:val="center"/>
      </w:pPr>
      <w:r>
        <w:rPr>
          <w:noProof/>
          <w:lang w:eastAsia="pt-BR"/>
        </w:rPr>
        <w:drawing>
          <wp:inline distT="0" distB="0" distL="0" distR="0" wp14:anchorId="0A581863" wp14:editId="70AC4855">
            <wp:extent cx="4391025" cy="2466975"/>
            <wp:effectExtent l="0" t="0" r="9525" b="9525"/>
            <wp:docPr id="113" name="Gráfico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r>
        <w:rPr>
          <w:noProof/>
          <w:lang w:eastAsia="pt-BR"/>
        </w:rPr>
        <w:drawing>
          <wp:inline distT="0" distB="0" distL="0" distR="0" wp14:anchorId="1C5FD1D4" wp14:editId="230169B0">
            <wp:extent cx="4400550" cy="2457450"/>
            <wp:effectExtent l="0" t="0" r="0" b="0"/>
            <wp:docPr id="114" name="Gráfico 1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r>
        <w:rPr>
          <w:noProof/>
          <w:lang w:eastAsia="pt-BR"/>
        </w:rPr>
        <w:drawing>
          <wp:inline distT="0" distB="0" distL="0" distR="0" wp14:anchorId="08405D35" wp14:editId="28446CAF">
            <wp:extent cx="4429125" cy="2514600"/>
            <wp:effectExtent l="0" t="0" r="9525" b="0"/>
            <wp:docPr id="115" name="Gráfico 1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r>
        <w:rPr>
          <w:noProof/>
          <w:lang w:eastAsia="pt-BR"/>
        </w:rPr>
        <w:lastRenderedPageBreak/>
        <w:drawing>
          <wp:inline distT="0" distB="0" distL="0" distR="0" wp14:anchorId="640A326A" wp14:editId="763CF93A">
            <wp:extent cx="4419600" cy="2667000"/>
            <wp:effectExtent l="0" t="0" r="0" b="0"/>
            <wp:docPr id="116" name="Gráfico 1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r>
        <w:rPr>
          <w:noProof/>
          <w:lang w:eastAsia="pt-BR"/>
        </w:rPr>
        <w:drawing>
          <wp:inline distT="0" distB="0" distL="0" distR="0" wp14:anchorId="1C32156B" wp14:editId="486C5A59">
            <wp:extent cx="4457700" cy="2686050"/>
            <wp:effectExtent l="0" t="0" r="0" b="0"/>
            <wp:docPr id="117" name="Gráfico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rsidR="00C37999" w:rsidRDefault="00C37999" w:rsidP="00C37999">
      <w:pPr>
        <w:spacing w:line="360" w:lineRule="auto"/>
        <w:rPr>
          <w:rFonts w:ascii="Calibri" w:eastAsia="Times New Roman" w:hAnsi="Calibri" w:cs="Times New Roman"/>
          <w:color w:val="080000"/>
          <w:lang w:eastAsia="pt-BR"/>
        </w:rPr>
      </w:pPr>
    </w:p>
    <w:p w:rsidR="00C37999" w:rsidRPr="00E02818" w:rsidRDefault="00CA5CDB" w:rsidP="00CA5CDB">
      <w:pPr>
        <w:pStyle w:val="Quadro"/>
      </w:pPr>
      <w:r>
        <w:lastRenderedPageBreak/>
        <w:t>Figura 6</w:t>
      </w:r>
      <w:r w:rsidR="00633149">
        <w:t>.4.</w:t>
      </w:r>
      <w:r w:rsidR="00195B96">
        <w:t>5-1</w:t>
      </w:r>
      <w:r w:rsidR="00633149">
        <w:t>3</w:t>
      </w:r>
      <w:r>
        <w:t xml:space="preserve"> -</w:t>
      </w:r>
      <w:r w:rsidRPr="00BA72F5">
        <w:t xml:space="preserve"> </w:t>
      </w:r>
      <w:r>
        <w:t xml:space="preserve">Análise quantitativa da comunidade fitoplanctônica da </w:t>
      </w:r>
      <w:r w:rsidR="00195B96">
        <w:t>r</w:t>
      </w:r>
      <w:r>
        <w:t>epresa Jaguari/CESP</w:t>
      </w:r>
    </w:p>
    <w:p w:rsidR="00C37999" w:rsidRDefault="00C37999" w:rsidP="00CA5CDB">
      <w:pPr>
        <w:spacing w:before="240" w:line="360" w:lineRule="auto"/>
        <w:jc w:val="center"/>
      </w:pPr>
      <w:r>
        <w:rPr>
          <w:noProof/>
          <w:lang w:eastAsia="pt-BR"/>
        </w:rPr>
        <w:drawing>
          <wp:inline distT="0" distB="0" distL="0" distR="0" wp14:anchorId="7FD2F62C" wp14:editId="5B3B0120">
            <wp:extent cx="4238625" cy="2295525"/>
            <wp:effectExtent l="0" t="0" r="9525" b="9525"/>
            <wp:docPr id="118" name="Gráfico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r>
        <w:rPr>
          <w:noProof/>
          <w:lang w:eastAsia="pt-BR"/>
        </w:rPr>
        <w:drawing>
          <wp:inline distT="0" distB="0" distL="0" distR="0" wp14:anchorId="01A70E4F" wp14:editId="00DC8C79">
            <wp:extent cx="4257675" cy="2219325"/>
            <wp:effectExtent l="0" t="0" r="9525" b="9525"/>
            <wp:docPr id="119" name="Gráfico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r>
        <w:rPr>
          <w:noProof/>
          <w:lang w:eastAsia="pt-BR"/>
        </w:rPr>
        <w:drawing>
          <wp:inline distT="0" distB="0" distL="0" distR="0" wp14:anchorId="2805B209" wp14:editId="7D8BCB75">
            <wp:extent cx="4267200" cy="2580005"/>
            <wp:effectExtent l="0" t="0" r="0" b="10795"/>
            <wp:docPr id="120" name="Gráfico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r>
        <w:rPr>
          <w:noProof/>
          <w:lang w:eastAsia="pt-BR"/>
        </w:rPr>
        <w:lastRenderedPageBreak/>
        <w:drawing>
          <wp:inline distT="0" distB="0" distL="0" distR="0" wp14:anchorId="7709444B" wp14:editId="398DF259">
            <wp:extent cx="4400550" cy="2705735"/>
            <wp:effectExtent l="0" t="0" r="0" b="18415"/>
            <wp:docPr id="121" name="Gráfico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r>
        <w:rPr>
          <w:noProof/>
          <w:lang w:eastAsia="pt-BR"/>
        </w:rPr>
        <w:drawing>
          <wp:inline distT="0" distB="0" distL="0" distR="0" wp14:anchorId="159718FA" wp14:editId="60A5DDB9">
            <wp:extent cx="4419600" cy="2629535"/>
            <wp:effectExtent l="0" t="0" r="0" b="18415"/>
            <wp:docPr id="122" name="Gráfico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rsidR="00C37999" w:rsidRDefault="00C37999" w:rsidP="00CA5CDB">
      <w:pPr>
        <w:rPr>
          <w:lang w:eastAsia="pt-BR"/>
        </w:rPr>
      </w:pPr>
      <w:r>
        <w:rPr>
          <w:lang w:eastAsia="pt-BR"/>
        </w:rPr>
        <w:t>Foram reg</w:t>
      </w:r>
      <w:r w:rsidR="00CA5CDB">
        <w:rPr>
          <w:lang w:eastAsia="pt-BR"/>
        </w:rPr>
        <w:t>istrados 4 táxons nos pontos IG-102 e IG-101, 5 táxons no IG-104, 8 no IG-103 e 9 no IG-101</w:t>
      </w:r>
      <w:r>
        <w:rPr>
          <w:lang w:eastAsia="pt-BR"/>
        </w:rPr>
        <w:t xml:space="preserve">A. A densidade de organismos foi reduzida, se enquadrando na </w:t>
      </w:r>
      <w:r w:rsidRPr="008D46AE">
        <w:rPr>
          <w:lang w:eastAsia="pt-BR"/>
        </w:rPr>
        <w:t xml:space="preserve">categoria </w:t>
      </w:r>
      <w:r w:rsidRPr="00E937D4">
        <w:rPr>
          <w:b/>
          <w:lang w:eastAsia="pt-BR"/>
        </w:rPr>
        <w:t>ótima</w:t>
      </w:r>
      <w:r>
        <w:rPr>
          <w:lang w:eastAsia="pt-BR"/>
        </w:rPr>
        <w:t xml:space="preserve"> para 4 pontos e </w:t>
      </w:r>
      <w:r w:rsidRPr="00E937D4">
        <w:rPr>
          <w:b/>
          <w:lang w:eastAsia="pt-BR"/>
        </w:rPr>
        <w:t>boa</w:t>
      </w:r>
      <w:r>
        <w:rPr>
          <w:lang w:eastAsia="pt-BR"/>
        </w:rPr>
        <w:t xml:space="preserve"> para o pont</w:t>
      </w:r>
      <w:r w:rsidR="00CA5CDB">
        <w:rPr>
          <w:lang w:eastAsia="pt-BR"/>
        </w:rPr>
        <w:t>o de entrada do rio Jaguari (IG-</w:t>
      </w:r>
      <w:r>
        <w:rPr>
          <w:lang w:eastAsia="pt-BR"/>
        </w:rPr>
        <w:t>102)</w:t>
      </w:r>
      <w:r w:rsidR="00CA5CDB">
        <w:rPr>
          <w:lang w:eastAsia="pt-BR"/>
        </w:rPr>
        <w:t>,</w:t>
      </w:r>
      <w:r>
        <w:rPr>
          <w:lang w:eastAsia="pt-BR"/>
        </w:rPr>
        <w:t xml:space="preserve"> onde houve uma clara dominância de dinoflagelados. </w:t>
      </w:r>
    </w:p>
    <w:p w:rsidR="00C37999" w:rsidRDefault="00C37999" w:rsidP="00CA5CDB">
      <w:pPr>
        <w:rPr>
          <w:lang w:eastAsia="pt-BR"/>
        </w:rPr>
      </w:pPr>
      <w:r>
        <w:rPr>
          <w:lang w:eastAsia="pt-BR"/>
        </w:rPr>
        <w:t>Onde as cianofíceas dominaram suas densidades foram baixas. A densidade observada foi de 3.</w:t>
      </w:r>
      <w:r w:rsidR="00CA5CDB">
        <w:rPr>
          <w:lang w:eastAsia="pt-BR"/>
        </w:rPr>
        <w:t>827 cel/m</w:t>
      </w:r>
      <w:r w:rsidR="00195B96">
        <w:rPr>
          <w:lang w:eastAsia="pt-BR"/>
        </w:rPr>
        <w:t>l</w:t>
      </w:r>
      <w:r w:rsidR="00CA5CDB">
        <w:rPr>
          <w:lang w:eastAsia="pt-BR"/>
        </w:rPr>
        <w:t xml:space="preserve"> no ponto IG-</w:t>
      </w:r>
      <w:r>
        <w:rPr>
          <w:lang w:eastAsia="pt-BR"/>
        </w:rPr>
        <w:t>103 e 3.</w:t>
      </w:r>
      <w:r w:rsidR="00195B96">
        <w:rPr>
          <w:lang w:eastAsia="pt-BR"/>
        </w:rPr>
        <w:t>125 cel/ml</w:t>
      </w:r>
      <w:r w:rsidR="00CA5CDB">
        <w:rPr>
          <w:lang w:eastAsia="pt-BR"/>
        </w:rPr>
        <w:t xml:space="preserve"> no IG-</w:t>
      </w:r>
      <w:r>
        <w:rPr>
          <w:lang w:eastAsia="pt-BR"/>
        </w:rPr>
        <w:t>104. Nos demais pontos estiveram ausentes</w:t>
      </w:r>
      <w:r w:rsidR="00CA5CDB">
        <w:rPr>
          <w:lang w:eastAsia="pt-BR"/>
        </w:rPr>
        <w:t xml:space="preserve"> ou em baixíssima densidade (IG-101</w:t>
      </w:r>
      <w:r>
        <w:rPr>
          <w:lang w:eastAsia="pt-BR"/>
        </w:rPr>
        <w:t>A).</w:t>
      </w:r>
    </w:p>
    <w:p w:rsidR="00C37999" w:rsidRDefault="00C37999" w:rsidP="00CA5CDB">
      <w:pPr>
        <w:rPr>
          <w:lang w:eastAsia="pt-BR"/>
        </w:rPr>
      </w:pPr>
      <w:r>
        <w:rPr>
          <w:lang w:eastAsia="pt-BR"/>
        </w:rPr>
        <w:t>O IET calculado com os dados de clorofila a e fósforo total obtidos na mesma ocasião, no entanto, indi</w:t>
      </w:r>
      <w:r w:rsidR="00CA5CDB">
        <w:rPr>
          <w:lang w:eastAsia="pt-BR"/>
        </w:rPr>
        <w:t>cou supereutrofia para ponto IG-</w:t>
      </w:r>
      <w:r>
        <w:rPr>
          <w:lang w:eastAsia="pt-BR"/>
        </w:rPr>
        <w:t xml:space="preserve">102 e eutrofia para o </w:t>
      </w:r>
      <w:r w:rsidR="00CA5CDB">
        <w:rPr>
          <w:lang w:eastAsia="pt-BR"/>
        </w:rPr>
        <w:t>IG-101</w:t>
      </w:r>
      <w:r>
        <w:rPr>
          <w:lang w:eastAsia="pt-BR"/>
        </w:rPr>
        <w:t xml:space="preserve">A, com os demais na categoria mesotrófico, conforme </w:t>
      </w:r>
      <w:r w:rsidR="00CA5CDB" w:rsidRPr="00633149">
        <w:rPr>
          <w:b/>
          <w:lang w:eastAsia="pt-BR"/>
        </w:rPr>
        <w:t xml:space="preserve">Tabela </w:t>
      </w:r>
      <w:r w:rsidR="00633149" w:rsidRPr="00633149">
        <w:rPr>
          <w:b/>
          <w:lang w:eastAsia="pt-BR"/>
        </w:rPr>
        <w:t>6.4.</w:t>
      </w:r>
      <w:r w:rsidR="00195B96">
        <w:rPr>
          <w:b/>
          <w:lang w:eastAsia="pt-BR"/>
        </w:rPr>
        <w:t>5-1</w:t>
      </w:r>
      <w:r w:rsidR="00633149" w:rsidRPr="00633149">
        <w:rPr>
          <w:b/>
          <w:lang w:eastAsia="pt-BR"/>
        </w:rPr>
        <w:t>0</w:t>
      </w:r>
      <w:r w:rsidR="00633149">
        <w:rPr>
          <w:lang w:eastAsia="pt-BR"/>
        </w:rPr>
        <w:t xml:space="preserve"> </w:t>
      </w:r>
      <w:r>
        <w:rPr>
          <w:lang w:eastAsia="pt-BR"/>
        </w:rPr>
        <w:t>abaixo.</w:t>
      </w:r>
    </w:p>
    <w:p w:rsidR="00C37999" w:rsidRPr="00CA5CDB" w:rsidRDefault="00633149" w:rsidP="00CA5CDB">
      <w:pPr>
        <w:pStyle w:val="Quadro"/>
      </w:pPr>
      <w:r>
        <w:t>Tabela 6.4.</w:t>
      </w:r>
      <w:r w:rsidR="00195B96">
        <w:t>5-1</w:t>
      </w:r>
      <w:r>
        <w:t>0</w:t>
      </w:r>
      <w:r w:rsidR="00195B96">
        <w:t>.</w:t>
      </w:r>
      <w:r>
        <w:t xml:space="preserve"> </w:t>
      </w:r>
      <w:r w:rsidR="00C37999" w:rsidRPr="00CA5CDB">
        <w:t xml:space="preserve">IET no </w:t>
      </w:r>
      <w:r w:rsidR="00195B96">
        <w:t>r</w:t>
      </w:r>
      <w:r w:rsidR="00C37999" w:rsidRPr="00CA5CDB">
        <w:t>eservatório Jaguari/CESP por ocasião da coleta</w:t>
      </w:r>
    </w:p>
    <w:tbl>
      <w:tblPr>
        <w:tblW w:w="80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736"/>
        <w:gridCol w:w="1529"/>
        <w:gridCol w:w="1529"/>
        <w:gridCol w:w="1701"/>
        <w:gridCol w:w="1559"/>
      </w:tblGrid>
      <w:tr w:rsidR="0004496F" w:rsidRPr="00CA5CDB" w:rsidTr="0004496F">
        <w:trPr>
          <w:trHeight w:val="300"/>
          <w:jc w:val="center"/>
        </w:trPr>
        <w:tc>
          <w:tcPr>
            <w:tcW w:w="1736" w:type="dxa"/>
            <w:shd w:val="clear" w:color="000000" w:fill="FFFFFF"/>
            <w:vAlign w:val="center"/>
            <w:hideMark/>
          </w:tcPr>
          <w:p w:rsidR="0004496F" w:rsidRPr="00CA5CDB" w:rsidRDefault="0004496F" w:rsidP="0004496F">
            <w:pPr>
              <w:spacing w:after="0"/>
              <w:jc w:val="center"/>
              <w:rPr>
                <w:rFonts w:eastAsia="Times New Roman" w:cs="Arial"/>
                <w:color w:val="080000"/>
                <w:sz w:val="16"/>
                <w:szCs w:val="16"/>
                <w:lang w:eastAsia="pt-BR"/>
              </w:rPr>
            </w:pPr>
            <w:r>
              <w:rPr>
                <w:rFonts w:eastAsia="Times New Roman" w:cs="Arial"/>
                <w:color w:val="080000"/>
                <w:sz w:val="16"/>
                <w:szCs w:val="16"/>
                <w:lang w:eastAsia="pt-BR"/>
              </w:rPr>
              <w:t>IG-</w:t>
            </w:r>
            <w:r w:rsidRPr="00CA5CDB">
              <w:rPr>
                <w:rFonts w:eastAsia="Times New Roman" w:cs="Arial"/>
                <w:color w:val="080000"/>
                <w:sz w:val="16"/>
                <w:szCs w:val="16"/>
                <w:lang w:eastAsia="pt-BR"/>
              </w:rPr>
              <w:t xml:space="preserve">102 - </w:t>
            </w:r>
            <w:r w:rsidRPr="00CA5CDB">
              <w:rPr>
                <w:rFonts w:cs="Arial"/>
                <w:spacing w:val="-1"/>
                <w:sz w:val="16"/>
                <w:szCs w:val="16"/>
              </w:rPr>
              <w:t xml:space="preserve">braço do </w:t>
            </w:r>
            <w:r>
              <w:rPr>
                <w:rFonts w:cs="Arial"/>
                <w:spacing w:val="-1"/>
                <w:sz w:val="16"/>
                <w:szCs w:val="16"/>
              </w:rPr>
              <w:t>r</w:t>
            </w:r>
            <w:r w:rsidRPr="00CA5CDB">
              <w:rPr>
                <w:rFonts w:cs="Arial"/>
                <w:spacing w:val="-1"/>
                <w:sz w:val="16"/>
                <w:szCs w:val="16"/>
              </w:rPr>
              <w:t>io Jaguari</w:t>
            </w:r>
            <w:r>
              <w:rPr>
                <w:rFonts w:cs="Arial"/>
                <w:spacing w:val="-1"/>
                <w:sz w:val="16"/>
                <w:szCs w:val="16"/>
              </w:rPr>
              <w:t xml:space="preserve"> (montante)</w:t>
            </w:r>
          </w:p>
        </w:tc>
        <w:tc>
          <w:tcPr>
            <w:tcW w:w="1529" w:type="dxa"/>
            <w:shd w:val="clear" w:color="000000" w:fill="FFFFFF"/>
            <w:vAlign w:val="center"/>
          </w:tcPr>
          <w:p w:rsidR="0004496F" w:rsidRDefault="0004496F" w:rsidP="0004496F">
            <w:pPr>
              <w:spacing w:after="0"/>
              <w:jc w:val="center"/>
              <w:rPr>
                <w:rFonts w:eastAsia="Times New Roman" w:cs="Arial"/>
                <w:color w:val="080000"/>
                <w:sz w:val="16"/>
                <w:szCs w:val="16"/>
                <w:lang w:eastAsia="pt-BR"/>
              </w:rPr>
            </w:pPr>
            <w:r>
              <w:rPr>
                <w:rFonts w:eastAsia="Times New Roman" w:cs="Arial"/>
                <w:color w:val="080000"/>
                <w:sz w:val="16"/>
                <w:szCs w:val="16"/>
                <w:lang w:eastAsia="pt-BR"/>
              </w:rPr>
              <w:t>IG-</w:t>
            </w:r>
            <w:r w:rsidRPr="00CA5CDB">
              <w:rPr>
                <w:rFonts w:eastAsia="Times New Roman" w:cs="Arial"/>
                <w:color w:val="080000"/>
                <w:sz w:val="16"/>
                <w:szCs w:val="16"/>
                <w:lang w:eastAsia="pt-BR"/>
              </w:rPr>
              <w:t xml:space="preserve">101A </w:t>
            </w:r>
            <w:r w:rsidRPr="00CA5CDB">
              <w:rPr>
                <w:rFonts w:cs="Arial"/>
                <w:spacing w:val="-1"/>
                <w:sz w:val="16"/>
                <w:szCs w:val="16"/>
              </w:rPr>
              <w:t xml:space="preserve">Captação </w:t>
            </w:r>
            <w:r>
              <w:rPr>
                <w:rFonts w:cs="Arial"/>
                <w:spacing w:val="-1"/>
                <w:sz w:val="16"/>
                <w:szCs w:val="16"/>
              </w:rPr>
              <w:t>proposta</w:t>
            </w:r>
          </w:p>
        </w:tc>
        <w:tc>
          <w:tcPr>
            <w:tcW w:w="1529" w:type="dxa"/>
            <w:shd w:val="clear" w:color="000000" w:fill="FFFFFF"/>
            <w:vAlign w:val="center"/>
            <w:hideMark/>
          </w:tcPr>
          <w:p w:rsidR="0004496F" w:rsidRPr="00CA5CDB" w:rsidRDefault="0004496F" w:rsidP="0004496F">
            <w:pPr>
              <w:spacing w:after="0"/>
              <w:jc w:val="center"/>
              <w:rPr>
                <w:rFonts w:eastAsia="Times New Roman" w:cs="Arial"/>
                <w:color w:val="080000"/>
                <w:sz w:val="16"/>
                <w:szCs w:val="16"/>
                <w:lang w:eastAsia="pt-BR"/>
              </w:rPr>
            </w:pPr>
            <w:r>
              <w:rPr>
                <w:rFonts w:eastAsia="Times New Roman" w:cs="Arial"/>
                <w:color w:val="080000"/>
                <w:sz w:val="16"/>
                <w:szCs w:val="16"/>
                <w:lang w:eastAsia="pt-BR"/>
              </w:rPr>
              <w:t>IG-</w:t>
            </w:r>
            <w:r w:rsidRPr="00CA5CDB">
              <w:rPr>
                <w:rFonts w:eastAsia="Times New Roman" w:cs="Arial"/>
                <w:color w:val="080000"/>
                <w:sz w:val="16"/>
                <w:szCs w:val="16"/>
                <w:lang w:eastAsia="pt-BR"/>
              </w:rPr>
              <w:t xml:space="preserve">101 </w:t>
            </w:r>
            <w:r w:rsidRPr="00CA5CDB">
              <w:rPr>
                <w:rFonts w:cs="Arial"/>
                <w:spacing w:val="-1"/>
                <w:sz w:val="16"/>
                <w:szCs w:val="16"/>
              </w:rPr>
              <w:t xml:space="preserve">Captação </w:t>
            </w:r>
            <w:r>
              <w:rPr>
                <w:rFonts w:cs="Arial"/>
                <w:spacing w:val="-1"/>
                <w:sz w:val="16"/>
                <w:szCs w:val="16"/>
              </w:rPr>
              <w:t>descartada</w:t>
            </w:r>
          </w:p>
        </w:tc>
        <w:tc>
          <w:tcPr>
            <w:tcW w:w="1701" w:type="dxa"/>
            <w:shd w:val="clear" w:color="000000" w:fill="FFFFFF"/>
            <w:vAlign w:val="center"/>
            <w:hideMark/>
          </w:tcPr>
          <w:p w:rsidR="0004496F" w:rsidRPr="00CA5CDB" w:rsidRDefault="0004496F" w:rsidP="0004496F">
            <w:pPr>
              <w:spacing w:after="0"/>
              <w:jc w:val="center"/>
              <w:rPr>
                <w:rFonts w:eastAsia="Times New Roman" w:cs="Arial"/>
                <w:color w:val="080000"/>
                <w:sz w:val="16"/>
                <w:szCs w:val="16"/>
                <w:lang w:eastAsia="pt-BR"/>
              </w:rPr>
            </w:pPr>
            <w:r>
              <w:rPr>
                <w:rFonts w:eastAsia="Times New Roman" w:cs="Arial"/>
                <w:color w:val="080000"/>
                <w:sz w:val="16"/>
                <w:szCs w:val="16"/>
                <w:lang w:eastAsia="pt-BR"/>
              </w:rPr>
              <w:t>IG-</w:t>
            </w:r>
            <w:r w:rsidRPr="00CA5CDB">
              <w:rPr>
                <w:rFonts w:eastAsia="Times New Roman" w:cs="Arial"/>
                <w:color w:val="080000"/>
                <w:sz w:val="16"/>
                <w:szCs w:val="16"/>
                <w:lang w:eastAsia="pt-BR"/>
              </w:rPr>
              <w:t xml:space="preserve">103 </w:t>
            </w:r>
            <w:r w:rsidRPr="00CA5CDB">
              <w:rPr>
                <w:rFonts w:cs="Arial"/>
                <w:spacing w:val="-1"/>
                <w:sz w:val="16"/>
                <w:szCs w:val="16"/>
              </w:rPr>
              <w:t>Braço do Rio do Peixe</w:t>
            </w:r>
          </w:p>
        </w:tc>
        <w:tc>
          <w:tcPr>
            <w:tcW w:w="1559" w:type="dxa"/>
            <w:shd w:val="clear" w:color="000000" w:fill="FFFFFF"/>
            <w:vAlign w:val="center"/>
            <w:hideMark/>
          </w:tcPr>
          <w:p w:rsidR="0004496F" w:rsidRPr="00CA5CDB" w:rsidRDefault="0004496F" w:rsidP="0004496F">
            <w:pPr>
              <w:spacing w:after="0"/>
              <w:jc w:val="center"/>
              <w:rPr>
                <w:rFonts w:eastAsia="Times New Roman" w:cs="Arial"/>
                <w:color w:val="080000"/>
                <w:sz w:val="16"/>
                <w:szCs w:val="16"/>
                <w:lang w:eastAsia="pt-BR"/>
              </w:rPr>
            </w:pPr>
            <w:r>
              <w:rPr>
                <w:rFonts w:eastAsia="Times New Roman" w:cs="Arial"/>
                <w:color w:val="080000"/>
                <w:sz w:val="16"/>
                <w:szCs w:val="16"/>
                <w:lang w:eastAsia="pt-BR"/>
              </w:rPr>
              <w:t>IG-</w:t>
            </w:r>
            <w:r w:rsidRPr="00CA5CDB">
              <w:rPr>
                <w:rFonts w:eastAsia="Times New Roman" w:cs="Arial"/>
                <w:color w:val="080000"/>
                <w:sz w:val="16"/>
                <w:szCs w:val="16"/>
                <w:lang w:eastAsia="pt-BR"/>
              </w:rPr>
              <w:t>104</w:t>
            </w:r>
            <w:r>
              <w:rPr>
                <w:rFonts w:eastAsia="Times New Roman" w:cs="Arial"/>
                <w:color w:val="080000"/>
                <w:sz w:val="16"/>
                <w:szCs w:val="16"/>
                <w:lang w:eastAsia="pt-BR"/>
              </w:rPr>
              <w:t xml:space="preserve"> </w:t>
            </w:r>
            <w:r w:rsidRPr="00CA5CDB">
              <w:rPr>
                <w:rFonts w:cs="Arial"/>
                <w:spacing w:val="-1"/>
                <w:sz w:val="16"/>
                <w:szCs w:val="16"/>
              </w:rPr>
              <w:t>Barragem CESP</w:t>
            </w:r>
          </w:p>
        </w:tc>
      </w:tr>
      <w:tr w:rsidR="0004496F" w:rsidRPr="00CA5CDB" w:rsidTr="0004496F">
        <w:trPr>
          <w:trHeight w:val="300"/>
          <w:jc w:val="center"/>
        </w:trPr>
        <w:tc>
          <w:tcPr>
            <w:tcW w:w="1736" w:type="dxa"/>
            <w:shd w:val="clear" w:color="000000" w:fill="FF0000"/>
            <w:noWrap/>
            <w:vAlign w:val="center"/>
            <w:hideMark/>
          </w:tcPr>
          <w:p w:rsidR="0004496F" w:rsidRPr="00CA5CDB" w:rsidRDefault="0004496F" w:rsidP="0004496F">
            <w:pPr>
              <w:spacing w:after="0"/>
              <w:jc w:val="center"/>
              <w:rPr>
                <w:rFonts w:eastAsia="Times New Roman" w:cs="Arial"/>
                <w:color w:val="000000"/>
                <w:sz w:val="16"/>
                <w:szCs w:val="16"/>
                <w:lang w:eastAsia="pt-BR"/>
              </w:rPr>
            </w:pPr>
            <w:r w:rsidRPr="00CA5CDB">
              <w:rPr>
                <w:rFonts w:eastAsia="Times New Roman" w:cs="Arial"/>
                <w:color w:val="000000"/>
                <w:sz w:val="16"/>
                <w:szCs w:val="16"/>
                <w:lang w:eastAsia="pt-BR"/>
              </w:rPr>
              <w:t>66</w:t>
            </w:r>
          </w:p>
        </w:tc>
        <w:tc>
          <w:tcPr>
            <w:tcW w:w="1529" w:type="dxa"/>
            <w:shd w:val="clear" w:color="auto" w:fill="F79646" w:themeFill="accent6"/>
            <w:vAlign w:val="center"/>
          </w:tcPr>
          <w:p w:rsidR="0004496F" w:rsidRPr="00CA5CDB" w:rsidRDefault="0004496F" w:rsidP="0004496F">
            <w:pPr>
              <w:spacing w:after="0"/>
              <w:jc w:val="center"/>
              <w:rPr>
                <w:rFonts w:eastAsia="Times New Roman" w:cs="Arial"/>
                <w:color w:val="000000"/>
                <w:sz w:val="16"/>
                <w:szCs w:val="16"/>
                <w:lang w:eastAsia="pt-BR"/>
              </w:rPr>
            </w:pPr>
            <w:r w:rsidRPr="00CA5CDB">
              <w:rPr>
                <w:rFonts w:eastAsia="Times New Roman" w:cs="Arial"/>
                <w:color w:val="000000"/>
                <w:sz w:val="16"/>
                <w:szCs w:val="16"/>
                <w:lang w:eastAsia="pt-BR"/>
              </w:rPr>
              <w:t>61</w:t>
            </w:r>
          </w:p>
        </w:tc>
        <w:tc>
          <w:tcPr>
            <w:tcW w:w="1529" w:type="dxa"/>
            <w:shd w:val="clear" w:color="000000" w:fill="EEEE12"/>
            <w:noWrap/>
            <w:vAlign w:val="center"/>
            <w:hideMark/>
          </w:tcPr>
          <w:p w:rsidR="0004496F" w:rsidRPr="00CA5CDB" w:rsidRDefault="0004496F" w:rsidP="0004496F">
            <w:pPr>
              <w:spacing w:after="0"/>
              <w:jc w:val="center"/>
              <w:rPr>
                <w:rFonts w:eastAsia="Times New Roman" w:cs="Arial"/>
                <w:color w:val="000000"/>
                <w:sz w:val="16"/>
                <w:szCs w:val="16"/>
                <w:lang w:eastAsia="pt-BR"/>
              </w:rPr>
            </w:pPr>
            <w:r w:rsidRPr="00CA5CDB">
              <w:rPr>
                <w:rFonts w:eastAsia="Times New Roman" w:cs="Arial"/>
                <w:color w:val="000000"/>
                <w:sz w:val="16"/>
                <w:szCs w:val="16"/>
                <w:lang w:eastAsia="pt-BR"/>
              </w:rPr>
              <w:t>57</w:t>
            </w:r>
          </w:p>
        </w:tc>
        <w:tc>
          <w:tcPr>
            <w:tcW w:w="1701" w:type="dxa"/>
            <w:shd w:val="clear" w:color="000000" w:fill="EEEE12"/>
            <w:noWrap/>
            <w:vAlign w:val="center"/>
            <w:hideMark/>
          </w:tcPr>
          <w:p w:rsidR="0004496F" w:rsidRPr="00CA5CDB" w:rsidRDefault="0004496F" w:rsidP="0004496F">
            <w:pPr>
              <w:spacing w:after="0"/>
              <w:jc w:val="center"/>
              <w:rPr>
                <w:rFonts w:eastAsia="Times New Roman" w:cs="Arial"/>
                <w:color w:val="000000"/>
                <w:sz w:val="16"/>
                <w:szCs w:val="16"/>
                <w:lang w:eastAsia="pt-BR"/>
              </w:rPr>
            </w:pPr>
            <w:r w:rsidRPr="00CA5CDB">
              <w:rPr>
                <w:rFonts w:eastAsia="Times New Roman" w:cs="Arial"/>
                <w:color w:val="000000"/>
                <w:sz w:val="16"/>
                <w:szCs w:val="16"/>
                <w:lang w:eastAsia="pt-BR"/>
              </w:rPr>
              <w:t>57</w:t>
            </w:r>
          </w:p>
        </w:tc>
        <w:tc>
          <w:tcPr>
            <w:tcW w:w="1559" w:type="dxa"/>
            <w:shd w:val="clear" w:color="000000" w:fill="EEEE12"/>
            <w:noWrap/>
            <w:vAlign w:val="center"/>
            <w:hideMark/>
          </w:tcPr>
          <w:p w:rsidR="0004496F" w:rsidRPr="00CA5CDB" w:rsidRDefault="0004496F" w:rsidP="0004496F">
            <w:pPr>
              <w:spacing w:after="0"/>
              <w:jc w:val="center"/>
              <w:rPr>
                <w:rFonts w:eastAsia="Times New Roman" w:cs="Arial"/>
                <w:color w:val="000000"/>
                <w:sz w:val="16"/>
                <w:szCs w:val="16"/>
                <w:lang w:eastAsia="pt-BR"/>
              </w:rPr>
            </w:pPr>
            <w:r w:rsidRPr="00CA5CDB">
              <w:rPr>
                <w:rFonts w:eastAsia="Times New Roman" w:cs="Arial"/>
                <w:color w:val="000000"/>
                <w:sz w:val="16"/>
                <w:szCs w:val="16"/>
                <w:lang w:eastAsia="pt-BR"/>
              </w:rPr>
              <w:t>57</w:t>
            </w:r>
          </w:p>
        </w:tc>
      </w:tr>
    </w:tbl>
    <w:p w:rsidR="00C37999" w:rsidRDefault="00C37999" w:rsidP="0004496F">
      <w:pPr>
        <w:spacing w:before="120"/>
      </w:pPr>
      <w:r>
        <w:t xml:space="preserve">A comunidade zooplanctônica do </w:t>
      </w:r>
      <w:r w:rsidR="00195B96">
        <w:t>r</w:t>
      </w:r>
      <w:r>
        <w:t xml:space="preserve">eservatório Jaguari/CESP foi analisada nos mesmos pontos citados para o fitoplâncton e os resultados são resumidos nas </w:t>
      </w:r>
      <w:r w:rsidR="0004496F" w:rsidRPr="00D51A0E">
        <w:rPr>
          <w:b/>
        </w:rPr>
        <w:t xml:space="preserve">Figuras </w:t>
      </w:r>
      <w:r w:rsidR="00633149">
        <w:rPr>
          <w:b/>
        </w:rPr>
        <w:t>6.4.</w:t>
      </w:r>
      <w:r w:rsidR="00195B96">
        <w:rPr>
          <w:b/>
        </w:rPr>
        <w:t>5-1</w:t>
      </w:r>
      <w:r w:rsidR="00633149">
        <w:rPr>
          <w:b/>
        </w:rPr>
        <w:t>4</w:t>
      </w:r>
      <w:r w:rsidRPr="00D51A0E">
        <w:rPr>
          <w:b/>
        </w:rPr>
        <w:t xml:space="preserve"> e </w:t>
      </w:r>
      <w:r w:rsidR="00633149">
        <w:rPr>
          <w:b/>
        </w:rPr>
        <w:t>6.4.</w:t>
      </w:r>
      <w:r w:rsidR="00195B96">
        <w:rPr>
          <w:b/>
        </w:rPr>
        <w:t>5-1</w:t>
      </w:r>
      <w:r w:rsidR="00633149">
        <w:rPr>
          <w:b/>
        </w:rPr>
        <w:t>5</w:t>
      </w:r>
      <w:r>
        <w:t xml:space="preserve"> abaixo.</w:t>
      </w:r>
    </w:p>
    <w:p w:rsidR="0004496F" w:rsidRDefault="00633149" w:rsidP="0004496F">
      <w:pPr>
        <w:pStyle w:val="Quadro"/>
      </w:pPr>
      <w:r>
        <w:lastRenderedPageBreak/>
        <w:t>Figura 6.4.</w:t>
      </w:r>
      <w:r w:rsidR="00195B96">
        <w:t>5-1</w:t>
      </w:r>
      <w:r>
        <w:t>4</w:t>
      </w:r>
      <w:r w:rsidR="00195B96">
        <w:t>.</w:t>
      </w:r>
      <w:r w:rsidR="0004496F">
        <w:t xml:space="preserve"> Análise qualitativa da comunidade zooplanctônica da </w:t>
      </w:r>
      <w:r w:rsidR="00195B96">
        <w:t>r</w:t>
      </w:r>
      <w:r w:rsidR="0004496F">
        <w:t>epresa Jaguari/CESP</w:t>
      </w:r>
    </w:p>
    <w:p w:rsidR="00C37999" w:rsidRDefault="00C37999" w:rsidP="0004496F">
      <w:pPr>
        <w:spacing w:before="240" w:line="360" w:lineRule="auto"/>
        <w:jc w:val="center"/>
      </w:pPr>
      <w:r>
        <w:rPr>
          <w:noProof/>
          <w:lang w:eastAsia="pt-BR"/>
        </w:rPr>
        <w:drawing>
          <wp:inline distT="0" distB="0" distL="0" distR="0" wp14:anchorId="5637F72B" wp14:editId="3C121B37">
            <wp:extent cx="4576233" cy="2754842"/>
            <wp:effectExtent l="0" t="0" r="15240" b="7620"/>
            <wp:docPr id="123" name="Gráfico 1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r>
        <w:rPr>
          <w:noProof/>
          <w:lang w:eastAsia="pt-BR"/>
        </w:rPr>
        <w:drawing>
          <wp:inline distT="0" distB="0" distL="0" distR="0" wp14:anchorId="1DAAEAB8" wp14:editId="40FB513C">
            <wp:extent cx="4572000" cy="2754841"/>
            <wp:effectExtent l="0" t="0" r="0" b="7620"/>
            <wp:docPr id="124" name="Gráfico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rsidR="00C37999" w:rsidRDefault="00C37999" w:rsidP="00C37999">
      <w:pPr>
        <w:spacing w:line="360" w:lineRule="auto"/>
        <w:rPr>
          <w:rFonts w:ascii="Calibri" w:eastAsia="Times New Roman" w:hAnsi="Calibri" w:cs="Times New Roman"/>
          <w:color w:val="080000"/>
          <w:lang w:eastAsia="pt-BR"/>
        </w:rPr>
      </w:pPr>
    </w:p>
    <w:p w:rsidR="00C37999" w:rsidRDefault="00633149" w:rsidP="0004496F">
      <w:pPr>
        <w:pStyle w:val="Quadro"/>
      </w:pPr>
      <w:r>
        <w:lastRenderedPageBreak/>
        <w:t>Figura 6.4.</w:t>
      </w:r>
      <w:r w:rsidR="00195B96">
        <w:t>5-1</w:t>
      </w:r>
      <w:r>
        <w:t>5</w:t>
      </w:r>
      <w:r w:rsidR="00195B96">
        <w:t>.</w:t>
      </w:r>
      <w:r w:rsidR="0004496F">
        <w:t xml:space="preserve"> Análise quantitativa da comunidade zooplanctônica da </w:t>
      </w:r>
      <w:r w:rsidR="00195B96">
        <w:t>r</w:t>
      </w:r>
      <w:r w:rsidR="0004496F">
        <w:t>epresa Jaguari/CESP</w:t>
      </w:r>
    </w:p>
    <w:p w:rsidR="00C37999" w:rsidRDefault="00C37999" w:rsidP="0004496F">
      <w:pPr>
        <w:spacing w:before="240" w:line="360" w:lineRule="auto"/>
        <w:jc w:val="center"/>
      </w:pPr>
      <w:r>
        <w:rPr>
          <w:noProof/>
          <w:lang w:eastAsia="pt-BR"/>
        </w:rPr>
        <w:drawing>
          <wp:inline distT="0" distB="0" distL="0" distR="0" wp14:anchorId="04685413" wp14:editId="316E183F">
            <wp:extent cx="4572000" cy="2743201"/>
            <wp:effectExtent l="0" t="0" r="0" b="0"/>
            <wp:docPr id="125" name="Gráfico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r>
        <w:rPr>
          <w:noProof/>
          <w:lang w:eastAsia="pt-BR"/>
        </w:rPr>
        <w:drawing>
          <wp:inline distT="0" distB="0" distL="0" distR="0" wp14:anchorId="67A4FD54" wp14:editId="3F97748E">
            <wp:extent cx="4572000" cy="2743200"/>
            <wp:effectExtent l="0" t="0" r="0" b="0"/>
            <wp:docPr id="126" name="Gráfico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rsidR="00C37999" w:rsidRDefault="00C37999" w:rsidP="0004496F">
      <w:r w:rsidRPr="00E00A72">
        <w:t>Os microcrustáceos da ordem Calan</w:t>
      </w:r>
      <w:r>
        <w:t>ó</w:t>
      </w:r>
      <w:r w:rsidRPr="00E00A72">
        <w:t>ida representaram 90% da comunidade zooplanctônica da amostra IG</w:t>
      </w:r>
      <w:r w:rsidR="0004496F">
        <w:t>-</w:t>
      </w:r>
      <w:r w:rsidRPr="00E00A72">
        <w:t>102</w:t>
      </w:r>
      <w:r w:rsidR="0004496F">
        <w:t>,</w:t>
      </w:r>
      <w:r w:rsidRPr="00E00A72">
        <w:t xml:space="preserve"> com uma densidade de 94.750 org/m³. Em sua composição predominou a fase juvenil de seu ciclo de vida, copepoditos. Este grupo é considerado um bom indicador de condições tróficas, sendo sua predominância na comunidade zooplanctônica associada frequentemente a condições oligo-mesotróficas (Matsumura-</w:t>
      </w:r>
      <w:r w:rsidR="0004496F" w:rsidRPr="00E00A72">
        <w:t xml:space="preserve">Tundisi </w:t>
      </w:r>
      <w:r w:rsidRPr="00E00A72">
        <w:t>&amp; Tundisi 2003).</w:t>
      </w:r>
      <w:r>
        <w:t xml:space="preserve"> </w:t>
      </w:r>
      <w:r w:rsidRPr="00E00A72">
        <w:t xml:space="preserve">O segundo grupo mais representativo foram os rotíferos, 6% com uma densidade de 6.000 org/m³, em cuja composição predominaram-se as espécies cosmopolitas </w:t>
      </w:r>
      <w:r w:rsidRPr="00E00A72">
        <w:rPr>
          <w:i/>
        </w:rPr>
        <w:t>Keratella cochlearis</w:t>
      </w:r>
      <w:r w:rsidRPr="00E00A72">
        <w:t xml:space="preserve"> e </w:t>
      </w:r>
      <w:r w:rsidRPr="00E00A72">
        <w:rPr>
          <w:i/>
        </w:rPr>
        <w:t>Conochilus unicornis</w:t>
      </w:r>
      <w:r w:rsidRPr="00E00A72">
        <w:t xml:space="preserve"> (Lucinda et al 2004, Piva-Bertoletti 2001).</w:t>
      </w:r>
      <w:r>
        <w:t xml:space="preserve"> </w:t>
      </w:r>
      <w:r w:rsidRPr="00E00A72">
        <w:t>O grupo Cladocera foi o terceiro grupo mais representativo, 2% da comunidade, onde se destacou a espécie</w:t>
      </w:r>
      <w:r>
        <w:t xml:space="preserve"> </w:t>
      </w:r>
      <w:r w:rsidRPr="00E00A72">
        <w:rPr>
          <w:i/>
        </w:rPr>
        <w:t>Ceriodaphnia silvestrii</w:t>
      </w:r>
      <w:r w:rsidRPr="00E00A72">
        <w:t>, caracterizada pela sua ampla distribuição (Rocha et al 2010)</w:t>
      </w:r>
      <w:r>
        <w:t>.</w:t>
      </w:r>
    </w:p>
    <w:p w:rsidR="00C37999" w:rsidRDefault="00C37999" w:rsidP="0004496F">
      <w:r w:rsidRPr="00E00A72">
        <w:t>Os microcrustáceos da ordem Calan</w:t>
      </w:r>
      <w:r>
        <w:t>ó</w:t>
      </w:r>
      <w:r w:rsidRPr="00E00A72">
        <w:t>ida representaram 54% da comunidade zooplanctônica da amostra IG</w:t>
      </w:r>
      <w:r w:rsidR="0004496F">
        <w:t>-</w:t>
      </w:r>
      <w:r w:rsidRPr="00E00A72">
        <w:t xml:space="preserve">101 com uma densidade de 2.187 org/m³. Em sua composição predominou a fase juvenil de seu ciclo de vida, copepoditos. O segundo grupo mais representativo foram os rotíferos (1.013 org/m³), em cuja composição dominou a espécie </w:t>
      </w:r>
      <w:r w:rsidRPr="00E00A72">
        <w:rPr>
          <w:i/>
        </w:rPr>
        <w:t>Keratella cochlearis</w:t>
      </w:r>
      <w:r w:rsidRPr="00E00A72">
        <w:t>, caracterizada como cosmopolita, ou seja, de ampla distribuição (Lucinda et al 2004).</w:t>
      </w:r>
      <w:r>
        <w:t xml:space="preserve"> </w:t>
      </w:r>
      <w:r w:rsidRPr="00E00A72">
        <w:t>O grupo Copepoda Cyclopoida foi o terceiro grupo mais representativo, 13% (533</w:t>
      </w:r>
      <w:r w:rsidR="00E4284F">
        <w:t xml:space="preserve"> org/m³) da comunidade, composto</w:t>
      </w:r>
      <w:r w:rsidRPr="00E00A72">
        <w:t xml:space="preserve"> por náuplios e copepoditos.</w:t>
      </w:r>
    </w:p>
    <w:p w:rsidR="00195B96" w:rsidRDefault="00195B96" w:rsidP="00195B96">
      <w:r w:rsidRPr="007E2D77">
        <w:lastRenderedPageBreak/>
        <w:t>Os microcrustáceos do grupo Cladocera representaram 48% da comunidade zooplanctônica da amostra IG</w:t>
      </w:r>
      <w:r>
        <w:t>-</w:t>
      </w:r>
      <w:r w:rsidRPr="007E2D77">
        <w:t>101A</w:t>
      </w:r>
      <w:r>
        <w:t xml:space="preserve"> (ponto de captação proposto),</w:t>
      </w:r>
      <w:r w:rsidRPr="007E2D77">
        <w:t xml:space="preserve"> com uma densidade de 4.853</w:t>
      </w:r>
      <w:r>
        <w:t xml:space="preserve"> </w:t>
      </w:r>
      <w:r w:rsidRPr="007E2D77">
        <w:t>org/m³</w:t>
      </w:r>
      <w:r>
        <w:t>. Em sua composição predominou uma</w:t>
      </w:r>
      <w:r w:rsidRPr="007E2D77">
        <w:t xml:space="preserve"> espécie</w:t>
      </w:r>
      <w:r>
        <w:t xml:space="preserve"> de</w:t>
      </w:r>
      <w:r w:rsidRPr="00D13566">
        <w:rPr>
          <w:i/>
        </w:rPr>
        <w:t xml:space="preserve"> Scapholeberisarmata</w:t>
      </w:r>
      <w:r w:rsidRPr="007E2D77">
        <w:t>, representante da família Daphnidae. O segundo grupo mais representativo foram os microcrustáceos da ordem Calanoida que representaram 23% da comunidade (2.294</w:t>
      </w:r>
      <w:r>
        <w:t xml:space="preserve"> </w:t>
      </w:r>
      <w:r w:rsidRPr="007E2D77">
        <w:t>org/m³), sendo composta em sua maior parte por juvenis (copepoditos). Este grupo é considerado um bom indicador de condições tróficas, sendo associada frequentemente a condições</w:t>
      </w:r>
      <w:r>
        <w:t xml:space="preserve"> oligo-mesotróficas (Matsumura-T</w:t>
      </w:r>
      <w:r w:rsidRPr="007E2D77">
        <w:t>undisi</w:t>
      </w:r>
      <w:r>
        <w:t xml:space="preserve"> </w:t>
      </w:r>
      <w:r w:rsidRPr="007E2D77">
        <w:t>&amp; Tundisi, 2003). O grupo Copepoda</w:t>
      </w:r>
      <w:r>
        <w:t xml:space="preserve"> </w:t>
      </w:r>
      <w:r w:rsidRPr="007E2D77">
        <w:t>Cyclopoida foi o terceiro grupo mais representativo, 19% (1.920</w:t>
      </w:r>
      <w:r>
        <w:t xml:space="preserve"> </w:t>
      </w:r>
      <w:r w:rsidRPr="007E2D77">
        <w:t>org/m³) da comunidade, composta por náuplios e copepoditos.</w:t>
      </w:r>
    </w:p>
    <w:p w:rsidR="00195B96" w:rsidRDefault="00195B96" w:rsidP="00195B96">
      <w:r>
        <w:t>No ponto IG-103 o grupo do zooplâncton com maior diversidade</w:t>
      </w:r>
      <w:r w:rsidRPr="007E2D77">
        <w:t xml:space="preserve"> </w:t>
      </w:r>
      <w:r>
        <w:t>foram os</w:t>
      </w:r>
      <w:r w:rsidRPr="007E2D77">
        <w:t xml:space="preserve"> pequenos filtradores do Filo Rotífera, que constituiu 43% da comunidade com uma densidade de 2.080 org/m³. Em ecossistemas límnicos é comum o predomínio destes organismos sobre os outros grupos da comunidade zooplanctônica por conta de sua natureza oportunista. No que se refere sua composição na amostra IG</w:t>
      </w:r>
      <w:r w:rsidR="00E4284F">
        <w:t>-</w:t>
      </w:r>
      <w:r w:rsidRPr="007E2D77">
        <w:t xml:space="preserve">103, verificou-se o predomínio de </w:t>
      </w:r>
      <w:r w:rsidRPr="00D13566">
        <w:rPr>
          <w:i/>
        </w:rPr>
        <w:t>Keratella cochlearis</w:t>
      </w:r>
      <w:r w:rsidRPr="007E2D77">
        <w:t>, espécie cosmopolita, ou seja, de ampla distribuição (Lucinda et al 2004). O segundo grupo mais representativo foram os microcrustáceos da ordem Calanoida que representaram 42% da comunidade (2.027 org/m³), sendo composta em sua maior parte por juvenis (copepoditos). Este grupo é considerado um bom indicador de condições tróficas, sendo associada fr</w:t>
      </w:r>
      <w:r w:rsidR="00E4284F">
        <w:t>equentemente a condições oligo-</w:t>
      </w:r>
      <w:r w:rsidRPr="007E2D77">
        <w:t>mesotrófic</w:t>
      </w:r>
      <w:r>
        <w:t>as (Matsumura-T</w:t>
      </w:r>
      <w:r w:rsidRPr="007E2D77">
        <w:t>undisi &amp; Tundisi, 2003). O grupo Copepoda Cyclopoida foi o terceiro grupo mais representativo (12%) compost</w:t>
      </w:r>
      <w:r w:rsidR="00E4284F">
        <w:t>o</w:t>
      </w:r>
      <w:r w:rsidRPr="007E2D77">
        <w:t xml:space="preserve"> exclusivamente por náuplios e copepoditos.</w:t>
      </w:r>
    </w:p>
    <w:p w:rsidR="00195B96" w:rsidRDefault="00195B96" w:rsidP="00195B96">
      <w:r w:rsidRPr="007E2D77">
        <w:t>Os microcrustáceos da ordem Calanoida representaram 88% da comunidade zooplanctônica da amostra IG</w:t>
      </w:r>
      <w:r w:rsidR="00E4284F">
        <w:t>-</w:t>
      </w:r>
      <w:r w:rsidRPr="007E2D77">
        <w:t>104 com uma densidade de 2.240 org/m³. Em sua composição predominou a fase juvenil de seu ciclo de vida, copepoditos. Este grupo é considerado um bom indicador de condições tróficas, sendo sua predominância na comunidade zooplanctônica associada frequentemente a condições oligo-mesotróficas (Matsumura-</w:t>
      </w:r>
      <w:r>
        <w:t>T</w:t>
      </w:r>
      <w:r w:rsidRPr="007E2D77">
        <w:t xml:space="preserve">undisi &amp; Tundisi 2003). O segundo grupo mais representativo foram os cladóceros (160 org/m³), que constituíram 6% da comunidade e foi composta por organismos jovens de </w:t>
      </w:r>
      <w:r w:rsidRPr="00D13566">
        <w:rPr>
          <w:i/>
        </w:rPr>
        <w:t>Bosmina sp</w:t>
      </w:r>
      <w:r w:rsidRPr="007E2D77">
        <w:t xml:space="preserve">. O grupo Rotífera foi o terceiro grupo mais representativo (4%), composta apenas por </w:t>
      </w:r>
      <w:r w:rsidRPr="00D13566">
        <w:rPr>
          <w:i/>
        </w:rPr>
        <w:t>Keratella cochlearis</w:t>
      </w:r>
      <w:r w:rsidRPr="007E2D77">
        <w:t xml:space="preserve"> e </w:t>
      </w:r>
      <w:r w:rsidRPr="00D13566">
        <w:rPr>
          <w:i/>
        </w:rPr>
        <w:t>Collotheca sp</w:t>
      </w:r>
      <w:r w:rsidRPr="007E2D77">
        <w:t>.</w:t>
      </w:r>
    </w:p>
    <w:p w:rsidR="00C37999" w:rsidRPr="0004496F" w:rsidRDefault="00C37999" w:rsidP="00E551CF">
      <w:pPr>
        <w:pStyle w:val="Ttulo5"/>
        <w:numPr>
          <w:ilvl w:val="0"/>
          <w:numId w:val="17"/>
        </w:numPr>
      </w:pPr>
      <w:r w:rsidRPr="0004496F">
        <w:t xml:space="preserve">Comparação </w:t>
      </w:r>
      <w:r w:rsidR="00E551CF">
        <w:t>do</w:t>
      </w:r>
      <w:r w:rsidR="00C97406">
        <w:t xml:space="preserve"> </w:t>
      </w:r>
      <w:r w:rsidR="00E551CF">
        <w:t xml:space="preserve">Fito e Zooplâncton </w:t>
      </w:r>
      <w:r w:rsidR="00C97406">
        <w:t>n</w:t>
      </w:r>
      <w:r w:rsidRPr="0004496F">
        <w:t>os</w:t>
      </w:r>
      <w:r w:rsidRPr="00E551CF">
        <w:t xml:space="preserve"> </w:t>
      </w:r>
      <w:r w:rsidR="00C97406" w:rsidRPr="00E551CF">
        <w:t>Reservatórios</w:t>
      </w:r>
      <w:r w:rsidR="00C97406" w:rsidRPr="0004496F">
        <w:t xml:space="preserve"> Jaguari/CESP </w:t>
      </w:r>
      <w:r w:rsidR="00C97406">
        <w:t>e Atibainha</w:t>
      </w:r>
    </w:p>
    <w:p w:rsidR="00C37999" w:rsidRDefault="00C37999" w:rsidP="0004496F">
      <w:r>
        <w:t xml:space="preserve">Na comparação dos reservatórios </w:t>
      </w:r>
      <w:r w:rsidR="000108B1">
        <w:t>(</w:t>
      </w:r>
      <w:r w:rsidRPr="000108B1">
        <w:rPr>
          <w:b/>
        </w:rPr>
        <w:t xml:space="preserve">Tabela </w:t>
      </w:r>
      <w:r w:rsidR="00633149">
        <w:rPr>
          <w:b/>
        </w:rPr>
        <w:t>6.4.</w:t>
      </w:r>
      <w:r w:rsidR="00195B96">
        <w:rPr>
          <w:b/>
        </w:rPr>
        <w:t>5-1</w:t>
      </w:r>
      <w:r w:rsidR="00330B1C">
        <w:rPr>
          <w:b/>
        </w:rPr>
        <w:t>1</w:t>
      </w:r>
      <w:r w:rsidR="000108B1">
        <w:t>)</w:t>
      </w:r>
      <w:r>
        <w:t xml:space="preserve">, observa-se uma maior diversidade em termos de fitoplâncton no Atibainha e densidades parecidas, com exceção do </w:t>
      </w:r>
      <w:r w:rsidR="000108B1">
        <w:t xml:space="preserve">setor de montante do </w:t>
      </w:r>
      <w:r>
        <w:t xml:space="preserve">braço do </w:t>
      </w:r>
      <w:r w:rsidR="000108B1">
        <w:t>r</w:t>
      </w:r>
      <w:r>
        <w:t>io Jaguari na rep</w:t>
      </w:r>
      <w:r w:rsidR="00C21F9C">
        <w:t>r</w:t>
      </w:r>
      <w:r>
        <w:t>esa Jaguari/CESP.</w:t>
      </w:r>
    </w:p>
    <w:p w:rsidR="00C37999" w:rsidRDefault="00633149" w:rsidP="0004496F">
      <w:pPr>
        <w:pStyle w:val="Quadro"/>
      </w:pPr>
      <w:r>
        <w:t>Tabela 6.4.</w:t>
      </w:r>
      <w:r w:rsidR="00B22B5F">
        <w:t>5-1</w:t>
      </w:r>
      <w:r w:rsidR="00330B1C">
        <w:t>1</w:t>
      </w:r>
      <w:r w:rsidR="0004496F">
        <w:t xml:space="preserve"> -</w:t>
      </w:r>
      <w:r w:rsidR="00C37999">
        <w:t xml:space="preserve"> Fitoplâncton -</w:t>
      </w:r>
      <w:r w:rsidR="0004496F">
        <w:t xml:space="preserve"> </w:t>
      </w:r>
      <w:r w:rsidR="00C37999">
        <w:t>Comparação entre os reservatórios Atibainha e Jaguari/CESP</w:t>
      </w:r>
    </w:p>
    <w:tbl>
      <w:tblPr>
        <w:tblW w:w="5929" w:type="dxa"/>
        <w:jc w:val="center"/>
        <w:tblCellMar>
          <w:left w:w="70" w:type="dxa"/>
          <w:right w:w="70" w:type="dxa"/>
        </w:tblCellMar>
        <w:tblLook w:val="04A0" w:firstRow="1" w:lastRow="0" w:firstColumn="1" w:lastColumn="0" w:noHBand="0" w:noVBand="1"/>
      </w:tblPr>
      <w:tblGrid>
        <w:gridCol w:w="1394"/>
        <w:gridCol w:w="2286"/>
        <w:gridCol w:w="2249"/>
      </w:tblGrid>
      <w:tr w:rsidR="00C37999" w:rsidRPr="0004496F" w:rsidTr="00771A0C">
        <w:trPr>
          <w:cantSplit/>
          <w:trHeight w:val="284"/>
          <w:jc w:val="center"/>
        </w:trPr>
        <w:tc>
          <w:tcPr>
            <w:tcW w:w="1394" w:type="dxa"/>
            <w:tcBorders>
              <w:top w:val="single" w:sz="4" w:space="0" w:color="auto"/>
              <w:left w:val="single" w:sz="4" w:space="0" w:color="auto"/>
              <w:bottom w:val="single" w:sz="4" w:space="0" w:color="auto"/>
              <w:right w:val="nil"/>
            </w:tcBorders>
            <w:shd w:val="clear" w:color="auto" w:fill="C4BC96" w:themeFill="background2" w:themeFillShade="BF"/>
            <w:noWrap/>
            <w:vAlign w:val="center"/>
            <w:hideMark/>
          </w:tcPr>
          <w:p w:rsidR="00C37999" w:rsidRPr="0004496F" w:rsidRDefault="00C37999" w:rsidP="0004496F">
            <w:pPr>
              <w:spacing w:after="0"/>
              <w:rPr>
                <w:rFonts w:eastAsia="Times New Roman" w:cs="Arial"/>
                <w:b/>
                <w:color w:val="000000"/>
                <w:sz w:val="16"/>
                <w:szCs w:val="16"/>
                <w:lang w:eastAsia="pt-BR"/>
              </w:rPr>
            </w:pPr>
            <w:r w:rsidRPr="0004496F">
              <w:rPr>
                <w:rFonts w:eastAsia="Times New Roman" w:cs="Arial"/>
                <w:b/>
                <w:color w:val="000000"/>
                <w:sz w:val="16"/>
                <w:szCs w:val="16"/>
                <w:lang w:eastAsia="pt-BR"/>
              </w:rPr>
              <w:t>FITOPLÂNCTON</w:t>
            </w:r>
          </w:p>
        </w:tc>
        <w:tc>
          <w:tcPr>
            <w:tcW w:w="2286" w:type="dxa"/>
            <w:tcBorders>
              <w:top w:val="single" w:sz="4" w:space="0" w:color="auto"/>
              <w:left w:val="single" w:sz="4" w:space="0" w:color="auto"/>
              <w:bottom w:val="single" w:sz="4" w:space="0" w:color="auto"/>
              <w:right w:val="single" w:sz="4" w:space="0" w:color="auto"/>
            </w:tcBorders>
            <w:shd w:val="clear" w:color="000000" w:fill="A6A6A6"/>
            <w:vAlign w:val="center"/>
            <w:hideMark/>
          </w:tcPr>
          <w:p w:rsidR="00C37999" w:rsidRPr="0004496F" w:rsidRDefault="00C37999" w:rsidP="0004496F">
            <w:pPr>
              <w:spacing w:after="0"/>
              <w:jc w:val="center"/>
              <w:rPr>
                <w:rFonts w:eastAsia="Times New Roman" w:cs="Arial"/>
                <w:b/>
                <w:color w:val="000000"/>
                <w:sz w:val="16"/>
                <w:szCs w:val="16"/>
                <w:lang w:eastAsia="pt-BR"/>
              </w:rPr>
            </w:pPr>
            <w:r w:rsidRPr="0004496F">
              <w:rPr>
                <w:rFonts w:eastAsia="Times New Roman" w:cs="Arial"/>
                <w:b/>
                <w:color w:val="000000"/>
                <w:sz w:val="16"/>
                <w:szCs w:val="16"/>
                <w:lang w:eastAsia="pt-BR"/>
              </w:rPr>
              <w:t>ANÁLISE QUALITATIVA</w:t>
            </w:r>
          </w:p>
        </w:tc>
        <w:tc>
          <w:tcPr>
            <w:tcW w:w="2249" w:type="dxa"/>
            <w:tcBorders>
              <w:top w:val="single" w:sz="4" w:space="0" w:color="auto"/>
              <w:left w:val="nil"/>
              <w:bottom w:val="single" w:sz="4" w:space="0" w:color="auto"/>
              <w:right w:val="nil"/>
            </w:tcBorders>
            <w:shd w:val="clear" w:color="000000" w:fill="A6A6A6"/>
            <w:vAlign w:val="center"/>
            <w:hideMark/>
          </w:tcPr>
          <w:p w:rsidR="00C37999" w:rsidRPr="0004496F" w:rsidRDefault="00C37999" w:rsidP="0004496F">
            <w:pPr>
              <w:spacing w:after="0"/>
              <w:jc w:val="center"/>
              <w:rPr>
                <w:rFonts w:eastAsia="Times New Roman" w:cs="Arial"/>
                <w:b/>
                <w:color w:val="000000"/>
                <w:sz w:val="16"/>
                <w:szCs w:val="16"/>
                <w:lang w:eastAsia="pt-BR"/>
              </w:rPr>
            </w:pPr>
            <w:r w:rsidRPr="0004496F">
              <w:rPr>
                <w:rFonts w:eastAsia="Times New Roman" w:cs="Arial"/>
                <w:b/>
                <w:color w:val="000000"/>
                <w:sz w:val="16"/>
                <w:szCs w:val="16"/>
                <w:lang w:eastAsia="pt-BR"/>
              </w:rPr>
              <w:t>ANÁLISE QUANTITATIVA</w:t>
            </w:r>
          </w:p>
        </w:tc>
      </w:tr>
      <w:tr w:rsidR="00C37999" w:rsidRPr="0004496F" w:rsidTr="00771A0C">
        <w:trPr>
          <w:cantSplit/>
          <w:trHeight w:val="284"/>
          <w:jc w:val="center"/>
        </w:trPr>
        <w:tc>
          <w:tcPr>
            <w:tcW w:w="13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37999" w:rsidRPr="0004496F" w:rsidRDefault="0004496F" w:rsidP="0004496F">
            <w:pPr>
              <w:spacing w:after="0"/>
              <w:jc w:val="center"/>
              <w:rPr>
                <w:rFonts w:eastAsia="Times New Roman" w:cs="Arial"/>
                <w:color w:val="000000"/>
                <w:sz w:val="16"/>
                <w:szCs w:val="16"/>
                <w:lang w:eastAsia="pt-BR"/>
              </w:rPr>
            </w:pPr>
            <w:r w:rsidRPr="0004496F">
              <w:rPr>
                <w:rFonts w:eastAsia="Times New Roman" w:cs="Arial"/>
                <w:color w:val="000000"/>
                <w:sz w:val="16"/>
                <w:szCs w:val="16"/>
                <w:lang w:eastAsia="pt-BR"/>
              </w:rPr>
              <w:t>Ponto</w:t>
            </w:r>
          </w:p>
        </w:tc>
        <w:tc>
          <w:tcPr>
            <w:tcW w:w="2286" w:type="dxa"/>
            <w:tcBorders>
              <w:top w:val="nil"/>
              <w:left w:val="nil"/>
              <w:bottom w:val="single" w:sz="4" w:space="0" w:color="auto"/>
              <w:right w:val="single" w:sz="4" w:space="0" w:color="auto"/>
            </w:tcBorders>
            <w:shd w:val="clear" w:color="auto" w:fill="auto"/>
            <w:vAlign w:val="center"/>
            <w:hideMark/>
          </w:tcPr>
          <w:p w:rsidR="00C37999" w:rsidRPr="0004496F" w:rsidRDefault="00C37999" w:rsidP="0004496F">
            <w:pPr>
              <w:spacing w:after="0"/>
              <w:jc w:val="center"/>
              <w:rPr>
                <w:rFonts w:eastAsia="Times New Roman" w:cs="Arial"/>
                <w:color w:val="000000"/>
                <w:sz w:val="16"/>
                <w:szCs w:val="16"/>
                <w:lang w:eastAsia="pt-BR"/>
              </w:rPr>
            </w:pPr>
            <w:r w:rsidRPr="0004496F">
              <w:rPr>
                <w:rFonts w:eastAsia="Times New Roman" w:cs="Arial"/>
                <w:color w:val="000000"/>
                <w:sz w:val="16"/>
                <w:szCs w:val="16"/>
                <w:lang w:eastAsia="pt-BR"/>
              </w:rPr>
              <w:t>n</w:t>
            </w:r>
            <w:r w:rsidRPr="0004496F">
              <w:rPr>
                <w:rFonts w:eastAsia="Times New Roman" w:cs="Arial"/>
                <w:color w:val="000000"/>
                <w:sz w:val="16"/>
                <w:szCs w:val="16"/>
                <w:vertAlign w:val="superscript"/>
                <w:lang w:eastAsia="pt-BR"/>
              </w:rPr>
              <w:t>o</w:t>
            </w:r>
            <w:r w:rsidRPr="0004496F">
              <w:rPr>
                <w:rFonts w:eastAsia="Times New Roman" w:cs="Arial"/>
                <w:color w:val="000000"/>
                <w:sz w:val="16"/>
                <w:szCs w:val="16"/>
                <w:lang w:eastAsia="pt-BR"/>
              </w:rPr>
              <w:t xml:space="preserve"> total de táxons por classe</w:t>
            </w:r>
          </w:p>
        </w:tc>
        <w:tc>
          <w:tcPr>
            <w:tcW w:w="2249" w:type="dxa"/>
            <w:tcBorders>
              <w:top w:val="nil"/>
              <w:left w:val="nil"/>
              <w:bottom w:val="single" w:sz="4" w:space="0" w:color="auto"/>
              <w:right w:val="single" w:sz="4" w:space="0" w:color="auto"/>
            </w:tcBorders>
            <w:shd w:val="clear" w:color="auto" w:fill="auto"/>
            <w:vAlign w:val="center"/>
            <w:hideMark/>
          </w:tcPr>
          <w:p w:rsidR="00C37999" w:rsidRPr="0004496F" w:rsidRDefault="00C37999" w:rsidP="00771A0C">
            <w:pPr>
              <w:spacing w:after="0"/>
              <w:jc w:val="center"/>
              <w:rPr>
                <w:rFonts w:eastAsia="Times New Roman" w:cs="Arial"/>
                <w:color w:val="000000"/>
                <w:sz w:val="16"/>
                <w:szCs w:val="16"/>
                <w:lang w:eastAsia="pt-BR"/>
              </w:rPr>
            </w:pPr>
            <w:r w:rsidRPr="0004496F">
              <w:rPr>
                <w:rFonts w:eastAsia="Times New Roman" w:cs="Arial"/>
                <w:color w:val="000000"/>
                <w:sz w:val="16"/>
                <w:szCs w:val="16"/>
                <w:lang w:eastAsia="pt-BR"/>
              </w:rPr>
              <w:t>Densidade (organismos/ m</w:t>
            </w:r>
            <w:r w:rsidR="00771A0C">
              <w:rPr>
                <w:rFonts w:eastAsia="Times New Roman" w:cs="Arial"/>
                <w:color w:val="000000"/>
                <w:sz w:val="16"/>
                <w:szCs w:val="16"/>
                <w:lang w:eastAsia="pt-BR"/>
              </w:rPr>
              <w:t>l</w:t>
            </w:r>
            <w:r w:rsidRPr="0004496F">
              <w:rPr>
                <w:rFonts w:eastAsia="Times New Roman" w:cs="Arial"/>
                <w:color w:val="000000"/>
                <w:sz w:val="16"/>
                <w:szCs w:val="16"/>
                <w:lang w:eastAsia="pt-BR"/>
              </w:rPr>
              <w:t>)</w:t>
            </w:r>
          </w:p>
        </w:tc>
      </w:tr>
      <w:tr w:rsidR="00C37999" w:rsidRPr="0004496F" w:rsidTr="00771A0C">
        <w:trPr>
          <w:cantSplit/>
          <w:trHeight w:val="284"/>
          <w:jc w:val="center"/>
        </w:trPr>
        <w:tc>
          <w:tcPr>
            <w:tcW w:w="1394" w:type="dxa"/>
            <w:tcBorders>
              <w:top w:val="nil"/>
              <w:left w:val="single" w:sz="4" w:space="0" w:color="auto"/>
              <w:bottom w:val="single" w:sz="4" w:space="0" w:color="auto"/>
              <w:right w:val="single" w:sz="4" w:space="0" w:color="auto"/>
            </w:tcBorders>
            <w:shd w:val="clear" w:color="auto" w:fill="auto"/>
            <w:noWrap/>
            <w:vAlign w:val="center"/>
            <w:hideMark/>
          </w:tcPr>
          <w:p w:rsidR="00C37999" w:rsidRPr="0004496F" w:rsidRDefault="00C37999" w:rsidP="0004496F">
            <w:pPr>
              <w:spacing w:after="0"/>
              <w:jc w:val="center"/>
              <w:rPr>
                <w:rFonts w:eastAsia="Times New Roman" w:cs="Arial"/>
                <w:color w:val="000000"/>
                <w:sz w:val="16"/>
                <w:szCs w:val="16"/>
                <w:lang w:eastAsia="pt-BR"/>
              </w:rPr>
            </w:pPr>
            <w:r w:rsidRPr="0004496F">
              <w:rPr>
                <w:rFonts w:eastAsia="Times New Roman" w:cs="Arial"/>
                <w:color w:val="000000"/>
                <w:sz w:val="16"/>
                <w:szCs w:val="16"/>
                <w:lang w:eastAsia="pt-BR"/>
              </w:rPr>
              <w:t>AT</w:t>
            </w:r>
            <w:r w:rsidR="0004496F">
              <w:rPr>
                <w:rFonts w:eastAsia="Times New Roman" w:cs="Arial"/>
                <w:color w:val="000000"/>
                <w:sz w:val="16"/>
                <w:szCs w:val="16"/>
                <w:lang w:eastAsia="pt-BR"/>
              </w:rPr>
              <w:t>-</w:t>
            </w:r>
            <w:r w:rsidRPr="0004496F">
              <w:rPr>
                <w:rFonts w:eastAsia="Times New Roman" w:cs="Arial"/>
                <w:color w:val="000000"/>
                <w:sz w:val="16"/>
                <w:szCs w:val="16"/>
                <w:lang w:eastAsia="pt-BR"/>
              </w:rPr>
              <w:t>103</w:t>
            </w:r>
          </w:p>
        </w:tc>
        <w:tc>
          <w:tcPr>
            <w:tcW w:w="2286" w:type="dxa"/>
            <w:tcBorders>
              <w:top w:val="nil"/>
              <w:left w:val="nil"/>
              <w:bottom w:val="single" w:sz="4" w:space="0" w:color="auto"/>
              <w:right w:val="single" w:sz="4" w:space="0" w:color="auto"/>
            </w:tcBorders>
            <w:shd w:val="clear" w:color="000000" w:fill="FFFFFF"/>
            <w:vAlign w:val="center"/>
            <w:hideMark/>
          </w:tcPr>
          <w:p w:rsidR="00C37999" w:rsidRPr="0004496F" w:rsidRDefault="00C37999" w:rsidP="0004496F">
            <w:pPr>
              <w:spacing w:after="0"/>
              <w:jc w:val="center"/>
              <w:rPr>
                <w:rFonts w:eastAsia="Times New Roman" w:cs="Arial"/>
                <w:b/>
                <w:bCs/>
                <w:color w:val="000000"/>
                <w:sz w:val="16"/>
                <w:szCs w:val="16"/>
                <w:lang w:eastAsia="pt-BR"/>
              </w:rPr>
            </w:pPr>
            <w:r w:rsidRPr="0004496F">
              <w:rPr>
                <w:rFonts w:eastAsia="Times New Roman" w:cs="Arial"/>
                <w:b/>
                <w:bCs/>
                <w:color w:val="000000"/>
                <w:sz w:val="16"/>
                <w:szCs w:val="16"/>
                <w:lang w:eastAsia="pt-BR"/>
              </w:rPr>
              <w:t>23</w:t>
            </w:r>
          </w:p>
        </w:tc>
        <w:tc>
          <w:tcPr>
            <w:tcW w:w="2249" w:type="dxa"/>
            <w:tcBorders>
              <w:top w:val="nil"/>
              <w:left w:val="nil"/>
              <w:bottom w:val="single" w:sz="4" w:space="0" w:color="auto"/>
              <w:right w:val="single" w:sz="4" w:space="0" w:color="auto"/>
            </w:tcBorders>
            <w:shd w:val="clear" w:color="000000" w:fill="FFFFFF"/>
            <w:vAlign w:val="center"/>
            <w:hideMark/>
          </w:tcPr>
          <w:p w:rsidR="00C37999" w:rsidRPr="0004496F" w:rsidRDefault="00C37999" w:rsidP="0004496F">
            <w:pPr>
              <w:spacing w:after="0"/>
              <w:jc w:val="center"/>
              <w:rPr>
                <w:rFonts w:eastAsia="Times New Roman" w:cs="Arial"/>
                <w:b/>
                <w:bCs/>
                <w:color w:val="000000"/>
                <w:sz w:val="16"/>
                <w:szCs w:val="16"/>
                <w:lang w:eastAsia="pt-BR"/>
              </w:rPr>
            </w:pPr>
            <w:r w:rsidRPr="0004496F">
              <w:rPr>
                <w:rFonts w:eastAsia="Times New Roman" w:cs="Arial"/>
                <w:b/>
                <w:bCs/>
                <w:color w:val="000000"/>
                <w:sz w:val="16"/>
                <w:szCs w:val="16"/>
                <w:lang w:eastAsia="pt-BR"/>
              </w:rPr>
              <w:t>596</w:t>
            </w:r>
          </w:p>
        </w:tc>
      </w:tr>
      <w:tr w:rsidR="00C37999" w:rsidRPr="0004496F" w:rsidTr="00771A0C">
        <w:trPr>
          <w:cantSplit/>
          <w:trHeight w:val="284"/>
          <w:jc w:val="center"/>
        </w:trPr>
        <w:tc>
          <w:tcPr>
            <w:tcW w:w="1394" w:type="dxa"/>
            <w:tcBorders>
              <w:top w:val="nil"/>
              <w:left w:val="single" w:sz="4" w:space="0" w:color="auto"/>
              <w:bottom w:val="single" w:sz="4" w:space="0" w:color="auto"/>
              <w:right w:val="single" w:sz="4" w:space="0" w:color="auto"/>
            </w:tcBorders>
            <w:shd w:val="clear" w:color="auto" w:fill="auto"/>
            <w:noWrap/>
            <w:vAlign w:val="center"/>
            <w:hideMark/>
          </w:tcPr>
          <w:p w:rsidR="00C37999" w:rsidRPr="0004496F" w:rsidRDefault="00C37999" w:rsidP="0004496F">
            <w:pPr>
              <w:spacing w:after="0"/>
              <w:jc w:val="center"/>
              <w:rPr>
                <w:rFonts w:eastAsia="Times New Roman" w:cs="Arial"/>
                <w:color w:val="000000"/>
                <w:sz w:val="16"/>
                <w:szCs w:val="16"/>
                <w:lang w:eastAsia="pt-BR"/>
              </w:rPr>
            </w:pPr>
            <w:r w:rsidRPr="0004496F">
              <w:rPr>
                <w:rFonts w:eastAsia="Times New Roman" w:cs="Arial"/>
                <w:color w:val="000000"/>
                <w:sz w:val="16"/>
                <w:szCs w:val="16"/>
                <w:lang w:eastAsia="pt-BR"/>
              </w:rPr>
              <w:t>AT</w:t>
            </w:r>
            <w:r w:rsidR="0004496F">
              <w:rPr>
                <w:rFonts w:eastAsia="Times New Roman" w:cs="Arial"/>
                <w:color w:val="000000"/>
                <w:sz w:val="16"/>
                <w:szCs w:val="16"/>
                <w:lang w:eastAsia="pt-BR"/>
              </w:rPr>
              <w:t>-</w:t>
            </w:r>
            <w:r w:rsidRPr="0004496F">
              <w:rPr>
                <w:rFonts w:eastAsia="Times New Roman" w:cs="Arial"/>
                <w:color w:val="000000"/>
                <w:sz w:val="16"/>
                <w:szCs w:val="16"/>
                <w:lang w:eastAsia="pt-BR"/>
              </w:rPr>
              <w:t>102A</w:t>
            </w:r>
          </w:p>
        </w:tc>
        <w:tc>
          <w:tcPr>
            <w:tcW w:w="2286" w:type="dxa"/>
            <w:tcBorders>
              <w:top w:val="nil"/>
              <w:left w:val="nil"/>
              <w:bottom w:val="single" w:sz="4" w:space="0" w:color="auto"/>
              <w:right w:val="single" w:sz="4" w:space="0" w:color="auto"/>
            </w:tcBorders>
            <w:shd w:val="clear" w:color="000000" w:fill="FFFFFF"/>
            <w:vAlign w:val="center"/>
            <w:hideMark/>
          </w:tcPr>
          <w:p w:rsidR="00C37999" w:rsidRPr="0004496F" w:rsidRDefault="00C37999" w:rsidP="0004496F">
            <w:pPr>
              <w:spacing w:after="0"/>
              <w:jc w:val="center"/>
              <w:rPr>
                <w:rFonts w:eastAsia="Times New Roman" w:cs="Arial"/>
                <w:b/>
                <w:bCs/>
                <w:color w:val="000000"/>
                <w:sz w:val="16"/>
                <w:szCs w:val="16"/>
                <w:lang w:eastAsia="pt-BR"/>
              </w:rPr>
            </w:pPr>
            <w:r w:rsidRPr="0004496F">
              <w:rPr>
                <w:rFonts w:eastAsia="Times New Roman" w:cs="Arial"/>
                <w:b/>
                <w:bCs/>
                <w:color w:val="000000"/>
                <w:sz w:val="16"/>
                <w:szCs w:val="16"/>
                <w:lang w:eastAsia="pt-BR"/>
              </w:rPr>
              <w:t>20</w:t>
            </w:r>
          </w:p>
        </w:tc>
        <w:tc>
          <w:tcPr>
            <w:tcW w:w="2249" w:type="dxa"/>
            <w:tcBorders>
              <w:top w:val="nil"/>
              <w:left w:val="nil"/>
              <w:bottom w:val="single" w:sz="4" w:space="0" w:color="auto"/>
              <w:right w:val="single" w:sz="4" w:space="0" w:color="auto"/>
            </w:tcBorders>
            <w:shd w:val="clear" w:color="000000" w:fill="FFFFFF"/>
            <w:vAlign w:val="center"/>
            <w:hideMark/>
          </w:tcPr>
          <w:p w:rsidR="00C37999" w:rsidRPr="0004496F" w:rsidRDefault="00C37999" w:rsidP="0004496F">
            <w:pPr>
              <w:spacing w:after="0"/>
              <w:jc w:val="center"/>
              <w:rPr>
                <w:rFonts w:eastAsia="Times New Roman" w:cs="Arial"/>
                <w:b/>
                <w:bCs/>
                <w:color w:val="000000"/>
                <w:sz w:val="16"/>
                <w:szCs w:val="16"/>
                <w:lang w:eastAsia="pt-BR"/>
              </w:rPr>
            </w:pPr>
            <w:r w:rsidRPr="0004496F">
              <w:rPr>
                <w:rFonts w:eastAsia="Times New Roman" w:cs="Arial"/>
                <w:b/>
                <w:bCs/>
                <w:color w:val="000000"/>
                <w:sz w:val="16"/>
                <w:szCs w:val="16"/>
                <w:lang w:eastAsia="pt-BR"/>
              </w:rPr>
              <w:t>713</w:t>
            </w:r>
          </w:p>
        </w:tc>
      </w:tr>
      <w:tr w:rsidR="00C37999" w:rsidRPr="0004496F" w:rsidTr="00771A0C">
        <w:trPr>
          <w:cantSplit/>
          <w:trHeight w:val="284"/>
          <w:jc w:val="center"/>
        </w:trPr>
        <w:tc>
          <w:tcPr>
            <w:tcW w:w="1394" w:type="dxa"/>
            <w:tcBorders>
              <w:top w:val="nil"/>
              <w:left w:val="single" w:sz="4" w:space="0" w:color="auto"/>
              <w:bottom w:val="single" w:sz="4" w:space="0" w:color="auto"/>
              <w:right w:val="single" w:sz="4" w:space="0" w:color="auto"/>
            </w:tcBorders>
            <w:shd w:val="clear" w:color="auto" w:fill="auto"/>
            <w:noWrap/>
            <w:vAlign w:val="center"/>
            <w:hideMark/>
          </w:tcPr>
          <w:p w:rsidR="00C37999" w:rsidRPr="0004496F" w:rsidRDefault="00C37999" w:rsidP="0004496F">
            <w:pPr>
              <w:spacing w:after="0"/>
              <w:jc w:val="center"/>
              <w:rPr>
                <w:rFonts w:eastAsia="Times New Roman" w:cs="Arial"/>
                <w:color w:val="000000"/>
                <w:sz w:val="16"/>
                <w:szCs w:val="16"/>
                <w:lang w:eastAsia="pt-BR"/>
              </w:rPr>
            </w:pPr>
            <w:r w:rsidRPr="0004496F">
              <w:rPr>
                <w:rFonts w:eastAsia="Times New Roman" w:cs="Arial"/>
                <w:color w:val="000000"/>
                <w:sz w:val="16"/>
                <w:szCs w:val="16"/>
                <w:lang w:eastAsia="pt-BR"/>
              </w:rPr>
              <w:t>AT</w:t>
            </w:r>
            <w:r w:rsidR="0004496F">
              <w:rPr>
                <w:rFonts w:eastAsia="Times New Roman" w:cs="Arial"/>
                <w:color w:val="000000"/>
                <w:sz w:val="16"/>
                <w:szCs w:val="16"/>
                <w:lang w:eastAsia="pt-BR"/>
              </w:rPr>
              <w:t>-</w:t>
            </w:r>
            <w:r w:rsidRPr="0004496F">
              <w:rPr>
                <w:rFonts w:eastAsia="Times New Roman" w:cs="Arial"/>
                <w:color w:val="000000"/>
                <w:sz w:val="16"/>
                <w:szCs w:val="16"/>
                <w:lang w:eastAsia="pt-BR"/>
              </w:rPr>
              <w:t>301</w:t>
            </w:r>
          </w:p>
        </w:tc>
        <w:tc>
          <w:tcPr>
            <w:tcW w:w="2286" w:type="dxa"/>
            <w:tcBorders>
              <w:top w:val="nil"/>
              <w:left w:val="nil"/>
              <w:bottom w:val="single" w:sz="4" w:space="0" w:color="auto"/>
              <w:right w:val="single" w:sz="4" w:space="0" w:color="auto"/>
            </w:tcBorders>
            <w:shd w:val="clear" w:color="000000" w:fill="FFFFFF"/>
            <w:vAlign w:val="center"/>
            <w:hideMark/>
          </w:tcPr>
          <w:p w:rsidR="00C37999" w:rsidRPr="0004496F" w:rsidRDefault="00C37999" w:rsidP="0004496F">
            <w:pPr>
              <w:spacing w:after="0"/>
              <w:jc w:val="center"/>
              <w:rPr>
                <w:rFonts w:eastAsia="Times New Roman" w:cs="Arial"/>
                <w:b/>
                <w:bCs/>
                <w:color w:val="000000"/>
                <w:sz w:val="16"/>
                <w:szCs w:val="16"/>
                <w:lang w:eastAsia="pt-BR"/>
              </w:rPr>
            </w:pPr>
            <w:r w:rsidRPr="0004496F">
              <w:rPr>
                <w:rFonts w:eastAsia="Times New Roman" w:cs="Arial"/>
                <w:b/>
                <w:bCs/>
                <w:color w:val="000000"/>
                <w:sz w:val="16"/>
                <w:szCs w:val="16"/>
                <w:lang w:eastAsia="pt-BR"/>
              </w:rPr>
              <w:t>16</w:t>
            </w:r>
          </w:p>
        </w:tc>
        <w:tc>
          <w:tcPr>
            <w:tcW w:w="2249" w:type="dxa"/>
            <w:tcBorders>
              <w:top w:val="nil"/>
              <w:left w:val="nil"/>
              <w:bottom w:val="single" w:sz="4" w:space="0" w:color="auto"/>
              <w:right w:val="single" w:sz="4" w:space="0" w:color="auto"/>
            </w:tcBorders>
            <w:shd w:val="clear" w:color="000000" w:fill="FFFFFF"/>
            <w:vAlign w:val="center"/>
            <w:hideMark/>
          </w:tcPr>
          <w:p w:rsidR="00C37999" w:rsidRPr="0004496F" w:rsidRDefault="00C37999" w:rsidP="0004496F">
            <w:pPr>
              <w:spacing w:after="0"/>
              <w:jc w:val="center"/>
              <w:rPr>
                <w:rFonts w:eastAsia="Times New Roman" w:cs="Arial"/>
                <w:b/>
                <w:bCs/>
                <w:color w:val="000000"/>
                <w:sz w:val="16"/>
                <w:szCs w:val="16"/>
                <w:lang w:eastAsia="pt-BR"/>
              </w:rPr>
            </w:pPr>
            <w:r w:rsidRPr="0004496F">
              <w:rPr>
                <w:rFonts w:eastAsia="Times New Roman" w:cs="Arial"/>
                <w:b/>
                <w:bCs/>
                <w:color w:val="000000"/>
                <w:sz w:val="16"/>
                <w:szCs w:val="16"/>
                <w:lang w:eastAsia="pt-BR"/>
              </w:rPr>
              <w:t>350</w:t>
            </w:r>
          </w:p>
        </w:tc>
      </w:tr>
      <w:tr w:rsidR="00C37999" w:rsidRPr="0004496F" w:rsidTr="00771A0C">
        <w:trPr>
          <w:cantSplit/>
          <w:trHeight w:val="284"/>
          <w:jc w:val="center"/>
        </w:trPr>
        <w:tc>
          <w:tcPr>
            <w:tcW w:w="1394" w:type="dxa"/>
            <w:tcBorders>
              <w:top w:val="nil"/>
              <w:left w:val="single" w:sz="4" w:space="0" w:color="auto"/>
              <w:bottom w:val="single" w:sz="4" w:space="0" w:color="auto"/>
              <w:right w:val="single" w:sz="4" w:space="0" w:color="auto"/>
            </w:tcBorders>
            <w:shd w:val="clear" w:color="000000" w:fill="BFBFBF"/>
            <w:noWrap/>
            <w:vAlign w:val="center"/>
            <w:hideMark/>
          </w:tcPr>
          <w:p w:rsidR="00C37999" w:rsidRPr="0004496F" w:rsidRDefault="00C37999" w:rsidP="0004496F">
            <w:pPr>
              <w:spacing w:after="0"/>
              <w:rPr>
                <w:rFonts w:eastAsia="Times New Roman" w:cs="Arial"/>
                <w:color w:val="000000"/>
                <w:sz w:val="16"/>
                <w:szCs w:val="16"/>
                <w:lang w:eastAsia="pt-BR"/>
              </w:rPr>
            </w:pPr>
            <w:r w:rsidRPr="0004496F">
              <w:rPr>
                <w:rFonts w:eastAsia="Times New Roman" w:cs="Arial"/>
                <w:color w:val="000000"/>
                <w:sz w:val="16"/>
                <w:szCs w:val="16"/>
                <w:lang w:eastAsia="pt-BR"/>
              </w:rPr>
              <w:t> </w:t>
            </w:r>
          </w:p>
        </w:tc>
        <w:tc>
          <w:tcPr>
            <w:tcW w:w="2286" w:type="dxa"/>
            <w:tcBorders>
              <w:top w:val="nil"/>
              <w:left w:val="nil"/>
              <w:bottom w:val="single" w:sz="4" w:space="0" w:color="auto"/>
              <w:right w:val="single" w:sz="4" w:space="0" w:color="auto"/>
            </w:tcBorders>
            <w:shd w:val="clear" w:color="000000" w:fill="BFBFBF"/>
            <w:noWrap/>
            <w:vAlign w:val="center"/>
            <w:hideMark/>
          </w:tcPr>
          <w:p w:rsidR="00C37999" w:rsidRPr="0004496F" w:rsidRDefault="00C37999" w:rsidP="0004496F">
            <w:pPr>
              <w:spacing w:after="0"/>
              <w:rPr>
                <w:rFonts w:eastAsia="Times New Roman" w:cs="Arial"/>
                <w:color w:val="000000"/>
                <w:sz w:val="16"/>
                <w:szCs w:val="16"/>
                <w:lang w:eastAsia="pt-BR"/>
              </w:rPr>
            </w:pPr>
            <w:r w:rsidRPr="0004496F">
              <w:rPr>
                <w:rFonts w:eastAsia="Times New Roman" w:cs="Arial"/>
                <w:color w:val="000000"/>
                <w:sz w:val="16"/>
                <w:szCs w:val="16"/>
                <w:lang w:eastAsia="pt-BR"/>
              </w:rPr>
              <w:t> </w:t>
            </w:r>
          </w:p>
        </w:tc>
        <w:tc>
          <w:tcPr>
            <w:tcW w:w="2249" w:type="dxa"/>
            <w:tcBorders>
              <w:top w:val="nil"/>
              <w:left w:val="nil"/>
              <w:bottom w:val="single" w:sz="4" w:space="0" w:color="auto"/>
              <w:right w:val="single" w:sz="4" w:space="0" w:color="auto"/>
            </w:tcBorders>
            <w:shd w:val="clear" w:color="000000" w:fill="BFBFBF"/>
            <w:noWrap/>
            <w:vAlign w:val="center"/>
            <w:hideMark/>
          </w:tcPr>
          <w:p w:rsidR="00C37999" w:rsidRPr="0004496F" w:rsidRDefault="00C37999" w:rsidP="0004496F">
            <w:pPr>
              <w:spacing w:after="0"/>
              <w:rPr>
                <w:rFonts w:eastAsia="Times New Roman" w:cs="Arial"/>
                <w:color w:val="000000"/>
                <w:sz w:val="16"/>
                <w:szCs w:val="16"/>
                <w:lang w:eastAsia="pt-BR"/>
              </w:rPr>
            </w:pPr>
            <w:r w:rsidRPr="0004496F">
              <w:rPr>
                <w:rFonts w:eastAsia="Times New Roman" w:cs="Arial"/>
                <w:color w:val="000000"/>
                <w:sz w:val="16"/>
                <w:szCs w:val="16"/>
                <w:lang w:eastAsia="pt-BR"/>
              </w:rPr>
              <w:t> </w:t>
            </w:r>
          </w:p>
        </w:tc>
      </w:tr>
      <w:tr w:rsidR="00C37999" w:rsidRPr="0004496F" w:rsidTr="00771A0C">
        <w:trPr>
          <w:cantSplit/>
          <w:trHeight w:val="284"/>
          <w:jc w:val="center"/>
        </w:trPr>
        <w:tc>
          <w:tcPr>
            <w:tcW w:w="1394" w:type="dxa"/>
            <w:tcBorders>
              <w:top w:val="nil"/>
              <w:left w:val="single" w:sz="4" w:space="0" w:color="auto"/>
              <w:bottom w:val="single" w:sz="4" w:space="0" w:color="auto"/>
              <w:right w:val="single" w:sz="4" w:space="0" w:color="auto"/>
            </w:tcBorders>
            <w:shd w:val="clear" w:color="auto" w:fill="auto"/>
            <w:noWrap/>
            <w:vAlign w:val="center"/>
            <w:hideMark/>
          </w:tcPr>
          <w:p w:rsidR="00C37999" w:rsidRPr="0004496F" w:rsidRDefault="00C37999" w:rsidP="0004496F">
            <w:pPr>
              <w:spacing w:after="0"/>
              <w:jc w:val="center"/>
              <w:rPr>
                <w:rFonts w:eastAsia="Times New Roman" w:cs="Arial"/>
                <w:color w:val="000000"/>
                <w:sz w:val="16"/>
                <w:szCs w:val="16"/>
                <w:lang w:eastAsia="pt-BR"/>
              </w:rPr>
            </w:pPr>
            <w:r w:rsidRPr="0004496F">
              <w:rPr>
                <w:rFonts w:eastAsia="Times New Roman" w:cs="Arial"/>
                <w:color w:val="000000"/>
                <w:sz w:val="16"/>
                <w:szCs w:val="16"/>
                <w:lang w:eastAsia="pt-BR"/>
              </w:rPr>
              <w:t>IG</w:t>
            </w:r>
            <w:r w:rsidR="0004496F">
              <w:rPr>
                <w:rFonts w:eastAsia="Times New Roman" w:cs="Arial"/>
                <w:color w:val="000000"/>
                <w:sz w:val="16"/>
                <w:szCs w:val="16"/>
                <w:lang w:eastAsia="pt-BR"/>
              </w:rPr>
              <w:t>-</w:t>
            </w:r>
            <w:r w:rsidRPr="0004496F">
              <w:rPr>
                <w:rFonts w:eastAsia="Times New Roman" w:cs="Arial"/>
                <w:color w:val="000000"/>
                <w:sz w:val="16"/>
                <w:szCs w:val="16"/>
                <w:lang w:eastAsia="pt-BR"/>
              </w:rPr>
              <w:t>102</w:t>
            </w:r>
          </w:p>
        </w:tc>
        <w:tc>
          <w:tcPr>
            <w:tcW w:w="2286" w:type="dxa"/>
            <w:tcBorders>
              <w:top w:val="nil"/>
              <w:left w:val="nil"/>
              <w:bottom w:val="single" w:sz="4" w:space="0" w:color="auto"/>
              <w:right w:val="single" w:sz="4" w:space="0" w:color="auto"/>
            </w:tcBorders>
            <w:shd w:val="clear" w:color="auto" w:fill="auto"/>
            <w:noWrap/>
            <w:vAlign w:val="center"/>
            <w:hideMark/>
          </w:tcPr>
          <w:p w:rsidR="00C37999" w:rsidRPr="000108B1" w:rsidRDefault="00C37999" w:rsidP="0004496F">
            <w:pPr>
              <w:spacing w:after="0"/>
              <w:jc w:val="center"/>
              <w:rPr>
                <w:rFonts w:eastAsia="Times New Roman" w:cs="Arial"/>
                <w:b/>
                <w:color w:val="000000"/>
                <w:sz w:val="16"/>
                <w:szCs w:val="16"/>
                <w:lang w:eastAsia="pt-BR"/>
              </w:rPr>
            </w:pPr>
            <w:r w:rsidRPr="000108B1">
              <w:rPr>
                <w:rFonts w:eastAsia="Times New Roman" w:cs="Arial"/>
                <w:b/>
                <w:color w:val="000000"/>
                <w:sz w:val="16"/>
                <w:szCs w:val="16"/>
                <w:lang w:eastAsia="pt-BR"/>
              </w:rPr>
              <w:t>4</w:t>
            </w:r>
          </w:p>
        </w:tc>
        <w:tc>
          <w:tcPr>
            <w:tcW w:w="2249" w:type="dxa"/>
            <w:tcBorders>
              <w:top w:val="nil"/>
              <w:left w:val="nil"/>
              <w:bottom w:val="single" w:sz="4" w:space="0" w:color="auto"/>
              <w:right w:val="single" w:sz="4" w:space="0" w:color="auto"/>
            </w:tcBorders>
            <w:shd w:val="clear" w:color="auto" w:fill="auto"/>
            <w:noWrap/>
            <w:vAlign w:val="center"/>
            <w:hideMark/>
          </w:tcPr>
          <w:p w:rsidR="00C37999" w:rsidRPr="000108B1" w:rsidRDefault="00C37999" w:rsidP="0004496F">
            <w:pPr>
              <w:spacing w:after="0"/>
              <w:jc w:val="center"/>
              <w:rPr>
                <w:rFonts w:eastAsia="Times New Roman" w:cs="Arial"/>
                <w:b/>
                <w:color w:val="000000"/>
                <w:sz w:val="16"/>
                <w:szCs w:val="16"/>
                <w:lang w:eastAsia="pt-BR"/>
              </w:rPr>
            </w:pPr>
            <w:r w:rsidRPr="000108B1">
              <w:rPr>
                <w:rFonts w:eastAsia="Times New Roman" w:cs="Arial"/>
                <w:b/>
                <w:color w:val="000000"/>
                <w:sz w:val="16"/>
                <w:szCs w:val="16"/>
                <w:lang w:eastAsia="pt-BR"/>
              </w:rPr>
              <w:t>1</w:t>
            </w:r>
            <w:r w:rsidR="00771A0C">
              <w:rPr>
                <w:rFonts w:eastAsia="Times New Roman" w:cs="Arial"/>
                <w:b/>
                <w:color w:val="000000"/>
                <w:sz w:val="16"/>
                <w:szCs w:val="16"/>
                <w:lang w:eastAsia="pt-BR"/>
              </w:rPr>
              <w:t>.</w:t>
            </w:r>
            <w:r w:rsidRPr="000108B1">
              <w:rPr>
                <w:rFonts w:eastAsia="Times New Roman" w:cs="Arial"/>
                <w:b/>
                <w:color w:val="000000"/>
                <w:sz w:val="16"/>
                <w:szCs w:val="16"/>
                <w:lang w:eastAsia="pt-BR"/>
              </w:rPr>
              <w:t>148</w:t>
            </w:r>
          </w:p>
        </w:tc>
      </w:tr>
      <w:tr w:rsidR="0004496F" w:rsidRPr="0004496F" w:rsidTr="00771A0C">
        <w:trPr>
          <w:cantSplit/>
          <w:trHeight w:val="284"/>
          <w:jc w:val="center"/>
        </w:trPr>
        <w:tc>
          <w:tcPr>
            <w:tcW w:w="1394" w:type="dxa"/>
            <w:tcBorders>
              <w:top w:val="nil"/>
              <w:left w:val="single" w:sz="4" w:space="0" w:color="auto"/>
              <w:bottom w:val="single" w:sz="4" w:space="0" w:color="auto"/>
              <w:right w:val="single" w:sz="4" w:space="0" w:color="auto"/>
            </w:tcBorders>
            <w:shd w:val="clear" w:color="auto" w:fill="auto"/>
            <w:noWrap/>
            <w:vAlign w:val="center"/>
            <w:hideMark/>
          </w:tcPr>
          <w:p w:rsidR="0004496F" w:rsidRPr="0004496F" w:rsidRDefault="0004496F" w:rsidP="0004496F">
            <w:pPr>
              <w:spacing w:after="0"/>
              <w:jc w:val="center"/>
              <w:rPr>
                <w:rFonts w:eastAsia="Times New Roman" w:cs="Arial"/>
                <w:color w:val="000000"/>
                <w:sz w:val="16"/>
                <w:szCs w:val="16"/>
                <w:lang w:eastAsia="pt-BR"/>
              </w:rPr>
            </w:pPr>
            <w:r w:rsidRPr="0004496F">
              <w:rPr>
                <w:rFonts w:eastAsia="Times New Roman" w:cs="Arial"/>
                <w:color w:val="000000"/>
                <w:sz w:val="16"/>
                <w:szCs w:val="16"/>
                <w:lang w:eastAsia="pt-BR"/>
              </w:rPr>
              <w:t>IG</w:t>
            </w:r>
            <w:r>
              <w:rPr>
                <w:rFonts w:eastAsia="Times New Roman" w:cs="Arial"/>
                <w:color w:val="000000"/>
                <w:sz w:val="16"/>
                <w:szCs w:val="16"/>
                <w:lang w:eastAsia="pt-BR"/>
              </w:rPr>
              <w:t>-</w:t>
            </w:r>
            <w:r w:rsidR="00772203">
              <w:rPr>
                <w:rFonts w:eastAsia="Times New Roman" w:cs="Arial"/>
                <w:color w:val="000000"/>
                <w:sz w:val="16"/>
                <w:szCs w:val="16"/>
                <w:lang w:eastAsia="pt-BR"/>
              </w:rPr>
              <w:t>101</w:t>
            </w:r>
            <w:r w:rsidRPr="0004496F">
              <w:rPr>
                <w:rFonts w:eastAsia="Times New Roman" w:cs="Arial"/>
                <w:color w:val="000000"/>
                <w:sz w:val="16"/>
                <w:szCs w:val="16"/>
                <w:lang w:eastAsia="pt-BR"/>
              </w:rPr>
              <w:t>A</w:t>
            </w:r>
          </w:p>
        </w:tc>
        <w:tc>
          <w:tcPr>
            <w:tcW w:w="2286" w:type="dxa"/>
            <w:tcBorders>
              <w:top w:val="nil"/>
              <w:left w:val="nil"/>
              <w:bottom w:val="single" w:sz="4" w:space="0" w:color="auto"/>
              <w:right w:val="single" w:sz="4" w:space="0" w:color="auto"/>
            </w:tcBorders>
            <w:shd w:val="clear" w:color="000000" w:fill="FFFFFF"/>
            <w:vAlign w:val="center"/>
            <w:hideMark/>
          </w:tcPr>
          <w:p w:rsidR="0004496F" w:rsidRPr="0004496F" w:rsidRDefault="0004496F" w:rsidP="0004496F">
            <w:pPr>
              <w:spacing w:after="0"/>
              <w:jc w:val="center"/>
              <w:rPr>
                <w:rFonts w:eastAsia="Times New Roman" w:cs="Arial"/>
                <w:b/>
                <w:bCs/>
                <w:color w:val="000000"/>
                <w:sz w:val="16"/>
                <w:szCs w:val="16"/>
                <w:lang w:eastAsia="pt-BR"/>
              </w:rPr>
            </w:pPr>
            <w:r w:rsidRPr="0004496F">
              <w:rPr>
                <w:rFonts w:eastAsia="Times New Roman" w:cs="Arial"/>
                <w:b/>
                <w:bCs/>
                <w:color w:val="000000"/>
                <w:sz w:val="16"/>
                <w:szCs w:val="16"/>
                <w:lang w:eastAsia="pt-BR"/>
              </w:rPr>
              <w:t>9</w:t>
            </w:r>
          </w:p>
        </w:tc>
        <w:tc>
          <w:tcPr>
            <w:tcW w:w="2249" w:type="dxa"/>
            <w:tcBorders>
              <w:top w:val="nil"/>
              <w:left w:val="nil"/>
              <w:bottom w:val="single" w:sz="4" w:space="0" w:color="auto"/>
              <w:right w:val="single" w:sz="4" w:space="0" w:color="auto"/>
            </w:tcBorders>
            <w:shd w:val="clear" w:color="000000" w:fill="FFFFFF"/>
            <w:vAlign w:val="center"/>
            <w:hideMark/>
          </w:tcPr>
          <w:p w:rsidR="0004496F" w:rsidRPr="0004496F" w:rsidRDefault="0004496F" w:rsidP="0004496F">
            <w:pPr>
              <w:spacing w:after="0"/>
              <w:jc w:val="center"/>
              <w:rPr>
                <w:rFonts w:eastAsia="Times New Roman" w:cs="Arial"/>
                <w:b/>
                <w:bCs/>
                <w:color w:val="000000"/>
                <w:sz w:val="16"/>
                <w:szCs w:val="16"/>
                <w:lang w:eastAsia="pt-BR"/>
              </w:rPr>
            </w:pPr>
            <w:r w:rsidRPr="0004496F">
              <w:rPr>
                <w:rFonts w:eastAsia="Times New Roman" w:cs="Arial"/>
                <w:b/>
                <w:bCs/>
                <w:color w:val="000000"/>
                <w:sz w:val="16"/>
                <w:szCs w:val="16"/>
                <w:lang w:eastAsia="pt-BR"/>
              </w:rPr>
              <w:t>372</w:t>
            </w:r>
          </w:p>
        </w:tc>
      </w:tr>
      <w:tr w:rsidR="00C37999" w:rsidRPr="0004496F" w:rsidTr="00771A0C">
        <w:trPr>
          <w:cantSplit/>
          <w:trHeight w:val="284"/>
          <w:jc w:val="center"/>
        </w:trPr>
        <w:tc>
          <w:tcPr>
            <w:tcW w:w="1394" w:type="dxa"/>
            <w:tcBorders>
              <w:top w:val="nil"/>
              <w:left w:val="single" w:sz="4" w:space="0" w:color="auto"/>
              <w:bottom w:val="single" w:sz="4" w:space="0" w:color="auto"/>
              <w:right w:val="single" w:sz="4" w:space="0" w:color="auto"/>
            </w:tcBorders>
            <w:shd w:val="clear" w:color="auto" w:fill="auto"/>
            <w:noWrap/>
            <w:vAlign w:val="center"/>
            <w:hideMark/>
          </w:tcPr>
          <w:p w:rsidR="00C37999" w:rsidRPr="0004496F" w:rsidRDefault="00C37999" w:rsidP="0004496F">
            <w:pPr>
              <w:spacing w:after="0"/>
              <w:jc w:val="center"/>
              <w:rPr>
                <w:rFonts w:eastAsia="Times New Roman" w:cs="Arial"/>
                <w:color w:val="000000"/>
                <w:sz w:val="16"/>
                <w:szCs w:val="16"/>
                <w:lang w:eastAsia="pt-BR"/>
              </w:rPr>
            </w:pPr>
            <w:r w:rsidRPr="0004496F">
              <w:rPr>
                <w:rFonts w:eastAsia="Times New Roman" w:cs="Arial"/>
                <w:color w:val="000000"/>
                <w:sz w:val="16"/>
                <w:szCs w:val="16"/>
                <w:lang w:eastAsia="pt-BR"/>
              </w:rPr>
              <w:t xml:space="preserve"> IG</w:t>
            </w:r>
            <w:r w:rsidR="0004496F">
              <w:rPr>
                <w:rFonts w:eastAsia="Times New Roman" w:cs="Arial"/>
                <w:color w:val="000000"/>
                <w:sz w:val="16"/>
                <w:szCs w:val="16"/>
                <w:lang w:eastAsia="pt-BR"/>
              </w:rPr>
              <w:t>-</w:t>
            </w:r>
            <w:r w:rsidRPr="0004496F">
              <w:rPr>
                <w:rFonts w:eastAsia="Times New Roman" w:cs="Arial"/>
                <w:color w:val="000000"/>
                <w:sz w:val="16"/>
                <w:szCs w:val="16"/>
                <w:lang w:eastAsia="pt-BR"/>
              </w:rPr>
              <w:t xml:space="preserve">101 </w:t>
            </w:r>
          </w:p>
        </w:tc>
        <w:tc>
          <w:tcPr>
            <w:tcW w:w="2286" w:type="dxa"/>
            <w:tcBorders>
              <w:top w:val="nil"/>
              <w:left w:val="nil"/>
              <w:bottom w:val="single" w:sz="4" w:space="0" w:color="auto"/>
              <w:right w:val="single" w:sz="4" w:space="0" w:color="auto"/>
            </w:tcBorders>
            <w:shd w:val="clear" w:color="000000" w:fill="FFFFFF"/>
            <w:vAlign w:val="center"/>
            <w:hideMark/>
          </w:tcPr>
          <w:p w:rsidR="00C37999" w:rsidRPr="0004496F" w:rsidRDefault="00C37999" w:rsidP="0004496F">
            <w:pPr>
              <w:spacing w:after="0"/>
              <w:jc w:val="center"/>
              <w:rPr>
                <w:rFonts w:eastAsia="Times New Roman" w:cs="Arial"/>
                <w:b/>
                <w:bCs/>
                <w:color w:val="000000"/>
                <w:sz w:val="16"/>
                <w:szCs w:val="16"/>
                <w:lang w:eastAsia="pt-BR"/>
              </w:rPr>
            </w:pPr>
            <w:r w:rsidRPr="0004496F">
              <w:rPr>
                <w:rFonts w:eastAsia="Times New Roman" w:cs="Arial"/>
                <w:b/>
                <w:bCs/>
                <w:color w:val="000000"/>
                <w:sz w:val="16"/>
                <w:szCs w:val="16"/>
                <w:lang w:eastAsia="pt-BR"/>
              </w:rPr>
              <w:t>4</w:t>
            </w:r>
          </w:p>
        </w:tc>
        <w:tc>
          <w:tcPr>
            <w:tcW w:w="2249" w:type="dxa"/>
            <w:tcBorders>
              <w:top w:val="nil"/>
              <w:left w:val="nil"/>
              <w:bottom w:val="single" w:sz="4" w:space="0" w:color="auto"/>
              <w:right w:val="single" w:sz="4" w:space="0" w:color="auto"/>
            </w:tcBorders>
            <w:shd w:val="clear" w:color="000000" w:fill="FFFFFF"/>
            <w:vAlign w:val="center"/>
            <w:hideMark/>
          </w:tcPr>
          <w:p w:rsidR="00C37999" w:rsidRPr="0004496F" w:rsidRDefault="00C37999" w:rsidP="0004496F">
            <w:pPr>
              <w:spacing w:after="0"/>
              <w:jc w:val="center"/>
              <w:rPr>
                <w:rFonts w:eastAsia="Times New Roman" w:cs="Arial"/>
                <w:b/>
                <w:bCs/>
                <w:color w:val="000000"/>
                <w:sz w:val="16"/>
                <w:szCs w:val="16"/>
                <w:lang w:eastAsia="pt-BR"/>
              </w:rPr>
            </w:pPr>
            <w:r w:rsidRPr="0004496F">
              <w:rPr>
                <w:rFonts w:eastAsia="Times New Roman" w:cs="Arial"/>
                <w:b/>
                <w:bCs/>
                <w:color w:val="000000"/>
                <w:sz w:val="16"/>
                <w:szCs w:val="16"/>
                <w:lang w:eastAsia="pt-BR"/>
              </w:rPr>
              <w:t>53</w:t>
            </w:r>
          </w:p>
        </w:tc>
      </w:tr>
      <w:tr w:rsidR="00C37999" w:rsidRPr="0004496F" w:rsidTr="00771A0C">
        <w:trPr>
          <w:cantSplit/>
          <w:trHeight w:val="284"/>
          <w:jc w:val="center"/>
        </w:trPr>
        <w:tc>
          <w:tcPr>
            <w:tcW w:w="1394" w:type="dxa"/>
            <w:tcBorders>
              <w:top w:val="nil"/>
              <w:left w:val="single" w:sz="4" w:space="0" w:color="auto"/>
              <w:bottom w:val="single" w:sz="4" w:space="0" w:color="auto"/>
              <w:right w:val="single" w:sz="4" w:space="0" w:color="auto"/>
            </w:tcBorders>
            <w:shd w:val="clear" w:color="auto" w:fill="auto"/>
            <w:noWrap/>
            <w:vAlign w:val="center"/>
            <w:hideMark/>
          </w:tcPr>
          <w:p w:rsidR="00C37999" w:rsidRPr="0004496F" w:rsidRDefault="00C37999" w:rsidP="0004496F">
            <w:pPr>
              <w:spacing w:after="0"/>
              <w:jc w:val="center"/>
              <w:rPr>
                <w:rFonts w:eastAsia="Times New Roman" w:cs="Arial"/>
                <w:color w:val="000000"/>
                <w:sz w:val="16"/>
                <w:szCs w:val="16"/>
                <w:lang w:eastAsia="pt-BR"/>
              </w:rPr>
            </w:pPr>
            <w:r w:rsidRPr="0004496F">
              <w:rPr>
                <w:rFonts w:eastAsia="Times New Roman" w:cs="Arial"/>
                <w:color w:val="000000"/>
                <w:sz w:val="16"/>
                <w:szCs w:val="16"/>
                <w:lang w:eastAsia="pt-BR"/>
              </w:rPr>
              <w:t>IG</w:t>
            </w:r>
            <w:r w:rsidR="0004496F">
              <w:rPr>
                <w:rFonts w:eastAsia="Times New Roman" w:cs="Arial"/>
                <w:color w:val="000000"/>
                <w:sz w:val="16"/>
                <w:szCs w:val="16"/>
                <w:lang w:eastAsia="pt-BR"/>
              </w:rPr>
              <w:t>-</w:t>
            </w:r>
            <w:r w:rsidRPr="0004496F">
              <w:rPr>
                <w:rFonts w:eastAsia="Times New Roman" w:cs="Arial"/>
                <w:color w:val="000000"/>
                <w:sz w:val="16"/>
                <w:szCs w:val="16"/>
                <w:lang w:eastAsia="pt-BR"/>
              </w:rPr>
              <w:t>103</w:t>
            </w:r>
          </w:p>
        </w:tc>
        <w:tc>
          <w:tcPr>
            <w:tcW w:w="2286" w:type="dxa"/>
            <w:tcBorders>
              <w:top w:val="nil"/>
              <w:left w:val="nil"/>
              <w:bottom w:val="single" w:sz="4" w:space="0" w:color="auto"/>
              <w:right w:val="single" w:sz="4" w:space="0" w:color="auto"/>
            </w:tcBorders>
            <w:shd w:val="clear" w:color="000000" w:fill="FFFFFF"/>
            <w:vAlign w:val="center"/>
            <w:hideMark/>
          </w:tcPr>
          <w:p w:rsidR="00C37999" w:rsidRPr="0004496F" w:rsidRDefault="00C37999" w:rsidP="0004496F">
            <w:pPr>
              <w:spacing w:after="0"/>
              <w:jc w:val="center"/>
              <w:rPr>
                <w:rFonts w:eastAsia="Times New Roman" w:cs="Arial"/>
                <w:b/>
                <w:bCs/>
                <w:color w:val="000000"/>
                <w:sz w:val="16"/>
                <w:szCs w:val="16"/>
                <w:lang w:eastAsia="pt-BR"/>
              </w:rPr>
            </w:pPr>
            <w:r w:rsidRPr="0004496F">
              <w:rPr>
                <w:rFonts w:eastAsia="Times New Roman" w:cs="Arial"/>
                <w:b/>
                <w:bCs/>
                <w:color w:val="000000"/>
                <w:sz w:val="16"/>
                <w:szCs w:val="16"/>
                <w:lang w:eastAsia="pt-BR"/>
              </w:rPr>
              <w:t>8</w:t>
            </w:r>
          </w:p>
        </w:tc>
        <w:tc>
          <w:tcPr>
            <w:tcW w:w="2249" w:type="dxa"/>
            <w:tcBorders>
              <w:top w:val="nil"/>
              <w:left w:val="nil"/>
              <w:bottom w:val="single" w:sz="4" w:space="0" w:color="auto"/>
              <w:right w:val="single" w:sz="4" w:space="0" w:color="auto"/>
            </w:tcBorders>
            <w:shd w:val="clear" w:color="000000" w:fill="FFFFFF"/>
            <w:vAlign w:val="center"/>
            <w:hideMark/>
          </w:tcPr>
          <w:p w:rsidR="00C37999" w:rsidRPr="0004496F" w:rsidRDefault="00C37999" w:rsidP="0004496F">
            <w:pPr>
              <w:spacing w:after="0"/>
              <w:jc w:val="center"/>
              <w:rPr>
                <w:rFonts w:eastAsia="Times New Roman" w:cs="Arial"/>
                <w:b/>
                <w:bCs/>
                <w:color w:val="000000"/>
                <w:sz w:val="16"/>
                <w:szCs w:val="16"/>
                <w:lang w:eastAsia="pt-BR"/>
              </w:rPr>
            </w:pPr>
            <w:r w:rsidRPr="0004496F">
              <w:rPr>
                <w:rFonts w:eastAsia="Times New Roman" w:cs="Arial"/>
                <w:b/>
                <w:bCs/>
                <w:color w:val="000000"/>
                <w:sz w:val="16"/>
                <w:szCs w:val="16"/>
                <w:lang w:eastAsia="pt-BR"/>
              </w:rPr>
              <w:t>330</w:t>
            </w:r>
          </w:p>
        </w:tc>
      </w:tr>
      <w:tr w:rsidR="00C37999" w:rsidRPr="0004496F" w:rsidTr="00771A0C">
        <w:trPr>
          <w:cantSplit/>
          <w:trHeight w:val="284"/>
          <w:jc w:val="center"/>
        </w:trPr>
        <w:tc>
          <w:tcPr>
            <w:tcW w:w="1394" w:type="dxa"/>
            <w:tcBorders>
              <w:top w:val="nil"/>
              <w:left w:val="single" w:sz="4" w:space="0" w:color="auto"/>
              <w:bottom w:val="single" w:sz="4" w:space="0" w:color="auto"/>
              <w:right w:val="single" w:sz="4" w:space="0" w:color="auto"/>
            </w:tcBorders>
            <w:shd w:val="clear" w:color="auto" w:fill="auto"/>
            <w:noWrap/>
            <w:vAlign w:val="center"/>
            <w:hideMark/>
          </w:tcPr>
          <w:p w:rsidR="00C37999" w:rsidRPr="0004496F" w:rsidRDefault="00C37999" w:rsidP="0004496F">
            <w:pPr>
              <w:spacing w:after="0"/>
              <w:jc w:val="center"/>
              <w:rPr>
                <w:rFonts w:eastAsia="Times New Roman" w:cs="Arial"/>
                <w:color w:val="000000"/>
                <w:sz w:val="16"/>
                <w:szCs w:val="16"/>
                <w:lang w:eastAsia="pt-BR"/>
              </w:rPr>
            </w:pPr>
            <w:r w:rsidRPr="0004496F">
              <w:rPr>
                <w:rFonts w:eastAsia="Times New Roman" w:cs="Arial"/>
                <w:color w:val="000000"/>
                <w:sz w:val="16"/>
                <w:szCs w:val="16"/>
                <w:lang w:eastAsia="pt-BR"/>
              </w:rPr>
              <w:t>IG</w:t>
            </w:r>
            <w:r w:rsidR="0004496F">
              <w:rPr>
                <w:rFonts w:eastAsia="Times New Roman" w:cs="Arial"/>
                <w:color w:val="000000"/>
                <w:sz w:val="16"/>
                <w:szCs w:val="16"/>
                <w:lang w:eastAsia="pt-BR"/>
              </w:rPr>
              <w:t>-</w:t>
            </w:r>
            <w:r w:rsidRPr="0004496F">
              <w:rPr>
                <w:rFonts w:eastAsia="Times New Roman" w:cs="Arial"/>
                <w:color w:val="000000"/>
                <w:sz w:val="16"/>
                <w:szCs w:val="16"/>
                <w:lang w:eastAsia="pt-BR"/>
              </w:rPr>
              <w:t>104</w:t>
            </w:r>
          </w:p>
        </w:tc>
        <w:tc>
          <w:tcPr>
            <w:tcW w:w="2286" w:type="dxa"/>
            <w:tcBorders>
              <w:top w:val="nil"/>
              <w:left w:val="nil"/>
              <w:bottom w:val="single" w:sz="4" w:space="0" w:color="auto"/>
              <w:right w:val="single" w:sz="4" w:space="0" w:color="auto"/>
            </w:tcBorders>
            <w:shd w:val="clear" w:color="000000" w:fill="FFFFFF"/>
            <w:vAlign w:val="center"/>
            <w:hideMark/>
          </w:tcPr>
          <w:p w:rsidR="00C37999" w:rsidRPr="0004496F" w:rsidRDefault="00C37999" w:rsidP="0004496F">
            <w:pPr>
              <w:spacing w:after="0"/>
              <w:jc w:val="center"/>
              <w:rPr>
                <w:rFonts w:eastAsia="Times New Roman" w:cs="Arial"/>
                <w:b/>
                <w:bCs/>
                <w:color w:val="000000"/>
                <w:sz w:val="16"/>
                <w:szCs w:val="16"/>
                <w:lang w:eastAsia="pt-BR"/>
              </w:rPr>
            </w:pPr>
            <w:r w:rsidRPr="0004496F">
              <w:rPr>
                <w:rFonts w:eastAsia="Times New Roman" w:cs="Arial"/>
                <w:b/>
                <w:bCs/>
                <w:color w:val="000000"/>
                <w:sz w:val="16"/>
                <w:szCs w:val="16"/>
                <w:lang w:eastAsia="pt-BR"/>
              </w:rPr>
              <w:t>5</w:t>
            </w:r>
          </w:p>
        </w:tc>
        <w:tc>
          <w:tcPr>
            <w:tcW w:w="2249" w:type="dxa"/>
            <w:tcBorders>
              <w:top w:val="nil"/>
              <w:left w:val="nil"/>
              <w:bottom w:val="single" w:sz="4" w:space="0" w:color="auto"/>
              <w:right w:val="single" w:sz="4" w:space="0" w:color="auto"/>
            </w:tcBorders>
            <w:shd w:val="clear" w:color="000000" w:fill="FFFFFF"/>
            <w:vAlign w:val="center"/>
            <w:hideMark/>
          </w:tcPr>
          <w:p w:rsidR="00C37999" w:rsidRPr="0004496F" w:rsidRDefault="00C37999" w:rsidP="0004496F">
            <w:pPr>
              <w:spacing w:after="0"/>
              <w:jc w:val="center"/>
              <w:rPr>
                <w:rFonts w:eastAsia="Times New Roman" w:cs="Arial"/>
                <w:b/>
                <w:bCs/>
                <w:color w:val="000000"/>
                <w:sz w:val="16"/>
                <w:szCs w:val="16"/>
                <w:lang w:eastAsia="pt-BR"/>
              </w:rPr>
            </w:pPr>
            <w:r w:rsidRPr="0004496F">
              <w:rPr>
                <w:rFonts w:eastAsia="Times New Roman" w:cs="Arial"/>
                <w:b/>
                <w:bCs/>
                <w:color w:val="000000"/>
                <w:sz w:val="16"/>
                <w:szCs w:val="16"/>
                <w:lang w:eastAsia="pt-BR"/>
              </w:rPr>
              <w:t>233</w:t>
            </w:r>
          </w:p>
        </w:tc>
      </w:tr>
    </w:tbl>
    <w:p w:rsidR="00C37999" w:rsidRDefault="00772203" w:rsidP="00772203">
      <w:pPr>
        <w:spacing w:before="120"/>
      </w:pPr>
      <w:r>
        <w:t>A diversidade e</w:t>
      </w:r>
      <w:r w:rsidR="00C37999">
        <w:t>m termos de zooplâncton (</w:t>
      </w:r>
      <w:r w:rsidR="00C37999" w:rsidRPr="000108B1">
        <w:rPr>
          <w:b/>
        </w:rPr>
        <w:t xml:space="preserve">Tabela </w:t>
      </w:r>
      <w:r w:rsidR="00633149">
        <w:rPr>
          <w:b/>
        </w:rPr>
        <w:t>6.4.</w:t>
      </w:r>
      <w:r w:rsidR="00B22B5F">
        <w:rPr>
          <w:b/>
        </w:rPr>
        <w:t>5-1</w:t>
      </w:r>
      <w:r w:rsidR="00330B1C">
        <w:rPr>
          <w:b/>
        </w:rPr>
        <w:t>2</w:t>
      </w:r>
      <w:r w:rsidR="00C37999">
        <w:t xml:space="preserve">) foi equivalente </w:t>
      </w:r>
      <w:r w:rsidR="00771A0C">
        <w:t xml:space="preserve">nos dois reservatórios </w:t>
      </w:r>
      <w:r w:rsidR="00C37999">
        <w:t>e a densidade foi mais elevada n</w:t>
      </w:r>
      <w:r>
        <w:t>a</w:t>
      </w:r>
      <w:r w:rsidR="00C37999">
        <w:t xml:space="preserve"> </w:t>
      </w:r>
      <w:r>
        <w:t xml:space="preserve">saída </w:t>
      </w:r>
      <w:r w:rsidR="00C37999">
        <w:t>do</w:t>
      </w:r>
      <w:r>
        <w:t xml:space="preserve"> reservatório</w:t>
      </w:r>
      <w:r w:rsidR="00C37999">
        <w:t xml:space="preserve"> Atibainha</w:t>
      </w:r>
      <w:r w:rsidRPr="00772203">
        <w:t xml:space="preserve"> </w:t>
      </w:r>
      <w:r>
        <w:t>pelo túnel 5 e</w:t>
      </w:r>
      <w:r w:rsidR="00C37999">
        <w:t>, principalmente</w:t>
      </w:r>
      <w:r>
        <w:t>,</w:t>
      </w:r>
      <w:r w:rsidR="00C37999">
        <w:t xml:space="preserve"> </w:t>
      </w:r>
      <w:r>
        <w:t>no setor de montante do braço d</w:t>
      </w:r>
      <w:r w:rsidR="00C37999">
        <w:t>o rio Jaguari</w:t>
      </w:r>
      <w:r>
        <w:t>,</w:t>
      </w:r>
      <w:r w:rsidR="00C37999">
        <w:t xml:space="preserve"> no </w:t>
      </w:r>
      <w:r>
        <w:t xml:space="preserve">reservatório </w:t>
      </w:r>
      <w:r w:rsidR="00C37999">
        <w:t>Jaguari/CESP.</w:t>
      </w:r>
    </w:p>
    <w:p w:rsidR="00C37999" w:rsidRDefault="00633149" w:rsidP="00772203">
      <w:pPr>
        <w:pStyle w:val="Quadro"/>
      </w:pPr>
      <w:r>
        <w:lastRenderedPageBreak/>
        <w:t>Tabela 6.4.</w:t>
      </w:r>
      <w:r w:rsidR="00B22B5F">
        <w:t>5-1</w:t>
      </w:r>
      <w:r w:rsidR="00330B1C">
        <w:t>2</w:t>
      </w:r>
      <w:r w:rsidR="00B22B5F">
        <w:t>.</w:t>
      </w:r>
      <w:r w:rsidR="00772203">
        <w:t xml:space="preserve"> </w:t>
      </w:r>
      <w:r w:rsidR="00C37999">
        <w:t>Zooplâncton -</w:t>
      </w:r>
      <w:r w:rsidR="00772203">
        <w:t xml:space="preserve"> </w:t>
      </w:r>
      <w:r w:rsidR="00C37999">
        <w:t>Comparação entre os reservatórios Atibainha e Jaguari/CESP</w:t>
      </w:r>
    </w:p>
    <w:tbl>
      <w:tblPr>
        <w:tblW w:w="6084"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376"/>
        <w:gridCol w:w="2376"/>
        <w:gridCol w:w="2332"/>
      </w:tblGrid>
      <w:tr w:rsidR="00C37999" w:rsidRPr="00772203" w:rsidTr="00CE02F0">
        <w:trPr>
          <w:cantSplit/>
          <w:trHeight w:val="284"/>
          <w:jc w:val="center"/>
        </w:trPr>
        <w:tc>
          <w:tcPr>
            <w:tcW w:w="1376" w:type="dxa"/>
            <w:shd w:val="clear" w:color="000000" w:fill="FF0000"/>
            <w:noWrap/>
            <w:vAlign w:val="center"/>
            <w:hideMark/>
          </w:tcPr>
          <w:p w:rsidR="00C37999" w:rsidRPr="00772203" w:rsidRDefault="00772203" w:rsidP="0004496F">
            <w:pPr>
              <w:spacing w:after="0"/>
              <w:rPr>
                <w:rFonts w:eastAsia="Times New Roman" w:cs="Arial"/>
                <w:b/>
                <w:color w:val="000000"/>
                <w:sz w:val="16"/>
                <w:szCs w:val="16"/>
                <w:lang w:eastAsia="pt-BR"/>
              </w:rPr>
            </w:pPr>
            <w:r w:rsidRPr="00772203">
              <w:rPr>
                <w:rFonts w:eastAsia="Times New Roman" w:cs="Arial"/>
                <w:b/>
                <w:color w:val="000000"/>
                <w:sz w:val="16"/>
                <w:szCs w:val="16"/>
                <w:lang w:eastAsia="pt-BR"/>
              </w:rPr>
              <w:t>ZOOPLÂNCTON</w:t>
            </w:r>
          </w:p>
        </w:tc>
        <w:tc>
          <w:tcPr>
            <w:tcW w:w="2376" w:type="dxa"/>
            <w:shd w:val="clear" w:color="000000" w:fill="A6A6A6"/>
            <w:vAlign w:val="center"/>
            <w:hideMark/>
          </w:tcPr>
          <w:p w:rsidR="00C37999" w:rsidRPr="00772203" w:rsidRDefault="00C37999" w:rsidP="0004496F">
            <w:pPr>
              <w:spacing w:after="0"/>
              <w:jc w:val="center"/>
              <w:rPr>
                <w:rFonts w:eastAsia="Times New Roman" w:cs="Arial"/>
                <w:b/>
                <w:color w:val="000000"/>
                <w:sz w:val="16"/>
                <w:szCs w:val="16"/>
                <w:lang w:eastAsia="pt-BR"/>
              </w:rPr>
            </w:pPr>
            <w:r w:rsidRPr="00772203">
              <w:rPr>
                <w:rFonts w:eastAsia="Times New Roman" w:cs="Arial"/>
                <w:b/>
                <w:color w:val="000000"/>
                <w:sz w:val="16"/>
                <w:szCs w:val="16"/>
                <w:lang w:eastAsia="pt-BR"/>
              </w:rPr>
              <w:t>ANÁLISE QUALITATIVA</w:t>
            </w:r>
          </w:p>
        </w:tc>
        <w:tc>
          <w:tcPr>
            <w:tcW w:w="2332" w:type="dxa"/>
            <w:shd w:val="clear" w:color="000000" w:fill="A6A6A6"/>
            <w:vAlign w:val="center"/>
            <w:hideMark/>
          </w:tcPr>
          <w:p w:rsidR="00C37999" w:rsidRPr="00772203" w:rsidRDefault="00C37999" w:rsidP="0004496F">
            <w:pPr>
              <w:spacing w:after="0"/>
              <w:jc w:val="center"/>
              <w:rPr>
                <w:rFonts w:eastAsia="Times New Roman" w:cs="Arial"/>
                <w:b/>
                <w:color w:val="000000"/>
                <w:sz w:val="16"/>
                <w:szCs w:val="16"/>
                <w:lang w:eastAsia="pt-BR"/>
              </w:rPr>
            </w:pPr>
            <w:r w:rsidRPr="00772203">
              <w:rPr>
                <w:rFonts w:eastAsia="Times New Roman" w:cs="Arial"/>
                <w:b/>
                <w:color w:val="000000"/>
                <w:sz w:val="16"/>
                <w:szCs w:val="16"/>
                <w:lang w:eastAsia="pt-BR"/>
              </w:rPr>
              <w:t>ANÁLISE QUANTITATIVA</w:t>
            </w:r>
          </w:p>
        </w:tc>
      </w:tr>
      <w:tr w:rsidR="00C37999" w:rsidRPr="00772203" w:rsidTr="00CE02F0">
        <w:trPr>
          <w:cantSplit/>
          <w:trHeight w:val="284"/>
          <w:jc w:val="center"/>
        </w:trPr>
        <w:tc>
          <w:tcPr>
            <w:tcW w:w="1376" w:type="dxa"/>
            <w:shd w:val="clear" w:color="auto" w:fill="auto"/>
            <w:vAlign w:val="center"/>
            <w:hideMark/>
          </w:tcPr>
          <w:p w:rsidR="00C37999" w:rsidRPr="00772203" w:rsidRDefault="00C37999" w:rsidP="00772203">
            <w:pPr>
              <w:spacing w:after="0"/>
              <w:jc w:val="center"/>
              <w:rPr>
                <w:rFonts w:eastAsia="Times New Roman" w:cs="Arial"/>
                <w:color w:val="000000"/>
                <w:sz w:val="16"/>
                <w:szCs w:val="16"/>
                <w:lang w:eastAsia="pt-BR"/>
              </w:rPr>
            </w:pPr>
            <w:r w:rsidRPr="00772203">
              <w:rPr>
                <w:rFonts w:eastAsia="Times New Roman" w:cs="Arial"/>
                <w:color w:val="000000"/>
                <w:sz w:val="16"/>
                <w:szCs w:val="16"/>
                <w:lang w:eastAsia="pt-BR"/>
              </w:rPr>
              <w:t>Ponto</w:t>
            </w:r>
          </w:p>
        </w:tc>
        <w:tc>
          <w:tcPr>
            <w:tcW w:w="2376" w:type="dxa"/>
            <w:shd w:val="clear" w:color="auto" w:fill="auto"/>
            <w:vAlign w:val="center"/>
            <w:hideMark/>
          </w:tcPr>
          <w:p w:rsidR="00C37999" w:rsidRPr="00772203" w:rsidRDefault="00C37999" w:rsidP="00772203">
            <w:pPr>
              <w:spacing w:after="0"/>
              <w:ind w:firstLineChars="100" w:firstLine="160"/>
              <w:jc w:val="center"/>
              <w:rPr>
                <w:rFonts w:eastAsia="Times New Roman" w:cs="Arial"/>
                <w:color w:val="000000"/>
                <w:sz w:val="16"/>
                <w:szCs w:val="16"/>
                <w:lang w:eastAsia="pt-BR"/>
              </w:rPr>
            </w:pPr>
            <w:r w:rsidRPr="00772203">
              <w:rPr>
                <w:rFonts w:eastAsia="Times New Roman" w:cs="Arial"/>
                <w:color w:val="000000"/>
                <w:sz w:val="16"/>
                <w:szCs w:val="16"/>
                <w:lang w:eastAsia="pt-BR"/>
              </w:rPr>
              <w:t>n</w:t>
            </w:r>
            <w:r w:rsidRPr="00772203">
              <w:rPr>
                <w:rFonts w:eastAsia="Times New Roman" w:cs="Arial"/>
                <w:color w:val="000000"/>
                <w:sz w:val="16"/>
                <w:szCs w:val="16"/>
                <w:vertAlign w:val="superscript"/>
                <w:lang w:eastAsia="pt-BR"/>
              </w:rPr>
              <w:t>o</w:t>
            </w:r>
            <w:r w:rsidRPr="00772203">
              <w:rPr>
                <w:rFonts w:eastAsia="Times New Roman" w:cs="Arial"/>
                <w:color w:val="000000"/>
                <w:sz w:val="16"/>
                <w:szCs w:val="16"/>
                <w:lang w:eastAsia="pt-BR"/>
              </w:rPr>
              <w:t xml:space="preserve"> total de táxons por classe</w:t>
            </w:r>
          </w:p>
        </w:tc>
        <w:tc>
          <w:tcPr>
            <w:tcW w:w="2332" w:type="dxa"/>
            <w:shd w:val="clear" w:color="auto" w:fill="auto"/>
            <w:vAlign w:val="center"/>
            <w:hideMark/>
          </w:tcPr>
          <w:p w:rsidR="00C37999" w:rsidRPr="00772203" w:rsidRDefault="00CE02F0" w:rsidP="00772203">
            <w:pPr>
              <w:spacing w:after="0"/>
              <w:jc w:val="center"/>
              <w:rPr>
                <w:rFonts w:eastAsia="Times New Roman" w:cs="Arial"/>
                <w:color w:val="000000"/>
                <w:sz w:val="16"/>
                <w:szCs w:val="16"/>
                <w:lang w:eastAsia="pt-BR"/>
              </w:rPr>
            </w:pPr>
            <w:r>
              <w:rPr>
                <w:rFonts w:eastAsia="Times New Roman" w:cs="Arial"/>
                <w:color w:val="000000"/>
                <w:sz w:val="16"/>
                <w:szCs w:val="16"/>
                <w:lang w:eastAsia="pt-BR"/>
              </w:rPr>
              <w:t>Densidade (organismos/ ml</w:t>
            </w:r>
            <w:r w:rsidR="00C37999" w:rsidRPr="00772203">
              <w:rPr>
                <w:rFonts w:eastAsia="Times New Roman" w:cs="Arial"/>
                <w:color w:val="000000"/>
                <w:sz w:val="16"/>
                <w:szCs w:val="16"/>
                <w:lang w:eastAsia="pt-BR"/>
              </w:rPr>
              <w:t>)</w:t>
            </w:r>
          </w:p>
        </w:tc>
      </w:tr>
      <w:tr w:rsidR="00C37999" w:rsidRPr="00772203" w:rsidTr="00CE02F0">
        <w:trPr>
          <w:cantSplit/>
          <w:trHeight w:val="284"/>
          <w:jc w:val="center"/>
        </w:trPr>
        <w:tc>
          <w:tcPr>
            <w:tcW w:w="1376" w:type="dxa"/>
            <w:shd w:val="clear" w:color="auto" w:fill="auto"/>
            <w:noWrap/>
            <w:vAlign w:val="center"/>
            <w:hideMark/>
          </w:tcPr>
          <w:p w:rsidR="00C37999" w:rsidRPr="00772203" w:rsidRDefault="00C37999" w:rsidP="0004496F">
            <w:pPr>
              <w:spacing w:after="0"/>
              <w:jc w:val="center"/>
              <w:rPr>
                <w:rFonts w:eastAsia="Times New Roman" w:cs="Arial"/>
                <w:color w:val="000000"/>
                <w:sz w:val="16"/>
                <w:szCs w:val="16"/>
                <w:lang w:eastAsia="pt-BR"/>
              </w:rPr>
            </w:pPr>
            <w:r w:rsidRPr="00772203">
              <w:rPr>
                <w:rFonts w:eastAsia="Times New Roman" w:cs="Arial"/>
                <w:color w:val="000000"/>
                <w:sz w:val="16"/>
                <w:szCs w:val="16"/>
                <w:lang w:eastAsia="pt-BR"/>
              </w:rPr>
              <w:t>AT</w:t>
            </w:r>
            <w:r w:rsidR="00772203">
              <w:rPr>
                <w:rFonts w:eastAsia="Times New Roman" w:cs="Arial"/>
                <w:color w:val="000000"/>
                <w:sz w:val="16"/>
                <w:szCs w:val="16"/>
                <w:lang w:eastAsia="pt-BR"/>
              </w:rPr>
              <w:t>-</w:t>
            </w:r>
            <w:r w:rsidRPr="00772203">
              <w:rPr>
                <w:rFonts w:eastAsia="Times New Roman" w:cs="Arial"/>
                <w:color w:val="000000"/>
                <w:sz w:val="16"/>
                <w:szCs w:val="16"/>
                <w:lang w:eastAsia="pt-BR"/>
              </w:rPr>
              <w:t>103</w:t>
            </w:r>
          </w:p>
        </w:tc>
        <w:tc>
          <w:tcPr>
            <w:tcW w:w="2376" w:type="dxa"/>
            <w:shd w:val="clear" w:color="auto" w:fill="auto"/>
            <w:vAlign w:val="center"/>
            <w:hideMark/>
          </w:tcPr>
          <w:p w:rsidR="00C37999" w:rsidRPr="00772203" w:rsidRDefault="00C37999" w:rsidP="0004496F">
            <w:pPr>
              <w:spacing w:after="0"/>
              <w:jc w:val="center"/>
              <w:rPr>
                <w:rFonts w:eastAsia="Times New Roman" w:cs="Arial"/>
                <w:b/>
                <w:bCs/>
                <w:color w:val="000000"/>
                <w:sz w:val="16"/>
                <w:szCs w:val="16"/>
                <w:lang w:eastAsia="pt-BR"/>
              </w:rPr>
            </w:pPr>
            <w:r w:rsidRPr="00772203">
              <w:rPr>
                <w:rFonts w:eastAsia="Times New Roman" w:cs="Arial"/>
                <w:b/>
                <w:bCs/>
                <w:color w:val="000000"/>
                <w:sz w:val="16"/>
                <w:szCs w:val="16"/>
                <w:lang w:eastAsia="pt-BR"/>
              </w:rPr>
              <w:t>13</w:t>
            </w:r>
          </w:p>
        </w:tc>
        <w:tc>
          <w:tcPr>
            <w:tcW w:w="2332" w:type="dxa"/>
            <w:shd w:val="clear" w:color="auto" w:fill="auto"/>
            <w:vAlign w:val="center"/>
            <w:hideMark/>
          </w:tcPr>
          <w:p w:rsidR="00C37999" w:rsidRPr="00772203" w:rsidRDefault="00C37999" w:rsidP="0004496F">
            <w:pPr>
              <w:spacing w:after="0"/>
              <w:jc w:val="center"/>
              <w:rPr>
                <w:rFonts w:eastAsia="Times New Roman" w:cs="Arial"/>
                <w:b/>
                <w:bCs/>
                <w:color w:val="000000"/>
                <w:sz w:val="16"/>
                <w:szCs w:val="16"/>
                <w:lang w:eastAsia="pt-BR"/>
              </w:rPr>
            </w:pPr>
            <w:r w:rsidRPr="00772203">
              <w:rPr>
                <w:rFonts w:eastAsia="Times New Roman" w:cs="Arial"/>
                <w:b/>
                <w:bCs/>
                <w:color w:val="000000"/>
                <w:sz w:val="16"/>
                <w:szCs w:val="16"/>
                <w:lang w:eastAsia="pt-BR"/>
              </w:rPr>
              <w:t>17.280</w:t>
            </w:r>
          </w:p>
        </w:tc>
      </w:tr>
      <w:tr w:rsidR="00C37999" w:rsidRPr="00772203" w:rsidTr="00CE02F0">
        <w:trPr>
          <w:cantSplit/>
          <w:trHeight w:val="284"/>
          <w:jc w:val="center"/>
        </w:trPr>
        <w:tc>
          <w:tcPr>
            <w:tcW w:w="1376" w:type="dxa"/>
            <w:shd w:val="clear" w:color="auto" w:fill="auto"/>
            <w:noWrap/>
            <w:vAlign w:val="center"/>
            <w:hideMark/>
          </w:tcPr>
          <w:p w:rsidR="00C37999" w:rsidRPr="00772203" w:rsidRDefault="00C37999" w:rsidP="0004496F">
            <w:pPr>
              <w:spacing w:after="0"/>
              <w:jc w:val="center"/>
              <w:rPr>
                <w:rFonts w:eastAsia="Times New Roman" w:cs="Arial"/>
                <w:color w:val="000000"/>
                <w:sz w:val="16"/>
                <w:szCs w:val="16"/>
                <w:lang w:eastAsia="pt-BR"/>
              </w:rPr>
            </w:pPr>
            <w:r w:rsidRPr="00772203">
              <w:rPr>
                <w:rFonts w:eastAsia="Times New Roman" w:cs="Arial"/>
                <w:color w:val="000000"/>
                <w:sz w:val="16"/>
                <w:szCs w:val="16"/>
                <w:lang w:eastAsia="pt-BR"/>
              </w:rPr>
              <w:t>AT</w:t>
            </w:r>
            <w:r w:rsidR="00772203">
              <w:rPr>
                <w:rFonts w:eastAsia="Times New Roman" w:cs="Arial"/>
                <w:color w:val="000000"/>
                <w:sz w:val="16"/>
                <w:szCs w:val="16"/>
                <w:lang w:eastAsia="pt-BR"/>
              </w:rPr>
              <w:t>-</w:t>
            </w:r>
            <w:r w:rsidRPr="00772203">
              <w:rPr>
                <w:rFonts w:eastAsia="Times New Roman" w:cs="Arial"/>
                <w:color w:val="000000"/>
                <w:sz w:val="16"/>
                <w:szCs w:val="16"/>
                <w:lang w:eastAsia="pt-BR"/>
              </w:rPr>
              <w:t>102A</w:t>
            </w:r>
          </w:p>
        </w:tc>
        <w:tc>
          <w:tcPr>
            <w:tcW w:w="2376" w:type="dxa"/>
            <w:shd w:val="clear" w:color="auto" w:fill="auto"/>
            <w:vAlign w:val="center"/>
            <w:hideMark/>
          </w:tcPr>
          <w:p w:rsidR="00C37999" w:rsidRPr="00772203" w:rsidRDefault="00C37999" w:rsidP="0004496F">
            <w:pPr>
              <w:spacing w:after="0"/>
              <w:jc w:val="center"/>
              <w:rPr>
                <w:rFonts w:eastAsia="Times New Roman" w:cs="Arial"/>
                <w:b/>
                <w:bCs/>
                <w:color w:val="000000"/>
                <w:sz w:val="16"/>
                <w:szCs w:val="16"/>
                <w:lang w:eastAsia="pt-BR"/>
              </w:rPr>
            </w:pPr>
            <w:r w:rsidRPr="00772203">
              <w:rPr>
                <w:rFonts w:eastAsia="Times New Roman" w:cs="Arial"/>
                <w:b/>
                <w:bCs/>
                <w:color w:val="000000"/>
                <w:sz w:val="16"/>
                <w:szCs w:val="16"/>
                <w:lang w:eastAsia="pt-BR"/>
              </w:rPr>
              <w:t>9</w:t>
            </w:r>
          </w:p>
        </w:tc>
        <w:tc>
          <w:tcPr>
            <w:tcW w:w="2332" w:type="dxa"/>
            <w:shd w:val="clear" w:color="auto" w:fill="auto"/>
            <w:vAlign w:val="center"/>
            <w:hideMark/>
          </w:tcPr>
          <w:p w:rsidR="00C37999" w:rsidRPr="00772203" w:rsidRDefault="00C37999" w:rsidP="0004496F">
            <w:pPr>
              <w:spacing w:after="0"/>
              <w:jc w:val="center"/>
              <w:rPr>
                <w:rFonts w:eastAsia="Times New Roman" w:cs="Arial"/>
                <w:b/>
                <w:bCs/>
                <w:color w:val="000000"/>
                <w:sz w:val="16"/>
                <w:szCs w:val="16"/>
                <w:lang w:eastAsia="pt-BR"/>
              </w:rPr>
            </w:pPr>
            <w:r w:rsidRPr="00772203">
              <w:rPr>
                <w:rFonts w:eastAsia="Times New Roman" w:cs="Arial"/>
                <w:b/>
                <w:bCs/>
                <w:color w:val="000000"/>
                <w:sz w:val="16"/>
                <w:szCs w:val="16"/>
                <w:lang w:eastAsia="pt-BR"/>
              </w:rPr>
              <w:t>2.560</w:t>
            </w:r>
          </w:p>
        </w:tc>
      </w:tr>
      <w:tr w:rsidR="00C37999" w:rsidRPr="00772203" w:rsidTr="00CE02F0">
        <w:trPr>
          <w:cantSplit/>
          <w:trHeight w:val="284"/>
          <w:jc w:val="center"/>
        </w:trPr>
        <w:tc>
          <w:tcPr>
            <w:tcW w:w="1376" w:type="dxa"/>
            <w:shd w:val="clear" w:color="auto" w:fill="auto"/>
            <w:noWrap/>
            <w:vAlign w:val="center"/>
            <w:hideMark/>
          </w:tcPr>
          <w:p w:rsidR="00C37999" w:rsidRPr="00772203" w:rsidRDefault="00C37999" w:rsidP="0004496F">
            <w:pPr>
              <w:spacing w:after="0"/>
              <w:jc w:val="center"/>
              <w:rPr>
                <w:rFonts w:eastAsia="Times New Roman" w:cs="Arial"/>
                <w:color w:val="000000"/>
                <w:sz w:val="16"/>
                <w:szCs w:val="16"/>
                <w:lang w:eastAsia="pt-BR"/>
              </w:rPr>
            </w:pPr>
            <w:r w:rsidRPr="00772203">
              <w:rPr>
                <w:rFonts w:eastAsia="Times New Roman" w:cs="Arial"/>
                <w:color w:val="000000"/>
                <w:sz w:val="16"/>
                <w:szCs w:val="16"/>
                <w:lang w:eastAsia="pt-BR"/>
              </w:rPr>
              <w:t>AT</w:t>
            </w:r>
            <w:r w:rsidR="00772203">
              <w:rPr>
                <w:rFonts w:eastAsia="Times New Roman" w:cs="Arial"/>
                <w:color w:val="000000"/>
                <w:sz w:val="16"/>
                <w:szCs w:val="16"/>
                <w:lang w:eastAsia="pt-BR"/>
              </w:rPr>
              <w:t>-</w:t>
            </w:r>
            <w:r w:rsidRPr="00772203">
              <w:rPr>
                <w:rFonts w:eastAsia="Times New Roman" w:cs="Arial"/>
                <w:color w:val="000000"/>
                <w:sz w:val="16"/>
                <w:szCs w:val="16"/>
                <w:lang w:eastAsia="pt-BR"/>
              </w:rPr>
              <w:t>301</w:t>
            </w:r>
          </w:p>
        </w:tc>
        <w:tc>
          <w:tcPr>
            <w:tcW w:w="2376" w:type="dxa"/>
            <w:shd w:val="clear" w:color="auto" w:fill="auto"/>
            <w:vAlign w:val="center"/>
            <w:hideMark/>
          </w:tcPr>
          <w:p w:rsidR="00C37999" w:rsidRPr="00772203" w:rsidRDefault="00C37999" w:rsidP="0004496F">
            <w:pPr>
              <w:spacing w:after="0"/>
              <w:jc w:val="center"/>
              <w:rPr>
                <w:rFonts w:eastAsia="Times New Roman" w:cs="Arial"/>
                <w:b/>
                <w:bCs/>
                <w:color w:val="000000"/>
                <w:sz w:val="16"/>
                <w:szCs w:val="16"/>
                <w:lang w:eastAsia="pt-BR"/>
              </w:rPr>
            </w:pPr>
            <w:r w:rsidRPr="00772203">
              <w:rPr>
                <w:rFonts w:eastAsia="Times New Roman" w:cs="Arial"/>
                <w:b/>
                <w:bCs/>
                <w:color w:val="000000"/>
                <w:sz w:val="16"/>
                <w:szCs w:val="16"/>
                <w:lang w:eastAsia="pt-BR"/>
              </w:rPr>
              <w:t>6</w:t>
            </w:r>
          </w:p>
        </w:tc>
        <w:tc>
          <w:tcPr>
            <w:tcW w:w="2332" w:type="dxa"/>
            <w:shd w:val="clear" w:color="auto" w:fill="auto"/>
            <w:vAlign w:val="center"/>
            <w:hideMark/>
          </w:tcPr>
          <w:p w:rsidR="00C37999" w:rsidRPr="00772203" w:rsidRDefault="00C37999" w:rsidP="0004496F">
            <w:pPr>
              <w:spacing w:after="0"/>
              <w:jc w:val="center"/>
              <w:rPr>
                <w:rFonts w:eastAsia="Times New Roman" w:cs="Arial"/>
                <w:b/>
                <w:bCs/>
                <w:color w:val="000000"/>
                <w:sz w:val="16"/>
                <w:szCs w:val="16"/>
                <w:lang w:eastAsia="pt-BR"/>
              </w:rPr>
            </w:pPr>
            <w:r w:rsidRPr="00772203">
              <w:rPr>
                <w:rFonts w:eastAsia="Times New Roman" w:cs="Arial"/>
                <w:b/>
                <w:bCs/>
                <w:color w:val="000000"/>
                <w:sz w:val="16"/>
                <w:szCs w:val="16"/>
                <w:lang w:eastAsia="pt-BR"/>
              </w:rPr>
              <w:t>854</w:t>
            </w:r>
          </w:p>
        </w:tc>
      </w:tr>
      <w:tr w:rsidR="00C37999" w:rsidRPr="00772203" w:rsidTr="00CE02F0">
        <w:trPr>
          <w:cantSplit/>
          <w:trHeight w:val="284"/>
          <w:jc w:val="center"/>
        </w:trPr>
        <w:tc>
          <w:tcPr>
            <w:tcW w:w="1376" w:type="dxa"/>
            <w:shd w:val="clear" w:color="000000" w:fill="BFBFBF"/>
            <w:noWrap/>
            <w:vAlign w:val="center"/>
            <w:hideMark/>
          </w:tcPr>
          <w:p w:rsidR="00C37999" w:rsidRPr="00772203" w:rsidRDefault="00C37999" w:rsidP="0004496F">
            <w:pPr>
              <w:spacing w:after="0"/>
              <w:rPr>
                <w:rFonts w:eastAsia="Times New Roman" w:cs="Arial"/>
                <w:color w:val="000000"/>
                <w:sz w:val="16"/>
                <w:szCs w:val="16"/>
                <w:lang w:eastAsia="pt-BR"/>
              </w:rPr>
            </w:pPr>
            <w:r w:rsidRPr="00772203">
              <w:rPr>
                <w:rFonts w:eastAsia="Times New Roman" w:cs="Arial"/>
                <w:color w:val="000000"/>
                <w:sz w:val="16"/>
                <w:szCs w:val="16"/>
                <w:lang w:eastAsia="pt-BR"/>
              </w:rPr>
              <w:t> </w:t>
            </w:r>
          </w:p>
        </w:tc>
        <w:tc>
          <w:tcPr>
            <w:tcW w:w="2376" w:type="dxa"/>
            <w:shd w:val="clear" w:color="000000" w:fill="BFBFBF"/>
            <w:noWrap/>
            <w:vAlign w:val="center"/>
            <w:hideMark/>
          </w:tcPr>
          <w:p w:rsidR="00C37999" w:rsidRPr="00772203" w:rsidRDefault="00C37999" w:rsidP="0004496F">
            <w:pPr>
              <w:spacing w:after="0"/>
              <w:rPr>
                <w:rFonts w:eastAsia="Times New Roman" w:cs="Arial"/>
                <w:color w:val="000000"/>
                <w:sz w:val="16"/>
                <w:szCs w:val="16"/>
                <w:lang w:eastAsia="pt-BR"/>
              </w:rPr>
            </w:pPr>
            <w:r w:rsidRPr="00772203">
              <w:rPr>
                <w:rFonts w:eastAsia="Times New Roman" w:cs="Arial"/>
                <w:color w:val="000000"/>
                <w:sz w:val="16"/>
                <w:szCs w:val="16"/>
                <w:lang w:eastAsia="pt-BR"/>
              </w:rPr>
              <w:t> </w:t>
            </w:r>
          </w:p>
        </w:tc>
        <w:tc>
          <w:tcPr>
            <w:tcW w:w="2332" w:type="dxa"/>
            <w:shd w:val="clear" w:color="000000" w:fill="BFBFBF"/>
            <w:noWrap/>
            <w:vAlign w:val="center"/>
            <w:hideMark/>
          </w:tcPr>
          <w:p w:rsidR="00C37999" w:rsidRPr="00772203" w:rsidRDefault="00C37999" w:rsidP="0004496F">
            <w:pPr>
              <w:spacing w:after="0"/>
              <w:rPr>
                <w:rFonts w:eastAsia="Times New Roman" w:cs="Arial"/>
                <w:color w:val="000000"/>
                <w:sz w:val="16"/>
                <w:szCs w:val="16"/>
                <w:lang w:eastAsia="pt-BR"/>
              </w:rPr>
            </w:pPr>
            <w:r w:rsidRPr="00772203">
              <w:rPr>
                <w:rFonts w:eastAsia="Times New Roman" w:cs="Arial"/>
                <w:color w:val="000000"/>
                <w:sz w:val="16"/>
                <w:szCs w:val="16"/>
                <w:lang w:eastAsia="pt-BR"/>
              </w:rPr>
              <w:t> </w:t>
            </w:r>
          </w:p>
        </w:tc>
      </w:tr>
      <w:tr w:rsidR="00C37999" w:rsidRPr="00772203" w:rsidTr="00CE02F0">
        <w:trPr>
          <w:cantSplit/>
          <w:trHeight w:val="284"/>
          <w:jc w:val="center"/>
        </w:trPr>
        <w:tc>
          <w:tcPr>
            <w:tcW w:w="1376" w:type="dxa"/>
            <w:shd w:val="clear" w:color="auto" w:fill="auto"/>
            <w:noWrap/>
            <w:vAlign w:val="center"/>
            <w:hideMark/>
          </w:tcPr>
          <w:p w:rsidR="00C37999" w:rsidRPr="00772203" w:rsidRDefault="00C37999" w:rsidP="0004496F">
            <w:pPr>
              <w:spacing w:after="0"/>
              <w:jc w:val="center"/>
              <w:rPr>
                <w:rFonts w:eastAsia="Times New Roman" w:cs="Arial"/>
                <w:color w:val="000000"/>
                <w:sz w:val="16"/>
                <w:szCs w:val="16"/>
                <w:lang w:eastAsia="pt-BR"/>
              </w:rPr>
            </w:pPr>
            <w:r w:rsidRPr="00772203">
              <w:rPr>
                <w:rFonts w:eastAsia="Times New Roman" w:cs="Arial"/>
                <w:color w:val="000000"/>
                <w:sz w:val="16"/>
                <w:szCs w:val="16"/>
                <w:lang w:eastAsia="pt-BR"/>
              </w:rPr>
              <w:t>IG</w:t>
            </w:r>
            <w:r w:rsidR="00772203">
              <w:rPr>
                <w:rFonts w:eastAsia="Times New Roman" w:cs="Arial"/>
                <w:color w:val="000000"/>
                <w:sz w:val="16"/>
                <w:szCs w:val="16"/>
                <w:lang w:eastAsia="pt-BR"/>
              </w:rPr>
              <w:t>-</w:t>
            </w:r>
            <w:r w:rsidRPr="00772203">
              <w:rPr>
                <w:rFonts w:eastAsia="Times New Roman" w:cs="Arial"/>
                <w:color w:val="000000"/>
                <w:sz w:val="16"/>
                <w:szCs w:val="16"/>
                <w:lang w:eastAsia="pt-BR"/>
              </w:rPr>
              <w:t>102</w:t>
            </w:r>
          </w:p>
        </w:tc>
        <w:tc>
          <w:tcPr>
            <w:tcW w:w="2376" w:type="dxa"/>
            <w:shd w:val="clear" w:color="auto" w:fill="auto"/>
            <w:vAlign w:val="center"/>
            <w:hideMark/>
          </w:tcPr>
          <w:p w:rsidR="00C37999" w:rsidRPr="00772203" w:rsidRDefault="00C37999" w:rsidP="0004496F">
            <w:pPr>
              <w:spacing w:after="0"/>
              <w:jc w:val="center"/>
              <w:rPr>
                <w:rFonts w:eastAsia="Times New Roman" w:cs="Arial"/>
                <w:b/>
                <w:bCs/>
                <w:color w:val="000000"/>
                <w:sz w:val="16"/>
                <w:szCs w:val="16"/>
                <w:lang w:eastAsia="pt-BR"/>
              </w:rPr>
            </w:pPr>
            <w:r w:rsidRPr="00772203">
              <w:rPr>
                <w:rFonts w:eastAsia="Times New Roman" w:cs="Arial"/>
                <w:b/>
                <w:bCs/>
                <w:color w:val="000000"/>
                <w:sz w:val="16"/>
                <w:szCs w:val="16"/>
                <w:lang w:eastAsia="pt-BR"/>
              </w:rPr>
              <w:t>12</w:t>
            </w:r>
          </w:p>
        </w:tc>
        <w:tc>
          <w:tcPr>
            <w:tcW w:w="2332" w:type="dxa"/>
            <w:shd w:val="clear" w:color="auto" w:fill="auto"/>
            <w:vAlign w:val="center"/>
            <w:hideMark/>
          </w:tcPr>
          <w:p w:rsidR="00C37999" w:rsidRPr="00772203" w:rsidRDefault="00C37999" w:rsidP="0004496F">
            <w:pPr>
              <w:spacing w:after="0"/>
              <w:jc w:val="center"/>
              <w:rPr>
                <w:rFonts w:eastAsia="Times New Roman" w:cs="Arial"/>
                <w:b/>
                <w:bCs/>
                <w:color w:val="000000"/>
                <w:sz w:val="16"/>
                <w:szCs w:val="16"/>
                <w:lang w:eastAsia="pt-BR"/>
              </w:rPr>
            </w:pPr>
            <w:r w:rsidRPr="00772203">
              <w:rPr>
                <w:rFonts w:eastAsia="Times New Roman" w:cs="Arial"/>
                <w:b/>
                <w:bCs/>
                <w:color w:val="000000"/>
                <w:sz w:val="16"/>
                <w:szCs w:val="16"/>
                <w:lang w:eastAsia="pt-BR"/>
              </w:rPr>
              <w:t>105.000</w:t>
            </w:r>
          </w:p>
        </w:tc>
      </w:tr>
      <w:tr w:rsidR="00C37999" w:rsidRPr="00772203" w:rsidTr="00CE02F0">
        <w:trPr>
          <w:cantSplit/>
          <w:trHeight w:val="284"/>
          <w:jc w:val="center"/>
        </w:trPr>
        <w:tc>
          <w:tcPr>
            <w:tcW w:w="1376" w:type="dxa"/>
            <w:shd w:val="clear" w:color="auto" w:fill="auto"/>
            <w:noWrap/>
            <w:vAlign w:val="center"/>
            <w:hideMark/>
          </w:tcPr>
          <w:p w:rsidR="00C37999" w:rsidRPr="00772203" w:rsidRDefault="00C37999" w:rsidP="0004496F">
            <w:pPr>
              <w:spacing w:after="0"/>
              <w:jc w:val="center"/>
              <w:rPr>
                <w:rFonts w:eastAsia="Times New Roman" w:cs="Arial"/>
                <w:color w:val="000000"/>
                <w:sz w:val="16"/>
                <w:szCs w:val="16"/>
                <w:lang w:eastAsia="pt-BR"/>
              </w:rPr>
            </w:pPr>
            <w:r w:rsidRPr="00772203">
              <w:rPr>
                <w:rFonts w:eastAsia="Times New Roman" w:cs="Arial"/>
                <w:color w:val="000000"/>
                <w:sz w:val="16"/>
                <w:szCs w:val="16"/>
                <w:lang w:eastAsia="pt-BR"/>
              </w:rPr>
              <w:t xml:space="preserve"> IG</w:t>
            </w:r>
            <w:r w:rsidR="00772203">
              <w:rPr>
                <w:rFonts w:eastAsia="Times New Roman" w:cs="Arial"/>
                <w:color w:val="000000"/>
                <w:sz w:val="16"/>
                <w:szCs w:val="16"/>
                <w:lang w:eastAsia="pt-BR"/>
              </w:rPr>
              <w:t>-</w:t>
            </w:r>
            <w:r w:rsidRPr="00772203">
              <w:rPr>
                <w:rFonts w:eastAsia="Times New Roman" w:cs="Arial"/>
                <w:color w:val="000000"/>
                <w:sz w:val="16"/>
                <w:szCs w:val="16"/>
                <w:lang w:eastAsia="pt-BR"/>
              </w:rPr>
              <w:t xml:space="preserve">101 </w:t>
            </w:r>
          </w:p>
        </w:tc>
        <w:tc>
          <w:tcPr>
            <w:tcW w:w="2376" w:type="dxa"/>
            <w:shd w:val="clear" w:color="auto" w:fill="auto"/>
            <w:vAlign w:val="center"/>
            <w:hideMark/>
          </w:tcPr>
          <w:p w:rsidR="00C37999" w:rsidRPr="00772203" w:rsidRDefault="00C37999" w:rsidP="0004496F">
            <w:pPr>
              <w:spacing w:after="0"/>
              <w:jc w:val="center"/>
              <w:rPr>
                <w:rFonts w:eastAsia="Times New Roman" w:cs="Arial"/>
                <w:b/>
                <w:bCs/>
                <w:color w:val="000000"/>
                <w:sz w:val="16"/>
                <w:szCs w:val="16"/>
                <w:lang w:eastAsia="pt-BR"/>
              </w:rPr>
            </w:pPr>
            <w:r w:rsidRPr="00772203">
              <w:rPr>
                <w:rFonts w:eastAsia="Times New Roman" w:cs="Arial"/>
                <w:b/>
                <w:bCs/>
                <w:color w:val="000000"/>
                <w:sz w:val="16"/>
                <w:szCs w:val="16"/>
                <w:lang w:eastAsia="pt-BR"/>
              </w:rPr>
              <w:t>6</w:t>
            </w:r>
          </w:p>
        </w:tc>
        <w:tc>
          <w:tcPr>
            <w:tcW w:w="2332" w:type="dxa"/>
            <w:shd w:val="clear" w:color="auto" w:fill="auto"/>
            <w:vAlign w:val="center"/>
            <w:hideMark/>
          </w:tcPr>
          <w:p w:rsidR="00C37999" w:rsidRPr="00772203" w:rsidRDefault="00C37999" w:rsidP="0004496F">
            <w:pPr>
              <w:spacing w:after="0"/>
              <w:jc w:val="center"/>
              <w:rPr>
                <w:rFonts w:eastAsia="Times New Roman" w:cs="Arial"/>
                <w:b/>
                <w:bCs/>
                <w:color w:val="000000"/>
                <w:sz w:val="16"/>
                <w:szCs w:val="16"/>
                <w:lang w:eastAsia="pt-BR"/>
              </w:rPr>
            </w:pPr>
            <w:r w:rsidRPr="00772203">
              <w:rPr>
                <w:rFonts w:eastAsia="Times New Roman" w:cs="Arial"/>
                <w:b/>
                <w:bCs/>
                <w:color w:val="000000"/>
                <w:sz w:val="16"/>
                <w:szCs w:val="16"/>
                <w:lang w:eastAsia="pt-BR"/>
              </w:rPr>
              <w:t>4.053</w:t>
            </w:r>
          </w:p>
        </w:tc>
      </w:tr>
      <w:tr w:rsidR="00771A0C" w:rsidRPr="001C02CC" w:rsidTr="00CE02F0">
        <w:trPr>
          <w:cantSplit/>
          <w:trHeight w:val="284"/>
          <w:jc w:val="center"/>
        </w:trPr>
        <w:tc>
          <w:tcPr>
            <w:tcW w:w="1376" w:type="dxa"/>
            <w:tcBorders>
              <w:top w:val="single" w:sz="6" w:space="0" w:color="auto"/>
              <w:left w:val="single" w:sz="8" w:space="0" w:color="auto"/>
              <w:bottom w:val="single" w:sz="6" w:space="0" w:color="auto"/>
              <w:right w:val="single" w:sz="6" w:space="0" w:color="auto"/>
            </w:tcBorders>
            <w:shd w:val="clear" w:color="auto" w:fill="auto"/>
            <w:noWrap/>
            <w:vAlign w:val="center"/>
            <w:hideMark/>
          </w:tcPr>
          <w:p w:rsidR="00771A0C" w:rsidRPr="00A759AE" w:rsidRDefault="00771A0C" w:rsidP="00415CDA">
            <w:pPr>
              <w:spacing w:after="0"/>
              <w:jc w:val="center"/>
              <w:rPr>
                <w:rFonts w:eastAsia="Times New Roman" w:cs="Arial"/>
                <w:color w:val="000000"/>
                <w:sz w:val="16"/>
                <w:szCs w:val="16"/>
                <w:lang w:eastAsia="pt-BR"/>
              </w:rPr>
            </w:pPr>
            <w:r w:rsidRPr="00A759AE">
              <w:rPr>
                <w:rFonts w:eastAsia="Times New Roman" w:cs="Arial"/>
                <w:color w:val="000000"/>
                <w:sz w:val="16"/>
                <w:szCs w:val="16"/>
                <w:lang w:eastAsia="pt-BR"/>
              </w:rPr>
              <w:t>IG 101 A</w:t>
            </w:r>
          </w:p>
        </w:tc>
        <w:tc>
          <w:tcPr>
            <w:tcW w:w="2376"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771A0C" w:rsidRPr="00A759AE" w:rsidRDefault="00771A0C" w:rsidP="00415CDA">
            <w:pPr>
              <w:spacing w:after="0"/>
              <w:jc w:val="center"/>
              <w:rPr>
                <w:rFonts w:eastAsia="Times New Roman" w:cs="Arial"/>
                <w:b/>
                <w:bCs/>
                <w:color w:val="000000"/>
                <w:sz w:val="16"/>
                <w:szCs w:val="16"/>
                <w:lang w:eastAsia="pt-BR"/>
              </w:rPr>
            </w:pPr>
            <w:r w:rsidRPr="00A759AE">
              <w:rPr>
                <w:rFonts w:eastAsia="Times New Roman" w:cs="Arial"/>
                <w:b/>
                <w:bCs/>
                <w:color w:val="000000"/>
                <w:sz w:val="16"/>
                <w:szCs w:val="16"/>
                <w:lang w:eastAsia="pt-BR"/>
              </w:rPr>
              <w:t>8</w:t>
            </w:r>
          </w:p>
        </w:tc>
        <w:tc>
          <w:tcPr>
            <w:tcW w:w="2332" w:type="dxa"/>
            <w:tcBorders>
              <w:top w:val="single" w:sz="6" w:space="0" w:color="auto"/>
              <w:left w:val="single" w:sz="6" w:space="0" w:color="auto"/>
              <w:bottom w:val="single" w:sz="6" w:space="0" w:color="auto"/>
              <w:right w:val="single" w:sz="8" w:space="0" w:color="auto"/>
            </w:tcBorders>
            <w:shd w:val="clear" w:color="auto" w:fill="auto"/>
            <w:vAlign w:val="center"/>
            <w:hideMark/>
          </w:tcPr>
          <w:p w:rsidR="00771A0C" w:rsidRPr="00A759AE" w:rsidRDefault="00771A0C" w:rsidP="00415CDA">
            <w:pPr>
              <w:spacing w:after="0"/>
              <w:jc w:val="center"/>
              <w:rPr>
                <w:rFonts w:eastAsia="Times New Roman" w:cs="Arial"/>
                <w:b/>
                <w:bCs/>
                <w:color w:val="000000"/>
                <w:sz w:val="16"/>
                <w:szCs w:val="16"/>
                <w:lang w:eastAsia="pt-BR"/>
              </w:rPr>
            </w:pPr>
            <w:r w:rsidRPr="00A759AE">
              <w:rPr>
                <w:rFonts w:eastAsia="Times New Roman" w:cs="Arial"/>
                <w:b/>
                <w:bCs/>
                <w:color w:val="000000"/>
                <w:sz w:val="16"/>
                <w:szCs w:val="16"/>
                <w:lang w:eastAsia="pt-BR"/>
              </w:rPr>
              <w:t>10.027</w:t>
            </w:r>
          </w:p>
        </w:tc>
      </w:tr>
      <w:tr w:rsidR="00771A0C" w:rsidRPr="001C02CC" w:rsidTr="00CE02F0">
        <w:trPr>
          <w:cantSplit/>
          <w:trHeight w:val="284"/>
          <w:jc w:val="center"/>
        </w:trPr>
        <w:tc>
          <w:tcPr>
            <w:tcW w:w="1376" w:type="dxa"/>
            <w:tcBorders>
              <w:top w:val="single" w:sz="6" w:space="0" w:color="auto"/>
              <w:left w:val="single" w:sz="8" w:space="0" w:color="auto"/>
              <w:bottom w:val="single" w:sz="6" w:space="0" w:color="auto"/>
              <w:right w:val="single" w:sz="6" w:space="0" w:color="auto"/>
            </w:tcBorders>
            <w:shd w:val="clear" w:color="auto" w:fill="auto"/>
            <w:noWrap/>
            <w:vAlign w:val="center"/>
            <w:hideMark/>
          </w:tcPr>
          <w:p w:rsidR="00771A0C" w:rsidRPr="00A759AE" w:rsidRDefault="00771A0C" w:rsidP="00415CDA">
            <w:pPr>
              <w:spacing w:after="0"/>
              <w:jc w:val="center"/>
              <w:rPr>
                <w:rFonts w:eastAsia="Times New Roman" w:cs="Arial"/>
                <w:color w:val="000000"/>
                <w:sz w:val="16"/>
                <w:szCs w:val="16"/>
                <w:lang w:eastAsia="pt-BR"/>
              </w:rPr>
            </w:pPr>
            <w:r w:rsidRPr="00A759AE">
              <w:rPr>
                <w:rFonts w:eastAsia="Times New Roman" w:cs="Arial"/>
                <w:color w:val="000000"/>
                <w:sz w:val="16"/>
                <w:szCs w:val="16"/>
                <w:lang w:eastAsia="pt-BR"/>
              </w:rPr>
              <w:t>IG 103</w:t>
            </w:r>
          </w:p>
        </w:tc>
        <w:tc>
          <w:tcPr>
            <w:tcW w:w="2376"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771A0C" w:rsidRPr="00A759AE" w:rsidRDefault="00771A0C" w:rsidP="00415CDA">
            <w:pPr>
              <w:spacing w:after="0"/>
              <w:jc w:val="center"/>
              <w:rPr>
                <w:rFonts w:eastAsia="Times New Roman" w:cs="Arial"/>
                <w:b/>
                <w:bCs/>
                <w:color w:val="000000"/>
                <w:sz w:val="16"/>
                <w:szCs w:val="16"/>
                <w:lang w:eastAsia="pt-BR"/>
              </w:rPr>
            </w:pPr>
            <w:r w:rsidRPr="00A759AE">
              <w:rPr>
                <w:rFonts w:eastAsia="Times New Roman" w:cs="Arial"/>
                <w:b/>
                <w:bCs/>
                <w:color w:val="000000"/>
                <w:sz w:val="16"/>
                <w:szCs w:val="16"/>
                <w:lang w:eastAsia="pt-BR"/>
              </w:rPr>
              <w:t>8</w:t>
            </w:r>
          </w:p>
        </w:tc>
        <w:tc>
          <w:tcPr>
            <w:tcW w:w="2332" w:type="dxa"/>
            <w:tcBorders>
              <w:top w:val="single" w:sz="6" w:space="0" w:color="auto"/>
              <w:left w:val="single" w:sz="6" w:space="0" w:color="auto"/>
              <w:bottom w:val="single" w:sz="6" w:space="0" w:color="auto"/>
              <w:right w:val="single" w:sz="8" w:space="0" w:color="auto"/>
            </w:tcBorders>
            <w:shd w:val="clear" w:color="auto" w:fill="auto"/>
            <w:vAlign w:val="center"/>
            <w:hideMark/>
          </w:tcPr>
          <w:p w:rsidR="00771A0C" w:rsidRPr="00A759AE" w:rsidRDefault="00771A0C" w:rsidP="00415CDA">
            <w:pPr>
              <w:spacing w:after="0"/>
              <w:jc w:val="center"/>
              <w:rPr>
                <w:rFonts w:eastAsia="Times New Roman" w:cs="Arial"/>
                <w:b/>
                <w:bCs/>
                <w:color w:val="000000"/>
                <w:sz w:val="16"/>
                <w:szCs w:val="16"/>
                <w:lang w:eastAsia="pt-BR"/>
              </w:rPr>
            </w:pPr>
            <w:r w:rsidRPr="00A759AE">
              <w:rPr>
                <w:rFonts w:eastAsia="Times New Roman" w:cs="Arial"/>
                <w:b/>
                <w:bCs/>
                <w:color w:val="000000"/>
                <w:sz w:val="16"/>
                <w:szCs w:val="16"/>
                <w:lang w:eastAsia="pt-BR"/>
              </w:rPr>
              <w:t>4</w:t>
            </w:r>
            <w:r>
              <w:rPr>
                <w:rFonts w:eastAsia="Times New Roman" w:cs="Arial"/>
                <w:b/>
                <w:bCs/>
                <w:color w:val="000000"/>
                <w:sz w:val="16"/>
                <w:szCs w:val="16"/>
                <w:lang w:eastAsia="pt-BR"/>
              </w:rPr>
              <w:t>.</w:t>
            </w:r>
            <w:r w:rsidRPr="00A759AE">
              <w:rPr>
                <w:rFonts w:eastAsia="Times New Roman" w:cs="Arial"/>
                <w:b/>
                <w:bCs/>
                <w:color w:val="000000"/>
                <w:sz w:val="16"/>
                <w:szCs w:val="16"/>
                <w:lang w:eastAsia="pt-BR"/>
              </w:rPr>
              <w:t>853</w:t>
            </w:r>
          </w:p>
        </w:tc>
      </w:tr>
      <w:tr w:rsidR="00771A0C" w:rsidRPr="001C02CC" w:rsidTr="00CE02F0">
        <w:trPr>
          <w:cantSplit/>
          <w:trHeight w:val="284"/>
          <w:jc w:val="center"/>
        </w:trPr>
        <w:tc>
          <w:tcPr>
            <w:tcW w:w="1376" w:type="dxa"/>
            <w:tcBorders>
              <w:top w:val="single" w:sz="6" w:space="0" w:color="auto"/>
              <w:left w:val="single" w:sz="8" w:space="0" w:color="auto"/>
              <w:bottom w:val="single" w:sz="8" w:space="0" w:color="auto"/>
              <w:right w:val="single" w:sz="6" w:space="0" w:color="auto"/>
            </w:tcBorders>
            <w:shd w:val="clear" w:color="auto" w:fill="auto"/>
            <w:noWrap/>
            <w:vAlign w:val="center"/>
            <w:hideMark/>
          </w:tcPr>
          <w:p w:rsidR="00771A0C" w:rsidRPr="00A759AE" w:rsidRDefault="00771A0C" w:rsidP="00415CDA">
            <w:pPr>
              <w:spacing w:after="0"/>
              <w:jc w:val="center"/>
              <w:rPr>
                <w:rFonts w:eastAsia="Times New Roman" w:cs="Arial"/>
                <w:color w:val="000000"/>
                <w:sz w:val="16"/>
                <w:szCs w:val="16"/>
                <w:lang w:eastAsia="pt-BR"/>
              </w:rPr>
            </w:pPr>
            <w:r w:rsidRPr="00A759AE">
              <w:rPr>
                <w:rFonts w:eastAsia="Times New Roman" w:cs="Arial"/>
                <w:color w:val="000000"/>
                <w:sz w:val="16"/>
                <w:szCs w:val="16"/>
                <w:lang w:eastAsia="pt-BR"/>
              </w:rPr>
              <w:t>IG 104</w:t>
            </w:r>
          </w:p>
        </w:tc>
        <w:tc>
          <w:tcPr>
            <w:tcW w:w="2376" w:type="dxa"/>
            <w:tcBorders>
              <w:top w:val="single" w:sz="6" w:space="0" w:color="auto"/>
              <w:left w:val="single" w:sz="6" w:space="0" w:color="auto"/>
              <w:bottom w:val="single" w:sz="8" w:space="0" w:color="auto"/>
              <w:right w:val="single" w:sz="6" w:space="0" w:color="auto"/>
            </w:tcBorders>
            <w:shd w:val="clear" w:color="auto" w:fill="auto"/>
            <w:vAlign w:val="center"/>
            <w:hideMark/>
          </w:tcPr>
          <w:p w:rsidR="00771A0C" w:rsidRPr="00A759AE" w:rsidRDefault="00771A0C" w:rsidP="00415CDA">
            <w:pPr>
              <w:spacing w:after="0"/>
              <w:jc w:val="center"/>
              <w:rPr>
                <w:rFonts w:eastAsia="Times New Roman" w:cs="Arial"/>
                <w:b/>
                <w:bCs/>
                <w:color w:val="000000"/>
                <w:sz w:val="16"/>
                <w:szCs w:val="16"/>
                <w:lang w:eastAsia="pt-BR"/>
              </w:rPr>
            </w:pPr>
            <w:r w:rsidRPr="00A759AE">
              <w:rPr>
                <w:rFonts w:eastAsia="Times New Roman" w:cs="Arial"/>
                <w:b/>
                <w:bCs/>
                <w:color w:val="000000"/>
                <w:sz w:val="16"/>
                <w:szCs w:val="16"/>
                <w:lang w:eastAsia="pt-BR"/>
              </w:rPr>
              <w:t>6</w:t>
            </w:r>
          </w:p>
        </w:tc>
        <w:tc>
          <w:tcPr>
            <w:tcW w:w="2332" w:type="dxa"/>
            <w:tcBorders>
              <w:top w:val="single" w:sz="6" w:space="0" w:color="auto"/>
              <w:left w:val="single" w:sz="6" w:space="0" w:color="auto"/>
              <w:bottom w:val="single" w:sz="8" w:space="0" w:color="auto"/>
              <w:right w:val="single" w:sz="8" w:space="0" w:color="auto"/>
            </w:tcBorders>
            <w:shd w:val="clear" w:color="auto" w:fill="auto"/>
            <w:vAlign w:val="center"/>
            <w:hideMark/>
          </w:tcPr>
          <w:p w:rsidR="00771A0C" w:rsidRPr="00A759AE" w:rsidRDefault="00771A0C" w:rsidP="00415CDA">
            <w:pPr>
              <w:spacing w:after="0"/>
              <w:jc w:val="center"/>
              <w:rPr>
                <w:rFonts w:eastAsia="Times New Roman" w:cs="Arial"/>
                <w:b/>
                <w:bCs/>
                <w:color w:val="000000"/>
                <w:sz w:val="16"/>
                <w:szCs w:val="16"/>
                <w:lang w:eastAsia="pt-BR"/>
              </w:rPr>
            </w:pPr>
            <w:r w:rsidRPr="00A759AE">
              <w:rPr>
                <w:rFonts w:eastAsia="Times New Roman" w:cs="Arial"/>
                <w:b/>
                <w:bCs/>
                <w:color w:val="000000"/>
                <w:sz w:val="16"/>
                <w:szCs w:val="16"/>
                <w:lang w:eastAsia="pt-BR"/>
              </w:rPr>
              <w:t>2</w:t>
            </w:r>
            <w:r>
              <w:rPr>
                <w:rFonts w:eastAsia="Times New Roman" w:cs="Arial"/>
                <w:b/>
                <w:bCs/>
                <w:color w:val="000000"/>
                <w:sz w:val="16"/>
                <w:szCs w:val="16"/>
                <w:lang w:eastAsia="pt-BR"/>
              </w:rPr>
              <w:t>.</w:t>
            </w:r>
            <w:r w:rsidRPr="00A759AE">
              <w:rPr>
                <w:rFonts w:eastAsia="Times New Roman" w:cs="Arial"/>
                <w:b/>
                <w:bCs/>
                <w:color w:val="000000"/>
                <w:sz w:val="16"/>
                <w:szCs w:val="16"/>
                <w:lang w:eastAsia="pt-BR"/>
              </w:rPr>
              <w:t>560</w:t>
            </w:r>
          </w:p>
        </w:tc>
      </w:tr>
    </w:tbl>
    <w:p w:rsidR="000D0D7C" w:rsidRDefault="006B3855" w:rsidP="000D0D7C">
      <w:pPr>
        <w:pStyle w:val="Ttulo4"/>
      </w:pPr>
      <w:bookmarkStart w:id="148" w:name="_Toc411871213"/>
      <w:bookmarkEnd w:id="21"/>
      <w:r>
        <w:t xml:space="preserve">Ictiofauna. </w:t>
      </w:r>
      <w:r w:rsidR="000D0D7C">
        <w:t xml:space="preserve">Campanha nos </w:t>
      </w:r>
      <w:r>
        <w:t>r</w:t>
      </w:r>
      <w:r w:rsidR="000D0D7C">
        <w:t>eservatórios Jaguari e Atibainha</w:t>
      </w:r>
      <w:bookmarkEnd w:id="148"/>
    </w:p>
    <w:p w:rsidR="007211F1" w:rsidRPr="00D138DB" w:rsidRDefault="007211F1" w:rsidP="007211F1">
      <w:r w:rsidRPr="00D138DB">
        <w:t>Os ecossistemas aquáticos são frequentemente expostos a estresses ambientais. Como consequência disso, a fauna de peixes de água doce da América do Sul vem sendo rapidamente destruída por diversas atividades humanas, dentre elas, a sobrepesca, desmatamentos, destruição de alagadiços, poluição, introdução de espécies exóticas, e represamentos para construção de reservatórios com fins de abastecimento humano e construção de hidrelétricas (MENEZES &amp; ROSA, 1996).</w:t>
      </w:r>
    </w:p>
    <w:p w:rsidR="007211F1" w:rsidRPr="00D138DB" w:rsidRDefault="007211F1" w:rsidP="007211F1">
      <w:r w:rsidRPr="00D138DB">
        <w:t xml:space="preserve">Na bacia hidrográfica do rio Atibaia é perceptível o contraste entre ambientes naturais relativamente preservados </w:t>
      </w:r>
      <w:r w:rsidR="00D8114F">
        <w:t xml:space="preserve">e </w:t>
      </w:r>
      <w:r w:rsidRPr="00D138DB">
        <w:t xml:space="preserve">áreas extremamente urbanizadas. Esta bacia está diretamente relacionada a dois importantes centros urbanos e econômicos do Brasil, as regiões metropolitanas de Campinas e São Paulo, sendo um importante manancial de abastecimento público (DEMANBORO et al., 2013). A bacia do rio Jaguari, também se encontra próxima a importantes centros urbanos, como os municípios de São José dos Campos e Jacareí, no extremo </w:t>
      </w:r>
      <w:r w:rsidR="00D8114F">
        <w:t>sud</w:t>
      </w:r>
      <w:r w:rsidRPr="00D138DB">
        <w:t>oeste da bacia do rio Paraíba do Sul, e é considerad</w:t>
      </w:r>
      <w:r>
        <w:t>o</w:t>
      </w:r>
      <w:r w:rsidRPr="00D138DB">
        <w:t xml:space="preserve"> um importante manancial para abastecimento público </w:t>
      </w:r>
      <w:r w:rsidR="00D8114F">
        <w:t xml:space="preserve">e </w:t>
      </w:r>
      <w:r w:rsidRPr="00D138DB">
        <w:t>para produção de energia elétrica. É neste cenário que se encontram os reservatórios Atibainha e Jaguar</w:t>
      </w:r>
      <w:r w:rsidR="00D8114F">
        <w:t>i</w:t>
      </w:r>
      <w:r w:rsidRPr="00D138DB">
        <w:t xml:space="preserve">, </w:t>
      </w:r>
      <w:r w:rsidR="00D8114F">
        <w:t xml:space="preserve">objeto </w:t>
      </w:r>
      <w:r w:rsidRPr="00D138DB">
        <w:t xml:space="preserve">do </w:t>
      </w:r>
      <w:r w:rsidR="00D8114F" w:rsidRPr="00D138DB">
        <w:t xml:space="preserve">Projeto </w:t>
      </w:r>
      <w:r w:rsidRPr="00D138DB">
        <w:t xml:space="preserve">de </w:t>
      </w:r>
      <w:r w:rsidR="00D8114F">
        <w:t>Interligação</w:t>
      </w:r>
      <w:r w:rsidRPr="00D138DB">
        <w:t xml:space="preserve">. </w:t>
      </w:r>
    </w:p>
    <w:p w:rsidR="007211F1" w:rsidRPr="00D138DB" w:rsidRDefault="007211F1" w:rsidP="007211F1">
      <w:r w:rsidRPr="00D138DB">
        <w:t xml:space="preserve">O efeito de gradientes ambientais sobre a estrutura da ictiofauna pode ser observado em reservatórios (FERREIRA, </w:t>
      </w:r>
      <w:r w:rsidRPr="00D138DB">
        <w:rPr>
          <w:iCs/>
        </w:rPr>
        <w:t>2011</w:t>
      </w:r>
      <w:r w:rsidRPr="00D138DB">
        <w:t>), já que apesar de serem ambientes predominantemente lênticos, apresentam interação com a bacia hidrográfica e contribuem para a ocorrência de trechos lóticos e semilóticos, o que faz com que sejam classificados como sistemas intermediários entre rios e lagos (</w:t>
      </w:r>
      <w:r w:rsidRPr="00D138DB">
        <w:rPr>
          <w:caps/>
        </w:rPr>
        <w:t>Thornton</w:t>
      </w:r>
      <w:r w:rsidRPr="00D138DB">
        <w:t>, 1990). A formação de um reservatório é responsável pela reestruturação drástica nas assembleias de peixes, sendo que nos primeiros meses após sua formação verifica-se um aumento na diversidade pontual, pois as espécies de peixes que antes ocupavam diferentes tipos de habitats começam a explorar ativamente toda a coluna d'água (</w:t>
      </w:r>
      <w:r w:rsidRPr="00D138DB">
        <w:rPr>
          <w:caps/>
        </w:rPr>
        <w:t>Agostinho</w:t>
      </w:r>
      <w:r w:rsidRPr="00D138DB">
        <w:t xml:space="preserve"> </w:t>
      </w:r>
      <w:r w:rsidRPr="00D138DB">
        <w:rPr>
          <w:iCs/>
        </w:rPr>
        <w:t>et al.</w:t>
      </w:r>
      <w:r w:rsidRPr="00D138DB">
        <w:t>, 2008). Durante os anos subsequentes, a diversidade no reservatório declina devido à perda de espécies lóticas (sobretudo as migradoras) e ao aumento na abundância de grupos lênticos.</w:t>
      </w:r>
    </w:p>
    <w:p w:rsidR="007211F1" w:rsidRDefault="00D8114F" w:rsidP="007211F1">
      <w:r>
        <w:t>Em atendimento ao Termo de Referência para o EIA/RIMA, foi executado um</w:t>
      </w:r>
      <w:r w:rsidR="007211F1" w:rsidRPr="00D138DB">
        <w:t xml:space="preserve"> Levantamento e Diagnóstico da Ictiofauna pre</w:t>
      </w:r>
      <w:r>
        <w:t>sente nas represas de Atibainha</w:t>
      </w:r>
      <w:r w:rsidR="007211F1" w:rsidRPr="00D138DB">
        <w:t xml:space="preserve"> </w:t>
      </w:r>
      <w:r>
        <w:t>(</w:t>
      </w:r>
      <w:r w:rsidR="007211F1">
        <w:t>bacia do Alto Paraná</w:t>
      </w:r>
      <w:r>
        <w:t>)</w:t>
      </w:r>
      <w:r w:rsidR="007211F1">
        <w:t xml:space="preserve"> e Jaguari </w:t>
      </w:r>
      <w:r>
        <w:t>(</w:t>
      </w:r>
      <w:r w:rsidR="007211F1" w:rsidRPr="00D138DB">
        <w:t>bacia do rio Paraíba do Sul</w:t>
      </w:r>
      <w:r>
        <w:t>)</w:t>
      </w:r>
      <w:r w:rsidR="007211F1" w:rsidRPr="00D138DB">
        <w:t>.</w:t>
      </w:r>
    </w:p>
    <w:p w:rsidR="007211F1" w:rsidRPr="007211F1" w:rsidRDefault="007211F1" w:rsidP="00552BAF">
      <w:pPr>
        <w:pStyle w:val="Ttulo5"/>
        <w:numPr>
          <w:ilvl w:val="0"/>
          <w:numId w:val="25"/>
        </w:numPr>
      </w:pPr>
      <w:r w:rsidRPr="007211F1">
        <w:t>Levantamento de Dados Secundários</w:t>
      </w:r>
    </w:p>
    <w:p w:rsidR="007211F1" w:rsidRPr="00F0611A" w:rsidRDefault="007211F1" w:rsidP="007211F1">
      <w:r>
        <w:t>As informações bibliográficas</w:t>
      </w:r>
      <w:r w:rsidRPr="00F0611A">
        <w:t xml:space="preserve"> referentes à ictiofauna de potencial ocorrência na área de I</w:t>
      </w:r>
      <w:r>
        <w:t>nfluência da Interligação d</w:t>
      </w:r>
      <w:r w:rsidRPr="00F0611A">
        <w:t xml:space="preserve">as Represas Jaguari e Atibainha foram realizadas a partir de buscas em literatura específica, como artigos publicados em periódicos, livros, teses e dissertações, </w:t>
      </w:r>
      <w:r>
        <w:t>b</w:t>
      </w:r>
      <w:r w:rsidRPr="00F0611A">
        <w:t>e</w:t>
      </w:r>
      <w:r>
        <w:t xml:space="preserve">m como em </w:t>
      </w:r>
      <w:r w:rsidRPr="00F0611A">
        <w:t>base de dados do projeto S</w:t>
      </w:r>
      <w:r w:rsidRPr="00BD0BF7">
        <w:rPr>
          <w:i/>
        </w:rPr>
        <w:t>peciesLink</w:t>
      </w:r>
      <w:r w:rsidRPr="00F0611A">
        <w:t>, uma fonte de informação que integra dados sobre biodiversidade disponível em museus, herbários e coleçõ</w:t>
      </w:r>
      <w:r>
        <w:t>es biológicas (SPECIESLINK, 2010</w:t>
      </w:r>
      <w:r w:rsidRPr="00F0611A">
        <w:t xml:space="preserve">) e do Catálogo das Espécies de Peixes Marinhos e de Água Doce do Brasil, que reúne uma </w:t>
      </w:r>
      <w:r w:rsidRPr="00F0611A">
        <w:lastRenderedPageBreak/>
        <w:t>lista de espécies válidas de peixes com ocorrência documentada para o Brasil (BUCKUP &amp; MENEZES, 2003). A nomenclatura das espécies baseou-se em Buckup et</w:t>
      </w:r>
      <w:r>
        <w:t>.</w:t>
      </w:r>
      <w:r w:rsidRPr="00F0611A">
        <w:t xml:space="preserve"> al. (2007) e Langeani et al. (2007). </w:t>
      </w:r>
    </w:p>
    <w:p w:rsidR="007211F1" w:rsidRDefault="007211F1" w:rsidP="007211F1">
      <w:r w:rsidRPr="00F0611A">
        <w:t>Considerando que os reservatórios estão inseridos em duas grandes províncias hidrográficas</w:t>
      </w:r>
      <w:r>
        <w:t xml:space="preserve"> distintas</w:t>
      </w:r>
      <w:r w:rsidRPr="00F0611A">
        <w:t xml:space="preserve">, o levantamento </w:t>
      </w:r>
      <w:r>
        <w:t xml:space="preserve">foi realizado separadamente para </w:t>
      </w:r>
      <w:r w:rsidRPr="00F0611A">
        <w:t>as bacias do Alto rio Paraná e do rio Paraíba do Sul, representando as área</w:t>
      </w:r>
      <w:r w:rsidR="00E551CF">
        <w:t>s influência do empreendimento.</w:t>
      </w:r>
    </w:p>
    <w:p w:rsidR="00E551CF" w:rsidRPr="00D138DB" w:rsidRDefault="00E551CF" w:rsidP="00E551CF">
      <w:r w:rsidRPr="00D138DB">
        <w:t xml:space="preserve">O sistema Alto Paraná contém 38 famílias e 310 espécies de peixes descritas (LANGEANI et al., 2007), sendo uma das mais impactadas devido aos processos de urbanização e industrialização, apresentando um total de 29 espécies de peixes ameaçadas de extinção (ROSA &amp; LIMA, 2008). O </w:t>
      </w:r>
      <w:r w:rsidRPr="00710308">
        <w:rPr>
          <w:b/>
        </w:rPr>
        <w:t>Anexo 2.5</w:t>
      </w:r>
      <w:r>
        <w:rPr>
          <w:b/>
        </w:rPr>
        <w:t>.1</w:t>
      </w:r>
      <w:r w:rsidRPr="00D138DB">
        <w:t xml:space="preserve"> apresenta uma compilação das espécies citadas nos principais trabalhos realizados na bacia do Alto Paraná e o grau de ameaça.</w:t>
      </w:r>
    </w:p>
    <w:p w:rsidR="00E551CF" w:rsidRDefault="00E551CF" w:rsidP="00E551CF">
      <w:r w:rsidRPr="00D138DB">
        <w:t xml:space="preserve">A fauna de peixes da bacia do rio Paraíba do Sul, inclui cerca de 160 espécies de água doce e estuarinas (BIZERRIL, 2001). Oyakawa &amp; Menezes (2011) compilaram 71 espécies de peixes para a porção do rio Paraíba do Sul do estado de São Paulo. Os autores chamam a atenção para o quanto ainda é falha a inventariação da ictiofauna do estado, pois recentemente foi registrada a ocorrência, em um dos braços da represa de Paraibuna, de </w:t>
      </w:r>
      <w:r w:rsidRPr="00D138DB">
        <w:rPr>
          <w:i/>
        </w:rPr>
        <w:t>Pogonopoma</w:t>
      </w:r>
      <w:r w:rsidRPr="00D138DB">
        <w:t xml:space="preserve"> </w:t>
      </w:r>
      <w:r w:rsidRPr="00D138DB">
        <w:rPr>
          <w:i/>
        </w:rPr>
        <w:t>parahybae</w:t>
      </w:r>
      <w:r w:rsidRPr="00D138DB">
        <w:t xml:space="preserve">, espécie ameaçada de extinção, conhecida anteriormente só das porções carioca e mineira do Paraíba do Sul. O </w:t>
      </w:r>
      <w:r w:rsidRPr="00710308">
        <w:rPr>
          <w:b/>
        </w:rPr>
        <w:t>Anexo 2.5.2</w:t>
      </w:r>
      <w:r w:rsidRPr="00D138DB">
        <w:t xml:space="preserve"> traz uma relação das espécies citadas nos principais trabalhos realizados na bacia do Paraíba do Sul e o grau de ameaça.</w:t>
      </w:r>
    </w:p>
    <w:p w:rsidR="007211F1" w:rsidRPr="00074BE6" w:rsidRDefault="00E551CF" w:rsidP="00E551CF">
      <w:pPr>
        <w:pStyle w:val="Ttulo5"/>
        <w:numPr>
          <w:ilvl w:val="0"/>
          <w:numId w:val="25"/>
        </w:numPr>
      </w:pPr>
      <w:r>
        <w:t>Amostragem de Ictiofauna</w:t>
      </w:r>
    </w:p>
    <w:p w:rsidR="007211F1" w:rsidRDefault="007211F1" w:rsidP="007211F1">
      <w:r w:rsidRPr="00D138DB">
        <w:t>O levantamento de dados em campo foi realizado entre os dias 5 e 8 de dezembro</w:t>
      </w:r>
      <w:r>
        <w:t xml:space="preserve"> de 2014</w:t>
      </w:r>
      <w:r w:rsidRPr="00D138DB">
        <w:t>, com amostragem em três locais, sendo</w:t>
      </w:r>
      <w:r w:rsidR="00616621">
        <w:t>: (i)</w:t>
      </w:r>
      <w:r w:rsidRPr="00D138DB">
        <w:t xml:space="preserve"> dois pontos localizados no reservatório Jaguari</w:t>
      </w:r>
      <w:r w:rsidR="00616621">
        <w:t>,</w:t>
      </w:r>
      <w:r w:rsidRPr="00D138DB">
        <w:t xml:space="preserve"> um em frente à futura captação </w:t>
      </w:r>
      <w:r w:rsidR="00616621">
        <w:t xml:space="preserve">(JAGJ 00400) </w:t>
      </w:r>
      <w:r w:rsidRPr="00D138DB">
        <w:t>e outro na foz do braço do rio do Peixe</w:t>
      </w:r>
      <w:r w:rsidR="00616621">
        <w:t xml:space="preserve"> (JAGJ 00700</w:t>
      </w:r>
      <w:r w:rsidRPr="00D138DB">
        <w:t>)</w:t>
      </w:r>
      <w:r w:rsidR="00616621">
        <w:t>;</w:t>
      </w:r>
      <w:r w:rsidRPr="00D138DB">
        <w:t xml:space="preserve"> e </w:t>
      </w:r>
      <w:r w:rsidR="00616621">
        <w:t xml:space="preserve">(ii) </w:t>
      </w:r>
      <w:r w:rsidRPr="00D138DB">
        <w:t xml:space="preserve">um localizado no meio do reservatório Atibainha </w:t>
      </w:r>
      <w:r w:rsidR="00616621">
        <w:t xml:space="preserve">(RAIN 00500) </w:t>
      </w:r>
      <w:r w:rsidRPr="00D138DB">
        <w:t>(</w:t>
      </w:r>
      <w:r w:rsidRPr="00BD6ECC">
        <w:rPr>
          <w:b/>
        </w:rPr>
        <w:t xml:space="preserve">Tabela </w:t>
      </w:r>
      <w:r w:rsidR="002A16A7">
        <w:rPr>
          <w:b/>
        </w:rPr>
        <w:t>6.4.5-1</w:t>
      </w:r>
      <w:r w:rsidR="00330B1C">
        <w:rPr>
          <w:b/>
        </w:rPr>
        <w:t>3</w:t>
      </w:r>
      <w:r w:rsidRPr="00BD6ECC">
        <w:rPr>
          <w:b/>
        </w:rPr>
        <w:t xml:space="preserve"> </w:t>
      </w:r>
      <w:r w:rsidRPr="00BD6ECC">
        <w:t>e</w:t>
      </w:r>
      <w:r w:rsidRPr="00BD6ECC">
        <w:rPr>
          <w:b/>
        </w:rPr>
        <w:t xml:space="preserve"> Figuras </w:t>
      </w:r>
      <w:r w:rsidR="00CD652E">
        <w:rPr>
          <w:b/>
        </w:rPr>
        <w:t>6.4.5-</w:t>
      </w:r>
      <w:r w:rsidRPr="00BD6ECC">
        <w:rPr>
          <w:b/>
        </w:rPr>
        <w:t>1</w:t>
      </w:r>
      <w:r w:rsidR="00CD652E">
        <w:rPr>
          <w:b/>
        </w:rPr>
        <w:t>6</w:t>
      </w:r>
      <w:r w:rsidRPr="00BD6ECC">
        <w:rPr>
          <w:b/>
        </w:rPr>
        <w:t xml:space="preserve"> </w:t>
      </w:r>
      <w:r w:rsidRPr="00BD6ECC">
        <w:t>e</w:t>
      </w:r>
      <w:r w:rsidRPr="00BD6ECC">
        <w:rPr>
          <w:b/>
        </w:rPr>
        <w:t xml:space="preserve"> </w:t>
      </w:r>
      <w:r w:rsidR="00CD652E">
        <w:rPr>
          <w:b/>
        </w:rPr>
        <w:t>17</w:t>
      </w:r>
      <w:r w:rsidRPr="00D138DB">
        <w:t>).</w:t>
      </w:r>
    </w:p>
    <w:p w:rsidR="00616621" w:rsidRDefault="00616621" w:rsidP="007211F1">
      <w:r>
        <w:t xml:space="preserve">A campanha de campo foi realizada em conformidade com a Autorização de Manejo </w:t>
      </w:r>
      <w:r w:rsidRPr="00616621">
        <w:rPr>
          <w:i/>
        </w:rPr>
        <w:t>in situ</w:t>
      </w:r>
      <w:r>
        <w:t xml:space="preserve"> n</w:t>
      </w:r>
      <w:r w:rsidRPr="00616621">
        <w:rPr>
          <w:vertAlign w:val="superscript"/>
        </w:rPr>
        <w:t>o</w:t>
      </w:r>
      <w:r>
        <w:t xml:space="preserve"> 118/2014 e Parecer Técnico DeFau/CFMS n</w:t>
      </w:r>
      <w:r w:rsidRPr="00616621">
        <w:rPr>
          <w:vertAlign w:val="superscript"/>
        </w:rPr>
        <w:t>o</w:t>
      </w:r>
      <w:r>
        <w:t xml:space="preserve"> 108/2014, ambos de 11/11/2014.</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7211F1" w:rsidTr="0014492A">
        <w:tc>
          <w:tcPr>
            <w:tcW w:w="5000" w:type="pct"/>
          </w:tcPr>
          <w:p w:rsidR="007211F1" w:rsidRPr="00BD6ECC" w:rsidRDefault="007211F1" w:rsidP="00330B1C">
            <w:pPr>
              <w:pStyle w:val="Quadro"/>
            </w:pPr>
            <w:r w:rsidRPr="00BD6ECC">
              <w:t xml:space="preserve">Tabela </w:t>
            </w:r>
            <w:r w:rsidR="002A16A7">
              <w:t>6.4.5-1</w:t>
            </w:r>
            <w:r w:rsidR="00330B1C">
              <w:t>3</w:t>
            </w:r>
            <w:r w:rsidRPr="00BD6ECC">
              <w:t xml:space="preserve">. Coordenadas geográficas pontos de amostragem </w:t>
            </w:r>
            <w:r w:rsidR="006B3855">
              <w:t>de Ictiofauna</w:t>
            </w:r>
          </w:p>
        </w:tc>
      </w:tr>
      <w:tr w:rsidR="007211F1" w:rsidTr="0014492A">
        <w:tc>
          <w:tcPr>
            <w:tcW w:w="5000" w:type="pct"/>
          </w:tcPr>
          <w:tbl>
            <w:tblPr>
              <w:tblW w:w="500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2009"/>
              <w:gridCol w:w="2010"/>
              <w:gridCol w:w="2132"/>
              <w:gridCol w:w="2967"/>
            </w:tblGrid>
            <w:tr w:rsidR="007211F1" w:rsidRPr="0014492A" w:rsidTr="00616621">
              <w:trPr>
                <w:cantSplit/>
              </w:trPr>
              <w:tc>
                <w:tcPr>
                  <w:tcW w:w="1102" w:type="pct"/>
                  <w:vMerge w:val="restart"/>
                  <w:shd w:val="clear" w:color="000000" w:fill="BFBFBF"/>
                  <w:noWrap/>
                  <w:vAlign w:val="center"/>
                  <w:hideMark/>
                </w:tcPr>
                <w:p w:rsidR="007211F1" w:rsidRPr="0014492A" w:rsidRDefault="007211F1" w:rsidP="0014492A">
                  <w:pPr>
                    <w:spacing w:after="0"/>
                    <w:jc w:val="center"/>
                    <w:rPr>
                      <w:rFonts w:cs="Arial"/>
                      <w:b/>
                      <w:bCs/>
                      <w:color w:val="000000"/>
                      <w:sz w:val="18"/>
                      <w:szCs w:val="18"/>
                    </w:rPr>
                  </w:pPr>
                  <w:r w:rsidRPr="0014492A">
                    <w:rPr>
                      <w:rFonts w:eastAsia="Calibri" w:cs="Arial"/>
                      <w:b/>
                      <w:bCs/>
                      <w:color w:val="000000"/>
                      <w:sz w:val="18"/>
                      <w:szCs w:val="18"/>
                    </w:rPr>
                    <w:t>Ponto</w:t>
                  </w:r>
                </w:p>
              </w:tc>
              <w:tc>
                <w:tcPr>
                  <w:tcW w:w="2271" w:type="pct"/>
                  <w:gridSpan w:val="2"/>
                  <w:shd w:val="clear" w:color="000000" w:fill="BFBFBF"/>
                  <w:noWrap/>
                  <w:vAlign w:val="center"/>
                  <w:hideMark/>
                </w:tcPr>
                <w:p w:rsidR="007211F1" w:rsidRPr="0014492A" w:rsidRDefault="007211F1" w:rsidP="0014492A">
                  <w:pPr>
                    <w:spacing w:after="0"/>
                    <w:jc w:val="center"/>
                    <w:rPr>
                      <w:rFonts w:cs="Arial"/>
                      <w:b/>
                      <w:bCs/>
                      <w:color w:val="000000"/>
                      <w:sz w:val="18"/>
                      <w:szCs w:val="18"/>
                    </w:rPr>
                  </w:pPr>
                  <w:r w:rsidRPr="0014492A">
                    <w:rPr>
                      <w:rFonts w:cs="Arial"/>
                      <w:b/>
                      <w:bCs/>
                      <w:color w:val="000000"/>
                      <w:sz w:val="18"/>
                      <w:szCs w:val="18"/>
                    </w:rPr>
                    <w:t xml:space="preserve">Coordenadas </w:t>
                  </w:r>
                  <w:r w:rsidR="00330B1C">
                    <w:rPr>
                      <w:rFonts w:cs="Arial"/>
                      <w:b/>
                      <w:bCs/>
                      <w:color w:val="000000"/>
                      <w:sz w:val="18"/>
                      <w:szCs w:val="18"/>
                    </w:rPr>
                    <w:t xml:space="preserve">UTM </w:t>
                  </w:r>
                  <w:r w:rsidRPr="0014492A">
                    <w:rPr>
                      <w:rFonts w:cs="Arial"/>
                      <w:b/>
                      <w:bCs/>
                      <w:color w:val="000000"/>
                      <w:sz w:val="18"/>
                      <w:szCs w:val="18"/>
                    </w:rPr>
                    <w:t>(23K)</w:t>
                  </w:r>
                </w:p>
              </w:tc>
              <w:tc>
                <w:tcPr>
                  <w:tcW w:w="1627" w:type="pct"/>
                  <w:vMerge w:val="restart"/>
                  <w:shd w:val="clear" w:color="000000" w:fill="BFBFBF"/>
                  <w:noWrap/>
                  <w:vAlign w:val="center"/>
                  <w:hideMark/>
                </w:tcPr>
                <w:p w:rsidR="007211F1" w:rsidRPr="0014492A" w:rsidRDefault="007211F1" w:rsidP="0014492A">
                  <w:pPr>
                    <w:spacing w:after="0"/>
                    <w:jc w:val="center"/>
                    <w:rPr>
                      <w:rFonts w:cs="Arial"/>
                      <w:b/>
                      <w:bCs/>
                      <w:color w:val="000000"/>
                      <w:sz w:val="18"/>
                      <w:szCs w:val="18"/>
                    </w:rPr>
                  </w:pPr>
                  <w:r w:rsidRPr="0014492A">
                    <w:rPr>
                      <w:rFonts w:cs="Arial"/>
                      <w:b/>
                      <w:bCs/>
                      <w:color w:val="000000"/>
                      <w:sz w:val="18"/>
                      <w:szCs w:val="18"/>
                    </w:rPr>
                    <w:t>Local</w:t>
                  </w:r>
                </w:p>
              </w:tc>
            </w:tr>
            <w:tr w:rsidR="007211F1" w:rsidRPr="0014492A" w:rsidTr="00616621">
              <w:trPr>
                <w:cantSplit/>
              </w:trPr>
              <w:tc>
                <w:tcPr>
                  <w:tcW w:w="1102" w:type="pct"/>
                  <w:vMerge/>
                  <w:vAlign w:val="center"/>
                  <w:hideMark/>
                </w:tcPr>
                <w:p w:rsidR="007211F1" w:rsidRPr="0014492A" w:rsidRDefault="007211F1" w:rsidP="0014492A">
                  <w:pPr>
                    <w:spacing w:after="0"/>
                    <w:jc w:val="left"/>
                    <w:rPr>
                      <w:rFonts w:cs="Arial"/>
                      <w:b/>
                      <w:bCs/>
                      <w:color w:val="000000"/>
                      <w:sz w:val="18"/>
                      <w:szCs w:val="18"/>
                    </w:rPr>
                  </w:pPr>
                </w:p>
              </w:tc>
              <w:tc>
                <w:tcPr>
                  <w:tcW w:w="1102" w:type="pct"/>
                  <w:shd w:val="clear" w:color="000000" w:fill="BFBFBF"/>
                  <w:noWrap/>
                  <w:vAlign w:val="center"/>
                  <w:hideMark/>
                </w:tcPr>
                <w:p w:rsidR="007211F1" w:rsidRPr="0014492A" w:rsidRDefault="007211F1" w:rsidP="0014492A">
                  <w:pPr>
                    <w:spacing w:after="0"/>
                    <w:jc w:val="center"/>
                    <w:rPr>
                      <w:rFonts w:cs="Arial"/>
                      <w:b/>
                      <w:bCs/>
                      <w:color w:val="000000"/>
                      <w:sz w:val="18"/>
                      <w:szCs w:val="18"/>
                    </w:rPr>
                  </w:pPr>
                  <w:r w:rsidRPr="0014492A">
                    <w:rPr>
                      <w:rFonts w:cs="Arial"/>
                      <w:b/>
                      <w:bCs/>
                      <w:color w:val="000000"/>
                      <w:sz w:val="18"/>
                      <w:szCs w:val="18"/>
                    </w:rPr>
                    <w:t>Este</w:t>
                  </w:r>
                </w:p>
              </w:tc>
              <w:tc>
                <w:tcPr>
                  <w:tcW w:w="1169" w:type="pct"/>
                  <w:shd w:val="clear" w:color="000000" w:fill="BFBFBF"/>
                  <w:noWrap/>
                  <w:vAlign w:val="center"/>
                  <w:hideMark/>
                </w:tcPr>
                <w:p w:rsidR="007211F1" w:rsidRPr="0014492A" w:rsidRDefault="007211F1" w:rsidP="0014492A">
                  <w:pPr>
                    <w:spacing w:after="0"/>
                    <w:jc w:val="center"/>
                    <w:rPr>
                      <w:rFonts w:cs="Arial"/>
                      <w:b/>
                      <w:bCs/>
                      <w:color w:val="000000"/>
                      <w:sz w:val="18"/>
                      <w:szCs w:val="18"/>
                    </w:rPr>
                  </w:pPr>
                  <w:r w:rsidRPr="0014492A">
                    <w:rPr>
                      <w:rFonts w:cs="Arial"/>
                      <w:b/>
                      <w:bCs/>
                      <w:color w:val="000000"/>
                      <w:sz w:val="18"/>
                      <w:szCs w:val="18"/>
                    </w:rPr>
                    <w:t>Norte</w:t>
                  </w:r>
                </w:p>
              </w:tc>
              <w:tc>
                <w:tcPr>
                  <w:tcW w:w="1627" w:type="pct"/>
                  <w:vMerge/>
                  <w:vAlign w:val="center"/>
                  <w:hideMark/>
                </w:tcPr>
                <w:p w:rsidR="007211F1" w:rsidRPr="0014492A" w:rsidRDefault="007211F1" w:rsidP="0014492A">
                  <w:pPr>
                    <w:spacing w:after="0"/>
                    <w:jc w:val="left"/>
                    <w:rPr>
                      <w:rFonts w:cs="Arial"/>
                      <w:b/>
                      <w:bCs/>
                      <w:color w:val="000000"/>
                      <w:sz w:val="18"/>
                      <w:szCs w:val="18"/>
                    </w:rPr>
                  </w:pPr>
                </w:p>
              </w:tc>
            </w:tr>
            <w:tr w:rsidR="007211F1" w:rsidRPr="0014492A" w:rsidTr="00616621">
              <w:trPr>
                <w:cantSplit/>
              </w:trPr>
              <w:tc>
                <w:tcPr>
                  <w:tcW w:w="1102" w:type="pct"/>
                  <w:shd w:val="clear" w:color="auto" w:fill="auto"/>
                  <w:vAlign w:val="bottom"/>
                  <w:hideMark/>
                </w:tcPr>
                <w:p w:rsidR="007211F1" w:rsidRPr="0014492A" w:rsidRDefault="007211F1" w:rsidP="00616621">
                  <w:pPr>
                    <w:spacing w:after="0"/>
                    <w:rPr>
                      <w:rFonts w:cs="Arial"/>
                      <w:color w:val="000000"/>
                      <w:sz w:val="18"/>
                      <w:szCs w:val="18"/>
                    </w:rPr>
                  </w:pPr>
                  <w:r w:rsidRPr="0014492A">
                    <w:rPr>
                      <w:rFonts w:cs="Arial"/>
                      <w:color w:val="000000"/>
                      <w:sz w:val="18"/>
                      <w:szCs w:val="18"/>
                    </w:rPr>
                    <w:t>JAGJ 00400</w:t>
                  </w:r>
                </w:p>
              </w:tc>
              <w:tc>
                <w:tcPr>
                  <w:tcW w:w="1102" w:type="pct"/>
                  <w:shd w:val="clear" w:color="auto" w:fill="auto"/>
                  <w:vAlign w:val="bottom"/>
                  <w:hideMark/>
                </w:tcPr>
                <w:p w:rsidR="007211F1" w:rsidRPr="0014492A" w:rsidRDefault="007211F1" w:rsidP="0014492A">
                  <w:pPr>
                    <w:spacing w:after="0"/>
                    <w:jc w:val="center"/>
                    <w:rPr>
                      <w:rFonts w:cs="Arial"/>
                      <w:color w:val="000000"/>
                      <w:sz w:val="18"/>
                      <w:szCs w:val="18"/>
                    </w:rPr>
                  </w:pPr>
                  <w:r w:rsidRPr="0014492A">
                    <w:rPr>
                      <w:rFonts w:cs="Arial"/>
                      <w:color w:val="000000"/>
                      <w:sz w:val="18"/>
                      <w:szCs w:val="18"/>
                    </w:rPr>
                    <w:t>379</w:t>
                  </w:r>
                  <w:r w:rsidR="0014492A">
                    <w:rPr>
                      <w:rFonts w:cs="Arial"/>
                      <w:color w:val="000000"/>
                      <w:sz w:val="18"/>
                      <w:szCs w:val="18"/>
                    </w:rPr>
                    <w:t>.</w:t>
                  </w:r>
                  <w:r w:rsidRPr="0014492A">
                    <w:rPr>
                      <w:rFonts w:cs="Arial"/>
                      <w:color w:val="000000"/>
                      <w:sz w:val="18"/>
                      <w:szCs w:val="18"/>
                    </w:rPr>
                    <w:t>930</w:t>
                  </w:r>
                </w:p>
              </w:tc>
              <w:tc>
                <w:tcPr>
                  <w:tcW w:w="1169" w:type="pct"/>
                  <w:shd w:val="clear" w:color="auto" w:fill="auto"/>
                  <w:vAlign w:val="bottom"/>
                  <w:hideMark/>
                </w:tcPr>
                <w:p w:rsidR="007211F1" w:rsidRPr="0014492A" w:rsidRDefault="007211F1" w:rsidP="0014492A">
                  <w:pPr>
                    <w:spacing w:after="0"/>
                    <w:jc w:val="center"/>
                    <w:rPr>
                      <w:rFonts w:cs="Arial"/>
                      <w:color w:val="000000"/>
                      <w:sz w:val="18"/>
                      <w:szCs w:val="18"/>
                    </w:rPr>
                  </w:pPr>
                  <w:r w:rsidRPr="0014492A">
                    <w:rPr>
                      <w:rFonts w:cs="Arial"/>
                      <w:color w:val="000000"/>
                      <w:sz w:val="18"/>
                      <w:szCs w:val="18"/>
                    </w:rPr>
                    <w:t>7</w:t>
                  </w:r>
                  <w:r w:rsidR="0014492A">
                    <w:rPr>
                      <w:rFonts w:cs="Arial"/>
                      <w:color w:val="000000"/>
                      <w:sz w:val="18"/>
                      <w:szCs w:val="18"/>
                    </w:rPr>
                    <w:t>.</w:t>
                  </w:r>
                  <w:r w:rsidRPr="0014492A">
                    <w:rPr>
                      <w:rFonts w:cs="Arial"/>
                      <w:color w:val="000000"/>
                      <w:sz w:val="18"/>
                      <w:szCs w:val="18"/>
                    </w:rPr>
                    <w:t>429</w:t>
                  </w:r>
                  <w:r w:rsidR="0014492A">
                    <w:rPr>
                      <w:rFonts w:cs="Arial"/>
                      <w:color w:val="000000"/>
                      <w:sz w:val="18"/>
                      <w:szCs w:val="18"/>
                    </w:rPr>
                    <w:t>.</w:t>
                  </w:r>
                  <w:r w:rsidRPr="0014492A">
                    <w:rPr>
                      <w:rFonts w:cs="Arial"/>
                      <w:color w:val="000000"/>
                      <w:sz w:val="18"/>
                      <w:szCs w:val="18"/>
                    </w:rPr>
                    <w:t>456</w:t>
                  </w:r>
                </w:p>
              </w:tc>
              <w:tc>
                <w:tcPr>
                  <w:tcW w:w="1627" w:type="pct"/>
                  <w:shd w:val="clear" w:color="auto" w:fill="auto"/>
                  <w:vAlign w:val="bottom"/>
                  <w:hideMark/>
                </w:tcPr>
                <w:p w:rsidR="007211F1" w:rsidRPr="0014492A" w:rsidRDefault="007211F1" w:rsidP="0014492A">
                  <w:pPr>
                    <w:spacing w:after="0"/>
                    <w:jc w:val="center"/>
                    <w:rPr>
                      <w:rFonts w:cs="Arial"/>
                      <w:color w:val="000000"/>
                      <w:sz w:val="18"/>
                      <w:szCs w:val="18"/>
                    </w:rPr>
                  </w:pPr>
                  <w:r w:rsidRPr="0014492A">
                    <w:rPr>
                      <w:rFonts w:cs="Arial"/>
                      <w:color w:val="000000"/>
                      <w:sz w:val="18"/>
                      <w:szCs w:val="18"/>
                    </w:rPr>
                    <w:t>Reservatório Jaguari</w:t>
                  </w:r>
                </w:p>
              </w:tc>
            </w:tr>
            <w:tr w:rsidR="007211F1" w:rsidRPr="0014492A" w:rsidTr="00616621">
              <w:trPr>
                <w:cantSplit/>
              </w:trPr>
              <w:tc>
                <w:tcPr>
                  <w:tcW w:w="1102" w:type="pct"/>
                  <w:shd w:val="clear" w:color="auto" w:fill="auto"/>
                  <w:vAlign w:val="bottom"/>
                  <w:hideMark/>
                </w:tcPr>
                <w:p w:rsidR="007211F1" w:rsidRPr="0014492A" w:rsidRDefault="007211F1" w:rsidP="00616621">
                  <w:pPr>
                    <w:spacing w:after="0"/>
                    <w:rPr>
                      <w:rFonts w:cs="Arial"/>
                      <w:color w:val="000000"/>
                      <w:sz w:val="18"/>
                      <w:szCs w:val="18"/>
                    </w:rPr>
                  </w:pPr>
                  <w:r w:rsidRPr="0014492A">
                    <w:rPr>
                      <w:rFonts w:cs="Arial"/>
                      <w:color w:val="000000"/>
                      <w:sz w:val="18"/>
                      <w:szCs w:val="18"/>
                    </w:rPr>
                    <w:t>JAGJ 00700</w:t>
                  </w:r>
                </w:p>
              </w:tc>
              <w:tc>
                <w:tcPr>
                  <w:tcW w:w="1102" w:type="pct"/>
                  <w:shd w:val="clear" w:color="auto" w:fill="auto"/>
                  <w:vAlign w:val="bottom"/>
                  <w:hideMark/>
                </w:tcPr>
                <w:p w:rsidR="007211F1" w:rsidRPr="0014492A" w:rsidRDefault="007211F1" w:rsidP="0014492A">
                  <w:pPr>
                    <w:spacing w:after="0"/>
                    <w:jc w:val="center"/>
                    <w:rPr>
                      <w:rFonts w:cs="Arial"/>
                      <w:color w:val="000000"/>
                      <w:sz w:val="18"/>
                      <w:szCs w:val="18"/>
                    </w:rPr>
                  </w:pPr>
                  <w:r w:rsidRPr="0014492A">
                    <w:rPr>
                      <w:rFonts w:cs="Arial"/>
                      <w:color w:val="000000"/>
                      <w:sz w:val="18"/>
                      <w:szCs w:val="18"/>
                    </w:rPr>
                    <w:t>388</w:t>
                  </w:r>
                  <w:r w:rsidR="0014492A">
                    <w:rPr>
                      <w:rFonts w:cs="Arial"/>
                      <w:color w:val="000000"/>
                      <w:sz w:val="18"/>
                      <w:szCs w:val="18"/>
                    </w:rPr>
                    <w:t>.</w:t>
                  </w:r>
                  <w:r w:rsidRPr="0014492A">
                    <w:rPr>
                      <w:rFonts w:cs="Arial"/>
                      <w:color w:val="000000"/>
                      <w:sz w:val="18"/>
                      <w:szCs w:val="18"/>
                    </w:rPr>
                    <w:t>713</w:t>
                  </w:r>
                </w:p>
              </w:tc>
              <w:tc>
                <w:tcPr>
                  <w:tcW w:w="1169" w:type="pct"/>
                  <w:shd w:val="clear" w:color="auto" w:fill="auto"/>
                  <w:vAlign w:val="bottom"/>
                  <w:hideMark/>
                </w:tcPr>
                <w:p w:rsidR="007211F1" w:rsidRPr="0014492A" w:rsidRDefault="007211F1" w:rsidP="0014492A">
                  <w:pPr>
                    <w:spacing w:after="0"/>
                    <w:jc w:val="center"/>
                    <w:rPr>
                      <w:rFonts w:cs="Arial"/>
                      <w:color w:val="000000"/>
                      <w:sz w:val="18"/>
                      <w:szCs w:val="18"/>
                    </w:rPr>
                  </w:pPr>
                  <w:r w:rsidRPr="0014492A">
                    <w:rPr>
                      <w:rFonts w:cs="Arial"/>
                      <w:color w:val="000000"/>
                      <w:sz w:val="18"/>
                      <w:szCs w:val="18"/>
                    </w:rPr>
                    <w:t>7</w:t>
                  </w:r>
                  <w:r w:rsidR="0014492A">
                    <w:rPr>
                      <w:rFonts w:cs="Arial"/>
                      <w:color w:val="000000"/>
                      <w:sz w:val="18"/>
                      <w:szCs w:val="18"/>
                    </w:rPr>
                    <w:t>.</w:t>
                  </w:r>
                  <w:r w:rsidRPr="0014492A">
                    <w:rPr>
                      <w:rFonts w:cs="Arial"/>
                      <w:color w:val="000000"/>
                      <w:sz w:val="18"/>
                      <w:szCs w:val="18"/>
                    </w:rPr>
                    <w:t>435</w:t>
                  </w:r>
                  <w:r w:rsidR="0014492A">
                    <w:rPr>
                      <w:rFonts w:cs="Arial"/>
                      <w:color w:val="000000"/>
                      <w:sz w:val="18"/>
                      <w:szCs w:val="18"/>
                    </w:rPr>
                    <w:t>.</w:t>
                  </w:r>
                  <w:r w:rsidRPr="0014492A">
                    <w:rPr>
                      <w:rFonts w:cs="Arial"/>
                      <w:color w:val="000000"/>
                      <w:sz w:val="18"/>
                      <w:szCs w:val="18"/>
                    </w:rPr>
                    <w:t>933</w:t>
                  </w:r>
                </w:p>
              </w:tc>
              <w:tc>
                <w:tcPr>
                  <w:tcW w:w="1627" w:type="pct"/>
                  <w:shd w:val="clear" w:color="auto" w:fill="auto"/>
                  <w:vAlign w:val="bottom"/>
                  <w:hideMark/>
                </w:tcPr>
                <w:p w:rsidR="007211F1" w:rsidRPr="0014492A" w:rsidRDefault="007211F1" w:rsidP="0014492A">
                  <w:pPr>
                    <w:spacing w:after="0"/>
                    <w:jc w:val="center"/>
                    <w:rPr>
                      <w:rFonts w:cs="Arial"/>
                      <w:color w:val="000000"/>
                      <w:sz w:val="18"/>
                      <w:szCs w:val="18"/>
                    </w:rPr>
                  </w:pPr>
                  <w:r w:rsidRPr="0014492A">
                    <w:rPr>
                      <w:rFonts w:cs="Arial"/>
                      <w:color w:val="000000"/>
                      <w:sz w:val="18"/>
                      <w:szCs w:val="18"/>
                    </w:rPr>
                    <w:t>Reservatório Jaguari</w:t>
                  </w:r>
                </w:p>
              </w:tc>
            </w:tr>
            <w:tr w:rsidR="007211F1" w:rsidRPr="0014492A" w:rsidTr="00616621">
              <w:trPr>
                <w:cantSplit/>
              </w:trPr>
              <w:tc>
                <w:tcPr>
                  <w:tcW w:w="1102" w:type="pct"/>
                  <w:shd w:val="clear" w:color="auto" w:fill="auto"/>
                  <w:vAlign w:val="bottom"/>
                  <w:hideMark/>
                </w:tcPr>
                <w:p w:rsidR="007211F1" w:rsidRPr="0014492A" w:rsidRDefault="007211F1" w:rsidP="0014492A">
                  <w:pPr>
                    <w:spacing w:after="0"/>
                    <w:rPr>
                      <w:rFonts w:cs="Arial"/>
                      <w:color w:val="222222"/>
                      <w:sz w:val="18"/>
                      <w:szCs w:val="18"/>
                    </w:rPr>
                  </w:pPr>
                  <w:r w:rsidRPr="0014492A">
                    <w:rPr>
                      <w:rFonts w:cs="Arial"/>
                      <w:color w:val="222222"/>
                      <w:sz w:val="18"/>
                      <w:szCs w:val="18"/>
                    </w:rPr>
                    <w:t>RAIN 00500</w:t>
                  </w:r>
                </w:p>
              </w:tc>
              <w:tc>
                <w:tcPr>
                  <w:tcW w:w="1102" w:type="pct"/>
                  <w:shd w:val="clear" w:color="auto" w:fill="auto"/>
                  <w:vAlign w:val="bottom"/>
                  <w:hideMark/>
                </w:tcPr>
                <w:p w:rsidR="007211F1" w:rsidRPr="0014492A" w:rsidRDefault="007211F1" w:rsidP="0014492A">
                  <w:pPr>
                    <w:spacing w:after="0"/>
                    <w:jc w:val="center"/>
                    <w:rPr>
                      <w:rFonts w:cs="Arial"/>
                      <w:color w:val="000000"/>
                      <w:sz w:val="18"/>
                      <w:szCs w:val="18"/>
                    </w:rPr>
                  </w:pPr>
                  <w:r w:rsidRPr="0014492A">
                    <w:rPr>
                      <w:rFonts w:cs="Arial"/>
                      <w:color w:val="000000"/>
                      <w:sz w:val="18"/>
                      <w:szCs w:val="18"/>
                    </w:rPr>
                    <w:t>358</w:t>
                  </w:r>
                  <w:r w:rsidR="0014492A">
                    <w:rPr>
                      <w:rFonts w:cs="Arial"/>
                      <w:color w:val="000000"/>
                      <w:sz w:val="18"/>
                      <w:szCs w:val="18"/>
                    </w:rPr>
                    <w:t>.</w:t>
                  </w:r>
                  <w:r w:rsidRPr="0014492A">
                    <w:rPr>
                      <w:rFonts w:cs="Arial"/>
                      <w:color w:val="000000"/>
                      <w:sz w:val="18"/>
                      <w:szCs w:val="18"/>
                    </w:rPr>
                    <w:t>818</w:t>
                  </w:r>
                </w:p>
              </w:tc>
              <w:tc>
                <w:tcPr>
                  <w:tcW w:w="1169" w:type="pct"/>
                  <w:shd w:val="clear" w:color="auto" w:fill="auto"/>
                  <w:vAlign w:val="bottom"/>
                  <w:hideMark/>
                </w:tcPr>
                <w:p w:rsidR="007211F1" w:rsidRPr="0014492A" w:rsidRDefault="007211F1" w:rsidP="0014492A">
                  <w:pPr>
                    <w:spacing w:after="0"/>
                    <w:jc w:val="center"/>
                    <w:rPr>
                      <w:rFonts w:cs="Arial"/>
                      <w:color w:val="000000"/>
                      <w:sz w:val="18"/>
                      <w:szCs w:val="18"/>
                    </w:rPr>
                  </w:pPr>
                  <w:r w:rsidRPr="0014492A">
                    <w:rPr>
                      <w:rFonts w:cs="Arial"/>
                      <w:color w:val="000000"/>
                      <w:sz w:val="18"/>
                      <w:szCs w:val="18"/>
                    </w:rPr>
                    <w:t>7</w:t>
                  </w:r>
                  <w:r w:rsidR="0014492A">
                    <w:rPr>
                      <w:rFonts w:cs="Arial"/>
                      <w:color w:val="000000"/>
                      <w:sz w:val="18"/>
                      <w:szCs w:val="18"/>
                    </w:rPr>
                    <w:t>.</w:t>
                  </w:r>
                  <w:r w:rsidRPr="0014492A">
                    <w:rPr>
                      <w:rFonts w:cs="Arial"/>
                      <w:color w:val="000000"/>
                      <w:sz w:val="18"/>
                      <w:szCs w:val="18"/>
                    </w:rPr>
                    <w:t>435</w:t>
                  </w:r>
                  <w:r w:rsidR="0014492A">
                    <w:rPr>
                      <w:rFonts w:cs="Arial"/>
                      <w:color w:val="000000"/>
                      <w:sz w:val="18"/>
                      <w:szCs w:val="18"/>
                    </w:rPr>
                    <w:t>.</w:t>
                  </w:r>
                  <w:r w:rsidRPr="0014492A">
                    <w:rPr>
                      <w:rFonts w:cs="Arial"/>
                      <w:color w:val="000000"/>
                      <w:sz w:val="18"/>
                      <w:szCs w:val="18"/>
                    </w:rPr>
                    <w:t>148</w:t>
                  </w:r>
                </w:p>
              </w:tc>
              <w:tc>
                <w:tcPr>
                  <w:tcW w:w="1627" w:type="pct"/>
                  <w:shd w:val="clear" w:color="auto" w:fill="auto"/>
                  <w:vAlign w:val="bottom"/>
                  <w:hideMark/>
                </w:tcPr>
                <w:p w:rsidR="007211F1" w:rsidRPr="0014492A" w:rsidRDefault="007211F1" w:rsidP="0014492A">
                  <w:pPr>
                    <w:spacing w:after="0"/>
                    <w:jc w:val="center"/>
                    <w:rPr>
                      <w:rFonts w:cs="Arial"/>
                      <w:color w:val="000000"/>
                      <w:sz w:val="18"/>
                      <w:szCs w:val="18"/>
                    </w:rPr>
                  </w:pPr>
                  <w:r w:rsidRPr="0014492A">
                    <w:rPr>
                      <w:rFonts w:cs="Arial"/>
                      <w:color w:val="000000"/>
                      <w:sz w:val="18"/>
                      <w:szCs w:val="18"/>
                    </w:rPr>
                    <w:t>Reservatório Atibainha</w:t>
                  </w:r>
                </w:p>
              </w:tc>
            </w:tr>
          </w:tbl>
          <w:p w:rsidR="007211F1" w:rsidRPr="00BD6ECC" w:rsidRDefault="007211F1" w:rsidP="0014492A">
            <w:pPr>
              <w:spacing w:after="0" w:line="360" w:lineRule="auto"/>
              <w:rPr>
                <w:rFonts w:cs="Arial"/>
                <w:szCs w:val="22"/>
              </w:rPr>
            </w:pPr>
          </w:p>
        </w:tc>
      </w:tr>
    </w:tbl>
    <w:p w:rsidR="007211F1" w:rsidRDefault="0014492A" w:rsidP="0014492A">
      <w:pPr>
        <w:pStyle w:val="Quadro"/>
        <w:rPr>
          <w:sz w:val="22"/>
        </w:rPr>
      </w:pPr>
      <w:r w:rsidRPr="00BD6ECC">
        <w:lastRenderedPageBreak/>
        <w:t xml:space="preserve">Figura </w:t>
      </w:r>
      <w:r w:rsidR="00CD652E">
        <w:t>6.4.5-</w:t>
      </w:r>
      <w:r w:rsidRPr="00BD6ECC">
        <w:t>1</w:t>
      </w:r>
      <w:r w:rsidR="00CD652E">
        <w:t>6</w:t>
      </w:r>
      <w:r w:rsidRPr="00BD6ECC">
        <w:t>. Imagem de satélite da área de estudo com os pontos de amostragem</w:t>
      </w:r>
      <w:r w:rsidR="00CD652E">
        <w:t xml:space="preserve"> de Ictiofauna</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7211F1" w:rsidRPr="00D138DB" w:rsidTr="0014492A">
        <w:tc>
          <w:tcPr>
            <w:tcW w:w="9354" w:type="dxa"/>
          </w:tcPr>
          <w:p w:rsidR="007211F1" w:rsidRPr="00D138DB" w:rsidRDefault="007211F1" w:rsidP="0014492A">
            <w:pPr>
              <w:spacing w:after="0"/>
              <w:jc w:val="left"/>
              <w:rPr>
                <w:rFonts w:cs="Arial"/>
                <w:sz w:val="22"/>
                <w:szCs w:val="22"/>
              </w:rPr>
            </w:pPr>
            <w:r w:rsidRPr="00D138DB">
              <w:rPr>
                <w:rFonts w:cs="Arial"/>
                <w:noProof/>
              </w:rPr>
              <w:drawing>
                <wp:inline distT="0" distB="0" distL="0" distR="0" wp14:anchorId="305F3AC9" wp14:editId="505F0AA2">
                  <wp:extent cx="6008112" cy="3708000"/>
                  <wp:effectExtent l="19050" t="0" r="0" b="0"/>
                  <wp:docPr id="10" name="Imagem 0" descr="Jagu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guari.jpg"/>
                          <pic:cNvPicPr/>
                        </pic:nvPicPr>
                        <pic:blipFill>
                          <a:blip r:embed="rId178" cstate="print"/>
                          <a:stretch>
                            <a:fillRect/>
                          </a:stretch>
                        </pic:blipFill>
                        <pic:spPr>
                          <a:xfrm>
                            <a:off x="0" y="0"/>
                            <a:ext cx="6008112" cy="3708000"/>
                          </a:xfrm>
                          <a:prstGeom prst="rect">
                            <a:avLst/>
                          </a:prstGeom>
                        </pic:spPr>
                      </pic:pic>
                    </a:graphicData>
                  </a:graphic>
                </wp:inline>
              </w:drawing>
            </w:r>
          </w:p>
        </w:tc>
      </w:tr>
    </w:tbl>
    <w:p w:rsidR="0014492A" w:rsidRDefault="0014492A" w:rsidP="0014492A">
      <w:pPr>
        <w:rPr>
          <w:noProof/>
          <w:sz w:val="18"/>
          <w:szCs w:val="18"/>
        </w:rPr>
      </w:pPr>
      <w:r w:rsidRPr="0014492A">
        <w:rPr>
          <w:noProof/>
          <w:sz w:val="18"/>
          <w:szCs w:val="18"/>
        </w:rPr>
        <w:t>Fonte: Google Earth</w:t>
      </w:r>
    </w:p>
    <w:p w:rsidR="0014492A" w:rsidRDefault="0014492A" w:rsidP="0014492A">
      <w:pPr>
        <w:rPr>
          <w:noProof/>
        </w:rPr>
      </w:pPr>
    </w:p>
    <w:p w:rsidR="0014492A" w:rsidRPr="0014492A" w:rsidRDefault="0014492A" w:rsidP="0014492A">
      <w:pPr>
        <w:pStyle w:val="Quadro"/>
        <w:rPr>
          <w:noProof/>
        </w:rPr>
      </w:pPr>
      <w:r w:rsidRPr="00467CF4">
        <w:rPr>
          <w:noProof/>
        </w:rPr>
        <w:t xml:space="preserve">Figura </w:t>
      </w:r>
      <w:r w:rsidR="00CD652E">
        <w:rPr>
          <w:noProof/>
        </w:rPr>
        <w:t>6.4.5-17</w:t>
      </w:r>
      <w:r w:rsidRPr="00467CF4">
        <w:rPr>
          <w:noProof/>
        </w:rPr>
        <w:t>. Pontos amostrados no levantamento de dados primários d</w:t>
      </w:r>
      <w:r w:rsidR="00CD652E">
        <w:rPr>
          <w:noProof/>
        </w:rPr>
        <w:t>e</w:t>
      </w:r>
      <w:r w:rsidRPr="00467CF4">
        <w:rPr>
          <w:noProof/>
        </w:rPr>
        <w:t xml:space="preserve"> ictiofauna</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0"/>
      </w:tblGrid>
      <w:tr w:rsidR="007211F1" w:rsidRPr="00D138DB" w:rsidTr="0014492A">
        <w:tc>
          <w:tcPr>
            <w:tcW w:w="9310" w:type="dxa"/>
          </w:tcPr>
          <w:p w:rsidR="007211F1" w:rsidRPr="00D138DB" w:rsidRDefault="00056696" w:rsidP="0014492A">
            <w:pPr>
              <w:spacing w:after="0"/>
              <w:jc w:val="center"/>
              <w:rPr>
                <w:rFonts w:cs="Arial"/>
                <w:sz w:val="22"/>
                <w:szCs w:val="22"/>
              </w:rPr>
            </w:pPr>
            <w:r>
              <w:rPr>
                <w:rFonts w:cs="Arial"/>
                <w:noProof/>
              </w:rPr>
              <mc:AlternateContent>
                <mc:Choice Requires="wps">
                  <w:drawing>
                    <wp:anchor distT="0" distB="0" distL="114300" distR="114300" simplePos="0" relativeHeight="251698176" behindDoc="0" locked="0" layoutInCell="1" allowOverlap="1" wp14:anchorId="6927CBFB" wp14:editId="36C941F0">
                      <wp:simplePos x="0" y="0"/>
                      <wp:positionH relativeFrom="column">
                        <wp:posOffset>4907280</wp:posOffset>
                      </wp:positionH>
                      <wp:positionV relativeFrom="paragraph">
                        <wp:posOffset>3810</wp:posOffset>
                      </wp:positionV>
                      <wp:extent cx="276225" cy="246380"/>
                      <wp:effectExtent l="0" t="0" r="28575" b="20320"/>
                      <wp:wrapNone/>
                      <wp:docPr id="11667" name="Caixa de texto 11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46380"/>
                              </a:xfrm>
                              <a:prstGeom prst="rect">
                                <a:avLst/>
                              </a:prstGeom>
                              <a:solidFill>
                                <a:srgbClr val="FFFFFF"/>
                              </a:solidFill>
                              <a:ln w="9525">
                                <a:solidFill>
                                  <a:srgbClr val="000000"/>
                                </a:solidFill>
                                <a:miter lim="800000"/>
                                <a:headEnd/>
                                <a:tailEnd/>
                              </a:ln>
                            </wps:spPr>
                            <wps:txbx>
                              <w:txbxContent>
                                <w:p w:rsidR="000F2964" w:rsidRDefault="000F2964" w:rsidP="007211F1">
                                  <w:r>
                                    <w:t>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927CBFB" id="Caixa de texto 11658" o:spid="_x0000_s1049" type="#_x0000_t202" style="position:absolute;left:0;text-align:left;margin-left:386.4pt;margin-top:.3pt;width:21.75pt;height:19.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0SfNQIAAGUEAAAOAAAAZHJzL2Uyb0RvYy54bWysVNuO2yAQfa/Uf0C8N068ua21zmqbbapK&#10;24u07QdMMI5RMUOBxE6/fgecTaNt1YeqfkAMwxwO5wy+ue1bzQ7SeYWm5JPRmDNpBFbK7Er+7evm&#10;zZIzH8BUoNHIkh+l57er169uOlvIHBvUlXSMQIwvOlvyJgRbZJkXjWzBj9BKQ8kaXQuBQrfLKgcd&#10;obc6y8fjedahq6xDIb2n1fshyVcJv66lCJ/r2svAdMmJW0ijS+M2jtnqBoqdA9socaIB/8CiBWXo&#10;0DPUPQRge6d+g2qVcOixDiOBbYZ1rYRMd6DbTMYvbvPYgJXpLiSOt2eZ/P+DFZ8OXxxTFXk3mc8X&#10;nBloyaY1qB5YJVmQfUBGudkyatVZX1DJo6Wi0L/FnurSvb19QPHdM4PrBsxO3jmHXSOhIq6TWJld&#10;lA44PoJsu49Y0YGwD5iA+tq1UUiShhE6eXY8+0RcmKDFfDHP8xlnglL5dH61TD5mUDwXW+fDe4kt&#10;i5OSO2qDBA6HBx8iGSiet8SzPGpVbZTWKXC77Vo7dgBqmU36Ev8X27RhXcmvZ8Tj7xDj9P0JolWB&#10;el+rtuTL8yYoomrvTJU6M4DSw5woa3OSMSo3aBj6bZ/cy6+e7dlidSRhHQ69Tm+TJg26n5x11Ocl&#10;9z/24CRn+oMhc64n02l8GCmYzhY5Be4ys73MgBEEVfLA2TBdh+Ex7a1Tu4ZOGtrB4B0ZWqskdnR+&#10;YHXiT72cPDi9u/hYLuO069ffYfUEAAD//wMAUEsDBBQABgAIAAAAIQBF5PQs3gAAAAcBAAAPAAAA&#10;ZHJzL2Rvd25yZXYueG1sTM7BTsMwEATQOxL/YC0SF0SdNlWShmwqhASCGxQEVzfeJhHxOthuGv4e&#10;c4LjalYzr9rOZhATOd9bRlguEhDEjdU9twhvr/fXBQgfFGs1WCaEb/Kwrc/PKlVqe+IXmnahFbGE&#10;fakQuhDGUkrfdGSUX9iROGYH64wK8XSt1E6dYrkZ5CpJMmlUz3GhUyPdddR87o4GoVg/Th/+KX1+&#10;b7LDsAlX+fTw5RAvL+bbGxCB5vD3DL/8SIc6mvb2yNqLASHPV5EeEDIQMS6WWQpij5Bu1iDrSv73&#10;1z8AAAD//wMAUEsBAi0AFAAGAAgAAAAhALaDOJL+AAAA4QEAABMAAAAAAAAAAAAAAAAAAAAAAFtD&#10;b250ZW50X1R5cGVzXS54bWxQSwECLQAUAAYACAAAACEAOP0h/9YAAACUAQAACwAAAAAAAAAAAAAA&#10;AAAvAQAAX3JlbHMvLnJlbHNQSwECLQAUAAYACAAAACEAuZNEnzUCAABlBAAADgAAAAAAAAAAAAAA&#10;AAAuAgAAZHJzL2Uyb0RvYy54bWxQSwECLQAUAAYACAAAACEAReT0LN4AAAAHAQAADwAAAAAAAAAA&#10;AAAAAACPBAAAZHJzL2Rvd25yZXYueG1sUEsFBgAAAAAEAAQA8wAAAJoFAAAAAA==&#10;">
                      <v:textbox>
                        <w:txbxContent>
                          <w:p w:rsidR="000F2964" w:rsidRDefault="000F2964" w:rsidP="007211F1">
                            <w:r>
                              <w:t>A</w:t>
                            </w:r>
                          </w:p>
                        </w:txbxContent>
                      </v:textbox>
                    </v:shape>
                  </w:pict>
                </mc:Fallback>
              </mc:AlternateContent>
            </w:r>
            <w:r w:rsidR="007211F1" w:rsidRPr="00D138DB">
              <w:rPr>
                <w:rFonts w:cs="Arial"/>
                <w:noProof/>
              </w:rPr>
              <w:drawing>
                <wp:inline distT="0" distB="0" distL="0" distR="0" wp14:anchorId="61F36149" wp14:editId="50E82A33">
                  <wp:extent cx="4486677" cy="2520000"/>
                  <wp:effectExtent l="19050" t="0" r="9123" b="0"/>
                  <wp:docPr id="13" name="Imagem 12" descr="IMG_54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495.JPG"/>
                          <pic:cNvPicPr/>
                        </pic:nvPicPr>
                        <pic:blipFill>
                          <a:blip r:embed="rId179" cstate="print"/>
                          <a:stretch>
                            <a:fillRect/>
                          </a:stretch>
                        </pic:blipFill>
                        <pic:spPr>
                          <a:xfrm>
                            <a:off x="0" y="0"/>
                            <a:ext cx="4486677" cy="2520000"/>
                          </a:xfrm>
                          <a:prstGeom prst="rect">
                            <a:avLst/>
                          </a:prstGeom>
                        </pic:spPr>
                      </pic:pic>
                    </a:graphicData>
                  </a:graphic>
                </wp:inline>
              </w:drawing>
            </w:r>
          </w:p>
        </w:tc>
      </w:tr>
      <w:tr w:rsidR="007211F1" w:rsidRPr="00D138DB" w:rsidTr="0014492A">
        <w:tc>
          <w:tcPr>
            <w:tcW w:w="9310" w:type="dxa"/>
          </w:tcPr>
          <w:p w:rsidR="007211F1" w:rsidRPr="00D138DB" w:rsidRDefault="00056696" w:rsidP="0014492A">
            <w:pPr>
              <w:spacing w:after="0"/>
              <w:jc w:val="center"/>
              <w:rPr>
                <w:rFonts w:cs="Arial"/>
                <w:sz w:val="22"/>
                <w:szCs w:val="22"/>
              </w:rPr>
            </w:pPr>
            <w:r>
              <w:rPr>
                <w:rFonts w:cs="Arial"/>
                <w:noProof/>
              </w:rPr>
              <w:lastRenderedPageBreak/>
              <mc:AlternateContent>
                <mc:Choice Requires="wps">
                  <w:drawing>
                    <wp:anchor distT="0" distB="0" distL="114300" distR="114300" simplePos="0" relativeHeight="251697152" behindDoc="0" locked="0" layoutInCell="1" allowOverlap="1" wp14:anchorId="75A7C9F4" wp14:editId="40FB9744">
                      <wp:simplePos x="0" y="0"/>
                      <wp:positionH relativeFrom="column">
                        <wp:posOffset>4907280</wp:posOffset>
                      </wp:positionH>
                      <wp:positionV relativeFrom="paragraph">
                        <wp:posOffset>3175</wp:posOffset>
                      </wp:positionV>
                      <wp:extent cx="276225" cy="246380"/>
                      <wp:effectExtent l="0" t="0" r="28575" b="20320"/>
                      <wp:wrapNone/>
                      <wp:docPr id="11666" name="Caixa de texto 11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46380"/>
                              </a:xfrm>
                              <a:prstGeom prst="rect">
                                <a:avLst/>
                              </a:prstGeom>
                              <a:solidFill>
                                <a:srgbClr val="FFFFFF"/>
                              </a:solidFill>
                              <a:ln w="9525">
                                <a:solidFill>
                                  <a:srgbClr val="000000"/>
                                </a:solidFill>
                                <a:miter lim="800000"/>
                                <a:headEnd/>
                                <a:tailEnd/>
                              </a:ln>
                            </wps:spPr>
                            <wps:txbx>
                              <w:txbxContent>
                                <w:p w:rsidR="000F2964" w:rsidRDefault="000F2964" w:rsidP="007211F1">
                                  <w:r>
                                    <w:t>B</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A7C9F4" id="Caixa de texto 11657" o:spid="_x0000_s1050" type="#_x0000_t202" style="position:absolute;left:0;text-align:left;margin-left:386.4pt;margin-top:.25pt;width:21.75pt;height:19.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6QhNQIAAGUEAAAOAAAAZHJzL2Uyb0RvYy54bWysVNuO0zAQfUfiHyy/07Sh7XajpqulSxHS&#10;cpEWPmDqOI2F4zG226R8PWOnLdWCeEDkwfJ4PMfH54yzvOtbzQ7SeYWm5JPRmDNpBFbK7Er+9cvm&#10;1YIzH8BUoNHIkh+l53erly+WnS1kjg3qSjpGIMYXnS15E4ItssyLRrbgR2iloWSNroVAodtllYOO&#10;0Fud5ePxPOvQVdahkN7T6sOQ5KuEX9dShE917WVguuTELaTRpXEbx2y1hGLnwDZKnGjAP7BoQRk6&#10;9AL1AAHY3qnfoFolHHqsw0hgm2FdKyHTHeg2k/Gz2zw1YGW6C4nj7UUm//9gxcfDZ8dURd5N5vM5&#10;ZwZasmkNqgdWSRZkH5BRbnYTteqsL6jkyVJR6N9gT3Xp3t4+ovjmmcF1A2Yn753DrpFQEddJrMyu&#10;SgccH0G23Qes6EDYB0xAfe3aKCRJwwidPDtefCIuTNBifjPP8xlnglL5dP56kXzMoDgXW+fDO4kt&#10;i5OSO2qDBA6HRx8iGSjOW+JZHrWqNkrrFLjddq0dOwC1zCZ9if+zbdqwruS3M+Lxd4hx+v4E0apA&#10;va9VW/LFZRMUUbW3pkqdGUDpYU6UtTnJGJUbNAz9tk/u5dOzPVusjiSsw6HX6W3SpEH3g7OO+rzk&#10;/vsenORMvzdkzu1kOo0PIwXT2U1OgbvObK8zYARBlTxwNkzXYXhMe+vUrqGThnYweE+G1iqJHZ0f&#10;WJ34Uy8nD07vLj6W6zjt+vV3WP0EAAD//wMAUEsDBBQABgAIAAAAIQDwFCoC3gAAAAcBAAAPAAAA&#10;ZHJzL2Rvd25yZXYueG1sTM7BTsMwEATQOxL/YC0SF0SdNpCkIZsKIYHgBgXB1Y23SUS8Drabhr/H&#10;nOC4mtXMqzazGcREzveWEZaLBARxY3XPLcLb6/1lAcIHxVoNlgnhmzxs6tOTSpXaHvmFpm1oRSxh&#10;XyqELoSxlNI3HRnlF3YkjtneOqNCPF0rtVPHWG4GuUqSTBrVc1zo1Eh3HTWf24NBKK4epw//lD6/&#10;N9l+WIeLfHr4cojnZ/PtDYhAc/h7hl9+pEMdTTt7YO3FgJDnq0gPCNcgYlwssxTEDiFdpyDrSv73&#10;1z8AAAD//wMAUEsBAi0AFAAGAAgAAAAhALaDOJL+AAAA4QEAABMAAAAAAAAAAAAAAAAAAAAAAFtD&#10;b250ZW50X1R5cGVzXS54bWxQSwECLQAUAAYACAAAACEAOP0h/9YAAACUAQAACwAAAAAAAAAAAAAA&#10;AAAvAQAAX3JlbHMvLnJlbHNQSwECLQAUAAYACAAAACEADyekITUCAABlBAAADgAAAAAAAAAAAAAA&#10;AAAuAgAAZHJzL2Uyb0RvYy54bWxQSwECLQAUAAYACAAAACEA8BQqAt4AAAAHAQAADwAAAAAAAAAA&#10;AAAAAACPBAAAZHJzL2Rvd25yZXYueG1sUEsFBgAAAAAEAAQA8wAAAJoFAAAAAA==&#10;">
                      <v:textbox>
                        <w:txbxContent>
                          <w:p w:rsidR="000F2964" w:rsidRDefault="000F2964" w:rsidP="007211F1">
                            <w:r>
                              <w:t>B</w:t>
                            </w:r>
                          </w:p>
                        </w:txbxContent>
                      </v:textbox>
                    </v:shape>
                  </w:pict>
                </mc:Fallback>
              </mc:AlternateContent>
            </w:r>
            <w:r w:rsidR="007211F1" w:rsidRPr="00D138DB">
              <w:rPr>
                <w:rFonts w:cs="Arial"/>
                <w:noProof/>
              </w:rPr>
              <w:drawing>
                <wp:inline distT="0" distB="0" distL="0" distR="0" wp14:anchorId="0EE6EED6" wp14:editId="4C654722">
                  <wp:extent cx="4486678" cy="2520000"/>
                  <wp:effectExtent l="19050" t="0" r="9122" b="0"/>
                  <wp:docPr id="11" name="Imagem 13" descr="IMG_5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17.JPG"/>
                          <pic:cNvPicPr/>
                        </pic:nvPicPr>
                        <pic:blipFill>
                          <a:blip r:embed="rId180" cstate="print"/>
                          <a:stretch>
                            <a:fillRect/>
                          </a:stretch>
                        </pic:blipFill>
                        <pic:spPr>
                          <a:xfrm>
                            <a:off x="0" y="0"/>
                            <a:ext cx="4486678" cy="2520000"/>
                          </a:xfrm>
                          <a:prstGeom prst="rect">
                            <a:avLst/>
                          </a:prstGeom>
                        </pic:spPr>
                      </pic:pic>
                    </a:graphicData>
                  </a:graphic>
                </wp:inline>
              </w:drawing>
            </w:r>
          </w:p>
        </w:tc>
      </w:tr>
    </w:tbl>
    <w:p w:rsidR="00F479AB" w:rsidRDefault="00F479AB" w:rsidP="0014492A">
      <w:pPr>
        <w:spacing w:after="0"/>
        <w:jc w:val="center"/>
        <w:rPr>
          <w:rFonts w:cs="Arial"/>
          <w:noProof/>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0"/>
      </w:tblGrid>
      <w:tr w:rsidR="007211F1" w:rsidRPr="00D138DB" w:rsidTr="0014492A">
        <w:tc>
          <w:tcPr>
            <w:tcW w:w="9310" w:type="dxa"/>
          </w:tcPr>
          <w:p w:rsidR="007211F1" w:rsidRPr="00D138DB" w:rsidRDefault="00056696" w:rsidP="0014492A">
            <w:pPr>
              <w:spacing w:after="0"/>
              <w:jc w:val="center"/>
              <w:rPr>
                <w:rFonts w:cs="Arial"/>
                <w:sz w:val="22"/>
                <w:szCs w:val="22"/>
              </w:rPr>
            </w:pPr>
            <w:r>
              <w:rPr>
                <w:rFonts w:cs="Arial"/>
                <w:noProof/>
              </w:rPr>
              <mc:AlternateContent>
                <mc:Choice Requires="wps">
                  <w:drawing>
                    <wp:anchor distT="0" distB="0" distL="114300" distR="114300" simplePos="0" relativeHeight="251699200" behindDoc="0" locked="0" layoutInCell="1" allowOverlap="1" wp14:anchorId="6466B073" wp14:editId="528C2875">
                      <wp:simplePos x="0" y="0"/>
                      <wp:positionH relativeFrom="column">
                        <wp:posOffset>4907280</wp:posOffset>
                      </wp:positionH>
                      <wp:positionV relativeFrom="paragraph">
                        <wp:posOffset>3810</wp:posOffset>
                      </wp:positionV>
                      <wp:extent cx="276225" cy="246380"/>
                      <wp:effectExtent l="0" t="0" r="28575" b="20320"/>
                      <wp:wrapNone/>
                      <wp:docPr id="11665" name="Caixa de texto 11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46380"/>
                              </a:xfrm>
                              <a:prstGeom prst="rect">
                                <a:avLst/>
                              </a:prstGeom>
                              <a:solidFill>
                                <a:srgbClr val="FFFFFF"/>
                              </a:solidFill>
                              <a:ln w="9525">
                                <a:solidFill>
                                  <a:srgbClr val="000000"/>
                                </a:solidFill>
                                <a:miter lim="800000"/>
                                <a:headEnd/>
                                <a:tailEnd/>
                              </a:ln>
                            </wps:spPr>
                            <wps:txbx>
                              <w:txbxContent>
                                <w:p w:rsidR="000F2964" w:rsidRDefault="000F2964" w:rsidP="007211F1">
                                  <w:r>
                                    <w:t>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66B073" id="Caixa de texto 11656" o:spid="_x0000_s1051" type="#_x0000_t202" style="position:absolute;left:0;text-align:left;margin-left:386.4pt;margin-top:.3pt;width:21.75pt;height:19.4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teNQIAAGUEAAAOAAAAZHJzL2Uyb0RvYy54bWysVNuO0zAQfUfiHyy/07ShzXajpqulSxHS&#10;cpEWPmDqOI2F4zG222T5esZOt1QL4gGRB8vj8RwfnzPO6mboNDtK5xWais8mU86kEVgrs6/41y/b&#10;V0vOfABTg0YjK/4oPb9Zv3yx6m0pc2xR19IxAjG+7G3F2xBsmWVetLIDP0ErDSUbdB0ECt0+qx30&#10;hN7pLJ9Oi6xHV1uHQnpPq3djkq8TftNIET41jZeB6YoTt5BGl8ZdHLP1Csq9A9sqcaIB/8CiA2Xo&#10;0DPUHQRgB6d+g+qUcOixCROBXYZNo4RMd6DbzKbPbvPQgpXpLiSOt2eZ/P+DFR+Pnx1TNXk3K4oF&#10;ZwY6smkDagBWSxbkEJBRblFErXrrSyp5sFQUhjc4UF26t7f3KL55ZnDTgtnLW+ewbyXUxHUWK7OL&#10;0hHHR5Bd/wFrOhAOARPQ0LguCknSMEInzx7PPhEXJmgxvyrynLgKSuXz4vUy+ZhB+VRsnQ/vJHYs&#10;TiruqA0SOBzvfYhkoHzaEs/yqFW9VVqnwO13G+3YEahltulL/J9t04b1Fb9eEI+/Q0zT9yeITgXq&#10;fa26ii/Pm6CMqr01derMAEqPc6KszUnGqNyoYRh2Q3KPaJzs2WH9SMI6HHud3iZNWnQ/OOupzyvu&#10;vx/ASc70e0PmXM/m8/gwUjBfXOUUuMvM7jIDRhBUxQNn43QTxsd0sE7tWzppbAeDt2Roo5LY0fmR&#10;1Yk/9XLy4PTu4mO5jNOuX3+H9U8AAAD//wMAUEsDBBQABgAIAAAAIQBF5PQs3gAAAAcBAAAPAAAA&#10;ZHJzL2Rvd25yZXYueG1sTM7BTsMwEATQOxL/YC0SF0SdNlWShmwqhASCGxQEVzfeJhHxOthuGv4e&#10;c4LjalYzr9rOZhATOd9bRlguEhDEjdU9twhvr/fXBQgfFGs1WCaEb/Kwrc/PKlVqe+IXmnahFbGE&#10;fakQuhDGUkrfdGSUX9iROGYH64wK8XSt1E6dYrkZ5CpJMmlUz3GhUyPdddR87o4GoVg/Th/+KX1+&#10;b7LDsAlX+fTw5RAvL+bbGxCB5vD3DL/8SIc6mvb2yNqLASHPV5EeEDIQMS6WWQpij5Bu1iDrSv73&#10;1z8AAAD//wMAUEsBAi0AFAAGAAgAAAAhALaDOJL+AAAA4QEAABMAAAAAAAAAAAAAAAAAAAAAAFtD&#10;b250ZW50X1R5cGVzXS54bWxQSwECLQAUAAYACAAAACEAOP0h/9YAAACUAQAACwAAAAAAAAAAAAAA&#10;AAAvAQAAX3JlbHMvLnJlbHNQSwECLQAUAAYACAAAACEAtkvrXjUCAABlBAAADgAAAAAAAAAAAAAA&#10;AAAuAgAAZHJzL2Uyb0RvYy54bWxQSwECLQAUAAYACAAAACEAReT0LN4AAAAHAQAADwAAAAAAAAAA&#10;AAAAAACPBAAAZHJzL2Rvd25yZXYueG1sUEsFBgAAAAAEAAQA8wAAAJoFAAAAAA==&#10;">
                      <v:textbox>
                        <w:txbxContent>
                          <w:p w:rsidR="000F2964" w:rsidRDefault="000F2964" w:rsidP="007211F1">
                            <w:r>
                              <w:t>C</w:t>
                            </w:r>
                          </w:p>
                        </w:txbxContent>
                      </v:textbox>
                    </v:shape>
                  </w:pict>
                </mc:Fallback>
              </mc:AlternateContent>
            </w:r>
            <w:r w:rsidR="007211F1" w:rsidRPr="00D138DB">
              <w:rPr>
                <w:rFonts w:cs="Arial"/>
                <w:noProof/>
              </w:rPr>
              <w:drawing>
                <wp:inline distT="0" distB="0" distL="0" distR="0" wp14:anchorId="65F8F3EF" wp14:editId="1AB2F317">
                  <wp:extent cx="4486678" cy="2520000"/>
                  <wp:effectExtent l="19050" t="0" r="9122" b="0"/>
                  <wp:docPr id="12" name="Imagem 14" descr="IMG_55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590.JPG"/>
                          <pic:cNvPicPr/>
                        </pic:nvPicPr>
                        <pic:blipFill>
                          <a:blip r:embed="rId181" cstate="print"/>
                          <a:stretch>
                            <a:fillRect/>
                          </a:stretch>
                        </pic:blipFill>
                        <pic:spPr>
                          <a:xfrm>
                            <a:off x="0" y="0"/>
                            <a:ext cx="4486678" cy="2520000"/>
                          </a:xfrm>
                          <a:prstGeom prst="rect">
                            <a:avLst/>
                          </a:prstGeom>
                        </pic:spPr>
                      </pic:pic>
                    </a:graphicData>
                  </a:graphic>
                </wp:inline>
              </w:drawing>
            </w:r>
          </w:p>
        </w:tc>
      </w:tr>
      <w:tr w:rsidR="007211F1" w:rsidRPr="00D138DB" w:rsidTr="0014492A">
        <w:tc>
          <w:tcPr>
            <w:tcW w:w="9310" w:type="dxa"/>
          </w:tcPr>
          <w:p w:rsidR="007211F1" w:rsidRPr="00D138DB" w:rsidRDefault="007211F1" w:rsidP="0098722C">
            <w:pPr>
              <w:spacing w:after="0"/>
              <w:rPr>
                <w:rFonts w:cs="Arial"/>
                <w:b/>
                <w:noProof/>
                <w:sz w:val="22"/>
                <w:szCs w:val="22"/>
              </w:rPr>
            </w:pPr>
            <w:r w:rsidRPr="00467CF4">
              <w:rPr>
                <w:rFonts w:cs="Arial"/>
                <w:b/>
                <w:noProof/>
                <w:szCs w:val="22"/>
              </w:rPr>
              <w:t>A:</w:t>
            </w:r>
            <w:r w:rsidRPr="00467CF4">
              <w:rPr>
                <w:rFonts w:cs="Arial"/>
                <w:noProof/>
                <w:szCs w:val="22"/>
              </w:rPr>
              <w:t xml:space="preserve"> represa Atibainha - ponto </w:t>
            </w:r>
            <w:r w:rsidRPr="00467CF4">
              <w:rPr>
                <w:rFonts w:cs="Arial"/>
                <w:color w:val="222222"/>
                <w:szCs w:val="22"/>
                <w:shd w:val="clear" w:color="auto" w:fill="FFFFFF"/>
              </w:rPr>
              <w:t xml:space="preserve">RAIN 00500; </w:t>
            </w:r>
            <w:r w:rsidRPr="00467CF4">
              <w:rPr>
                <w:rFonts w:cs="Arial"/>
                <w:b/>
                <w:color w:val="222222"/>
                <w:szCs w:val="22"/>
                <w:shd w:val="clear" w:color="auto" w:fill="FFFFFF"/>
              </w:rPr>
              <w:t>B:</w:t>
            </w:r>
            <w:r w:rsidRPr="00467CF4">
              <w:rPr>
                <w:rFonts w:cs="Arial"/>
                <w:color w:val="222222"/>
                <w:szCs w:val="22"/>
                <w:shd w:val="clear" w:color="auto" w:fill="FFFFFF"/>
              </w:rPr>
              <w:t xml:space="preserve"> represa Jaguari - ponto </w:t>
            </w:r>
            <w:r w:rsidRPr="00467CF4">
              <w:rPr>
                <w:rFonts w:cs="Arial"/>
                <w:szCs w:val="22"/>
              </w:rPr>
              <w:t xml:space="preserve">JAGJ 00400; </w:t>
            </w:r>
            <w:r w:rsidRPr="00467CF4">
              <w:rPr>
                <w:rFonts w:cs="Arial"/>
                <w:b/>
                <w:color w:val="222222"/>
                <w:szCs w:val="22"/>
                <w:shd w:val="clear" w:color="auto" w:fill="FFFFFF"/>
              </w:rPr>
              <w:t>C:</w:t>
            </w:r>
            <w:r w:rsidRPr="00467CF4">
              <w:rPr>
                <w:rFonts w:cs="Arial"/>
                <w:color w:val="222222"/>
                <w:szCs w:val="22"/>
                <w:shd w:val="clear" w:color="auto" w:fill="FFFFFF"/>
              </w:rPr>
              <w:t xml:space="preserve"> represa Jaguari - ponto </w:t>
            </w:r>
            <w:r w:rsidRPr="00467CF4">
              <w:rPr>
                <w:rFonts w:cs="Arial"/>
                <w:szCs w:val="22"/>
              </w:rPr>
              <w:t>JAGJ 00700.</w:t>
            </w:r>
          </w:p>
        </w:tc>
      </w:tr>
    </w:tbl>
    <w:p w:rsidR="007211F1" w:rsidRPr="00D138DB" w:rsidRDefault="007211F1" w:rsidP="007211F1">
      <w:pPr>
        <w:spacing w:after="0"/>
        <w:ind w:firstLine="709"/>
        <w:rPr>
          <w:rFonts w:cs="Arial"/>
        </w:rPr>
      </w:pPr>
    </w:p>
    <w:p w:rsidR="007211F1" w:rsidRDefault="007211F1" w:rsidP="007211F1">
      <w:r w:rsidRPr="00D138DB">
        <w:t xml:space="preserve">Em cada ponto amostral foram utilizadas 16 redes de espera com malhas variando de </w:t>
      </w:r>
      <w:smartTag w:uri="urn:schemas-microsoft-com:office:smarttags" w:element="metricconverter">
        <w:smartTagPr>
          <w:attr w:name="ProductID" w:val="1,5 a"/>
        </w:smartTagPr>
        <w:r w:rsidRPr="00D138DB">
          <w:t>1,5 a</w:t>
        </w:r>
      </w:smartTag>
      <w:r w:rsidRPr="00D138DB">
        <w:t xml:space="preserve"> 12 cm, com 50 metros de comprimento e 2,5 m de altura. As redes foram armadas no período da manhã e recolhidas no in</w:t>
      </w:r>
      <w:r w:rsidR="005559AF">
        <w:t>í</w:t>
      </w:r>
      <w:r w:rsidRPr="00D138DB">
        <w:t>cio da manhã do dia seguinte, permanecendo por 20 h em cada local, sendo vistoriadas no final da tarde de modo a evitar a mortandade excessiva de peixes. Foram utilizados apetrechos de pesca complementares, tais como tarrafa (malha 3,0 cm), rede de arrasto (malha 0,5 cm), covos (20 cm diâmetro x 40 cm comprimento) e puçá (malha 0,2 cm com 40 cm de diâmetro) para uma amostragem qualitativa. Tarrafa, rede de arrasto e puçá foram utilizados em trechos próximos às margens de cada um dos pontos durante duas horas e os covos permaneceram armados por 24 h (</w:t>
      </w:r>
      <w:r w:rsidRPr="00467CF4">
        <w:rPr>
          <w:b/>
        </w:rPr>
        <w:t xml:space="preserve">Figura </w:t>
      </w:r>
      <w:r w:rsidR="00CD652E">
        <w:rPr>
          <w:b/>
        </w:rPr>
        <w:t>6.4.5-18</w:t>
      </w:r>
      <w:r w:rsidRPr="00D138DB">
        <w:t>).</w:t>
      </w:r>
    </w:p>
    <w:p w:rsidR="00A05C03" w:rsidRDefault="00A05C03" w:rsidP="00A05C03">
      <w:pPr>
        <w:pStyle w:val="Quadro"/>
      </w:pPr>
      <w:r w:rsidRPr="00467CF4">
        <w:rPr>
          <w:noProof/>
        </w:rPr>
        <w:lastRenderedPageBreak/>
        <w:t xml:space="preserve">Figura </w:t>
      </w:r>
      <w:r w:rsidR="00CD652E">
        <w:rPr>
          <w:noProof/>
        </w:rPr>
        <w:t>6.4.5-18</w:t>
      </w:r>
      <w:r w:rsidRPr="00467CF4">
        <w:rPr>
          <w:noProof/>
        </w:rPr>
        <w:t xml:space="preserve">. Apetrechos de pesca utilizados no </w:t>
      </w:r>
      <w:r>
        <w:rPr>
          <w:noProof/>
        </w:rPr>
        <w:t>levantamento de dados primários</w:t>
      </w:r>
      <w:r w:rsidR="000F2964">
        <w:rPr>
          <w:noProof/>
        </w:rPr>
        <w:t xml:space="preserve"> de Ictiofauna</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9"/>
        <w:gridCol w:w="4675"/>
      </w:tblGrid>
      <w:tr w:rsidR="007211F1" w:rsidRPr="00D138DB" w:rsidTr="00A05C03">
        <w:trPr>
          <w:jc w:val="center"/>
        </w:trPr>
        <w:tc>
          <w:tcPr>
            <w:tcW w:w="4677" w:type="dxa"/>
          </w:tcPr>
          <w:p w:rsidR="007211F1" w:rsidRPr="00D138DB" w:rsidRDefault="00056696" w:rsidP="0014492A">
            <w:pPr>
              <w:spacing w:after="0" w:line="360" w:lineRule="auto"/>
              <w:rPr>
                <w:rFonts w:cs="Arial"/>
                <w:sz w:val="22"/>
                <w:szCs w:val="22"/>
              </w:rPr>
            </w:pPr>
            <w:r>
              <w:rPr>
                <w:rFonts w:cs="Arial"/>
                <w:noProof/>
              </w:rPr>
              <mc:AlternateContent>
                <mc:Choice Requires="wps">
                  <w:drawing>
                    <wp:anchor distT="0" distB="0" distL="114300" distR="114300" simplePos="0" relativeHeight="251694080" behindDoc="0" locked="0" layoutInCell="1" allowOverlap="1" wp14:anchorId="5E2475F9" wp14:editId="37CEA946">
                      <wp:simplePos x="0" y="0"/>
                      <wp:positionH relativeFrom="column">
                        <wp:posOffset>2608580</wp:posOffset>
                      </wp:positionH>
                      <wp:positionV relativeFrom="paragraph">
                        <wp:posOffset>26035</wp:posOffset>
                      </wp:positionV>
                      <wp:extent cx="276225" cy="246380"/>
                      <wp:effectExtent l="0" t="0" r="28575" b="20320"/>
                      <wp:wrapNone/>
                      <wp:docPr id="11664" name="Caixa de texto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46380"/>
                              </a:xfrm>
                              <a:prstGeom prst="rect">
                                <a:avLst/>
                              </a:prstGeom>
                              <a:solidFill>
                                <a:srgbClr val="FFFFFF"/>
                              </a:solidFill>
                              <a:ln w="9525">
                                <a:solidFill>
                                  <a:srgbClr val="000000"/>
                                </a:solidFill>
                                <a:miter lim="800000"/>
                                <a:headEnd/>
                                <a:tailEnd/>
                              </a:ln>
                            </wps:spPr>
                            <wps:txbx>
                              <w:txbxContent>
                                <w:p w:rsidR="000F2964" w:rsidRDefault="000F2964" w:rsidP="007211F1">
                                  <w:r>
                                    <w:t>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2475F9" id="Caixa de texto 52" o:spid="_x0000_s1052" type="#_x0000_t202" style="position:absolute;left:0;text-align:left;margin-left:205.4pt;margin-top:2.05pt;width:21.75pt;height:19.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oS2NAIAAGIEAAAOAAAAZHJzL2Uyb0RvYy54bWysVNuO0zAQfUfiHyy/07Sh7XajpqulSxHS&#10;cpEWPmDqOI2F4zG226R8PWOnLdWCeEDkwfJ47OMz54yzvOtbzQ7SeYWm5JPRmDNpBFbK7Er+9cvm&#10;1YIzH8BUoNHIkh+l53erly+WnS1kjg3qSjpGIMYXnS15E4ItssyLRrbgR2iloWSNroVAodtllYOO&#10;0Fud5ePxPOvQVdahkN7T6sOQ5KuEX9dShE917WVguuTELaTRpXEbx2y1hGLnwDZKnGjAP7BoQRm6&#10;9AL1AAHY3qnfoFolHHqsw0hgm2FdKyFTDVTNZPysmqcGrEy1kDjeXmTy/w9WfDx8dkxV5N1kPp9y&#10;ZqAlm9agemCVZEH2Adksj0J11he0/8nSidC/wZ4OpaK9fUTxzTOD6wbMTt47h10joSKik3gyuzo6&#10;4PgIsu0+YEW3wT5gAupr10YVSRdG6GTY8WISEWGCFvObeZ7POBOUyqfz14tkYgbF+bB1PryT2LI4&#10;KbmjHkjgcHj0IZKB4rwl3uVRq2qjtE6B223X2rEDUL9s0pf4P9umDetKfjsjHn+HGKfvTxCtCtT4&#10;WrUlX1w2QRFVe2uq1JYBlB7mRFmbk4xRuUHD0G/7ZF0+P9uzxepIwjocGp0eJk0adD8466jJS+6/&#10;78FJzvR7Q+bcTqbT+CpSMJ3d5BS468z2OgNGEFTJA2fDdB2Gl7S3Tu0aumloB4P3ZGitktjR+YHV&#10;iT81cvLg9OjiS7mO065fv4bVTwAAAP//AwBQSwMEFAAGAAgAAAAhAKK2S0jeAAAACAEAAA8AAABk&#10;cnMvZG93bnJldi54bWxMj8FOwzAQRO9I/IO1SFwQddqG0oY4FUIC0RsUBFc33iYR9jrYbhr+nu0J&#10;brOa1cybcj06KwYMsfOkYDrJQCDV3nTUKHh/e7xegohJk9HWEyr4wQjr6vys1IXxR3rFYZsawSEU&#10;C62gTakvpIx1i07Hie+R2Nv74HTiMzTSBH3kcGflLMsW0umOuKHVPT60WH9tD07BMn8ePuNm/vJR&#10;L/Z2la5uh6fvoNTlxXh/ByLhmP6e4YTP6FAx084fyERhFeTTjNHTSYBgP7/J5yB2LGYrkFUp/w+o&#10;fgEAAP//AwBQSwECLQAUAAYACAAAACEAtoM4kv4AAADhAQAAEwAAAAAAAAAAAAAAAAAAAAAAW0Nv&#10;bnRlbnRfVHlwZXNdLnhtbFBLAQItABQABgAIAAAAIQA4/SH/1gAAAJQBAAALAAAAAAAAAAAAAAAA&#10;AC8BAABfcmVscy8ucmVsc1BLAQItABQABgAIAAAAIQB9BoS2NAIAAGIEAAAOAAAAAAAAAAAAAAAA&#10;AC4CAABkcnMvZTJvRG9jLnhtbFBLAQItABQABgAIAAAAIQCitktI3gAAAAgBAAAPAAAAAAAAAAAA&#10;AAAAAI4EAABkcnMvZG93bnJldi54bWxQSwUGAAAAAAQABADzAAAAmQUAAAAA&#10;">
                      <v:textbox>
                        <w:txbxContent>
                          <w:p w:rsidR="000F2964" w:rsidRDefault="000F2964" w:rsidP="007211F1">
                            <w:r>
                              <w:t>A</w:t>
                            </w:r>
                          </w:p>
                        </w:txbxContent>
                      </v:textbox>
                    </v:shape>
                  </w:pict>
                </mc:Fallback>
              </mc:AlternateContent>
            </w:r>
            <w:r w:rsidR="007211F1" w:rsidRPr="00D138DB">
              <w:rPr>
                <w:rFonts w:cs="Arial"/>
                <w:noProof/>
              </w:rPr>
              <w:drawing>
                <wp:inline distT="0" distB="0" distL="0" distR="0" wp14:anchorId="0E40B7C7" wp14:editId="63D6FC7F">
                  <wp:extent cx="3204378" cy="1800000"/>
                  <wp:effectExtent l="19050" t="0" r="0" b="0"/>
                  <wp:docPr id="23" name="Imagem 5" descr="IMG_5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511.JPG"/>
                          <pic:cNvPicPr/>
                        </pic:nvPicPr>
                        <pic:blipFill>
                          <a:blip r:embed="rId182" cstate="print"/>
                          <a:stretch>
                            <a:fillRect/>
                          </a:stretch>
                        </pic:blipFill>
                        <pic:spPr>
                          <a:xfrm>
                            <a:off x="0" y="0"/>
                            <a:ext cx="3204378" cy="1800000"/>
                          </a:xfrm>
                          <a:prstGeom prst="rect">
                            <a:avLst/>
                          </a:prstGeom>
                        </pic:spPr>
                      </pic:pic>
                    </a:graphicData>
                  </a:graphic>
                </wp:inline>
              </w:drawing>
            </w:r>
          </w:p>
        </w:tc>
        <w:tc>
          <w:tcPr>
            <w:tcW w:w="4677" w:type="dxa"/>
          </w:tcPr>
          <w:p w:rsidR="007211F1" w:rsidRPr="00D138DB" w:rsidRDefault="00056696" w:rsidP="0014492A">
            <w:pPr>
              <w:spacing w:after="0" w:line="360" w:lineRule="auto"/>
              <w:rPr>
                <w:rFonts w:cs="Arial"/>
                <w:sz w:val="22"/>
                <w:szCs w:val="22"/>
              </w:rPr>
            </w:pPr>
            <w:r>
              <w:rPr>
                <w:noProof/>
              </w:rPr>
              <mc:AlternateContent>
                <mc:Choice Requires="wps">
                  <w:drawing>
                    <wp:anchor distT="0" distB="0" distL="114300" distR="114300" simplePos="0" relativeHeight="251693056" behindDoc="0" locked="0" layoutInCell="1" allowOverlap="1" wp14:anchorId="49A17E9C" wp14:editId="538304C8">
                      <wp:simplePos x="0" y="0"/>
                      <wp:positionH relativeFrom="column">
                        <wp:posOffset>2613025</wp:posOffset>
                      </wp:positionH>
                      <wp:positionV relativeFrom="paragraph">
                        <wp:posOffset>22860</wp:posOffset>
                      </wp:positionV>
                      <wp:extent cx="276225" cy="246380"/>
                      <wp:effectExtent l="0" t="0" r="28575" b="20320"/>
                      <wp:wrapNone/>
                      <wp:docPr id="11663" name="Caixa de texto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46380"/>
                              </a:xfrm>
                              <a:prstGeom prst="rect">
                                <a:avLst/>
                              </a:prstGeom>
                              <a:solidFill>
                                <a:srgbClr val="FFFFFF"/>
                              </a:solidFill>
                              <a:ln w="9525">
                                <a:solidFill>
                                  <a:srgbClr val="000000"/>
                                </a:solidFill>
                                <a:miter lim="800000"/>
                                <a:headEnd/>
                                <a:tailEnd/>
                              </a:ln>
                            </wps:spPr>
                            <wps:txbx>
                              <w:txbxContent>
                                <w:p w:rsidR="000F2964" w:rsidRDefault="000F2964" w:rsidP="007211F1">
                                  <w:r>
                                    <w:t>B</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A17E9C" id="Caixa de texto 63" o:spid="_x0000_s1053" type="#_x0000_t202" style="position:absolute;left:0;text-align:left;margin-left:205.75pt;margin-top:1.8pt;width:21.75pt;height:19.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ruMMwIAAGIEAAAOAAAAZHJzL2Uyb0RvYy54bWysVNuO2yAQfa/Uf0C8N068ua0VZ7XNNlWl&#10;7UXa9gPGGMeomKFAYqdfv2OcpNG26kNVPyBgmMOZcwav7rpGs4N0XqHJ+WQ05kwagaUyu5x/+7p9&#10;s+TMBzAlaDQy50fp+d369atVazOZYo26lI4RiPFZa3Neh2CzJPGilg34EVppKFihayDQ0u2S0kFL&#10;6I1O0vF4nrToSutQSO9p92EI8nXEryopwueq8jIwnXPiFuLo4lj0Y7JeQbZzYGslTjTgH1g0oAxd&#10;eoF6gABs79RvUI0SDj1WYSSwSbCqlJCxBqpmMn5RzVMNVsZaSBxvLzL5/wcrPh2+OKZK8m4yn99w&#10;ZqAhmzagOmClZEF2ARkFSKjW+ozOP1nKCN1b7CgpFu3tI4rvnhnc1GB28t45bGsJJRGd9JnJVeqA&#10;43uQov2IJd0G+4ARqKtc06tIujBCJ8OOF5OICBO0mS7maTrjTFAonc5vltHEBLJzsnU+vJfYsH6S&#10;c0c9EMHh8OhDTway85H+Lo9alVuldVy4XbHRjh2A+mUbv8j/xTFtWJvz2xnx+DvEOH5/gmhUoMbX&#10;qsn58nIIsl61d6aMbRlA6WFOlLU5ydgrN2gYuqKL1qWLsz0FlkcS1uHQ6PQwaVKj+8lZS02ec/9j&#10;D05ypj8YMud2Mp32ryIuprNFSgt3HSmuI2AEQeU8cDZMN2F4SXvr1K6mm4Z2MHhPhlYqit07P7A6&#10;8adGjh6cHl3/Uq7X8dSvX8P6GQAA//8DAFBLAwQUAAYACAAAACEA2hLKWt8AAAAIAQAADwAAAGRy&#10;cy9kb3ducmV2LnhtbEyPwU7DMBBE70j8g7VIXBB10iahhDgVQgLBDQqCq5tskwh7HWw3DX/PcoLb&#10;jmY0+6bazNaICX0YHClIFwkIpMa1A3UK3l7vL9cgQtTUauMIFXxjgE19elLpsnVHesFpGzvBJRRK&#10;raCPcSylDE2PVoeFG5HY2ztvdWTpO9l6feRya+QySQpp9UD8odcj3vXYfG4PVsE6e5w+wtPq+b0p&#10;9uY6XlxND19eqfOz+fYGRMQ5/oXhF5/RoWamnTtQG4RRkKVpzlEFqwIE+1me87YdH8sMZF3J/wPq&#10;HwAAAP//AwBQSwECLQAUAAYACAAAACEAtoM4kv4AAADhAQAAEwAAAAAAAAAAAAAAAAAAAAAAW0Nv&#10;bnRlbnRfVHlwZXNdLnhtbFBLAQItABQABgAIAAAAIQA4/SH/1gAAAJQBAAALAAAAAAAAAAAAAAAA&#10;AC8BAABfcmVscy8ucmVsc1BLAQItABQABgAIAAAAIQDP9ruMMwIAAGIEAAAOAAAAAAAAAAAAAAAA&#10;AC4CAABkcnMvZTJvRG9jLnhtbFBLAQItABQABgAIAAAAIQDaEspa3wAAAAgBAAAPAAAAAAAAAAAA&#10;AAAAAI0EAABkcnMvZG93bnJldi54bWxQSwUGAAAAAAQABADzAAAAmQUAAAAA&#10;">
                      <v:textbox>
                        <w:txbxContent>
                          <w:p w:rsidR="000F2964" w:rsidRDefault="000F2964" w:rsidP="007211F1">
                            <w:r>
                              <w:t>B</w:t>
                            </w:r>
                          </w:p>
                        </w:txbxContent>
                      </v:textbox>
                    </v:shape>
                  </w:pict>
                </mc:Fallback>
              </mc:AlternateContent>
            </w:r>
            <w:r w:rsidR="007211F1" w:rsidRPr="00D138DB">
              <w:rPr>
                <w:rFonts w:cs="Arial"/>
                <w:noProof/>
              </w:rPr>
              <w:drawing>
                <wp:inline distT="0" distB="0" distL="0" distR="0" wp14:anchorId="645B4BE3" wp14:editId="1D7B3E80">
                  <wp:extent cx="3201207" cy="1800000"/>
                  <wp:effectExtent l="19050" t="0" r="0" b="0"/>
                  <wp:docPr id="25" name="Imagem 6" descr="IMG_5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512.JPG"/>
                          <pic:cNvPicPr/>
                        </pic:nvPicPr>
                        <pic:blipFill>
                          <a:blip r:embed="rId183" cstate="print"/>
                          <a:stretch>
                            <a:fillRect/>
                          </a:stretch>
                        </pic:blipFill>
                        <pic:spPr>
                          <a:xfrm>
                            <a:off x="0" y="0"/>
                            <a:ext cx="3201207" cy="1800000"/>
                          </a:xfrm>
                          <a:prstGeom prst="rect">
                            <a:avLst/>
                          </a:prstGeom>
                        </pic:spPr>
                      </pic:pic>
                    </a:graphicData>
                  </a:graphic>
                </wp:inline>
              </w:drawing>
            </w:r>
          </w:p>
        </w:tc>
      </w:tr>
      <w:tr w:rsidR="007211F1" w:rsidRPr="00D138DB" w:rsidTr="00A05C03">
        <w:trPr>
          <w:jc w:val="center"/>
        </w:trPr>
        <w:tc>
          <w:tcPr>
            <w:tcW w:w="4677" w:type="dxa"/>
          </w:tcPr>
          <w:p w:rsidR="007211F1" w:rsidRPr="00D138DB" w:rsidRDefault="00056696" w:rsidP="0014492A">
            <w:pPr>
              <w:spacing w:after="0" w:line="360" w:lineRule="auto"/>
              <w:jc w:val="center"/>
              <w:rPr>
                <w:rFonts w:cs="Arial"/>
                <w:sz w:val="22"/>
                <w:szCs w:val="22"/>
              </w:rPr>
            </w:pPr>
            <w:r>
              <w:rPr>
                <w:rFonts w:cs="Arial"/>
                <w:noProof/>
              </w:rPr>
              <mc:AlternateContent>
                <mc:Choice Requires="wps">
                  <w:drawing>
                    <wp:anchor distT="0" distB="0" distL="114300" distR="114300" simplePos="0" relativeHeight="251696128" behindDoc="0" locked="0" layoutInCell="1" allowOverlap="1" wp14:anchorId="1C1971B8" wp14:editId="172C62AF">
                      <wp:simplePos x="0" y="0"/>
                      <wp:positionH relativeFrom="column">
                        <wp:posOffset>2608580</wp:posOffset>
                      </wp:positionH>
                      <wp:positionV relativeFrom="paragraph">
                        <wp:posOffset>1905</wp:posOffset>
                      </wp:positionV>
                      <wp:extent cx="276225" cy="246380"/>
                      <wp:effectExtent l="0" t="0" r="28575" b="20320"/>
                      <wp:wrapNone/>
                      <wp:docPr id="11662" name="Caixa de texto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46380"/>
                              </a:xfrm>
                              <a:prstGeom prst="rect">
                                <a:avLst/>
                              </a:prstGeom>
                              <a:solidFill>
                                <a:srgbClr val="FFFFFF"/>
                              </a:solidFill>
                              <a:ln w="9525">
                                <a:solidFill>
                                  <a:srgbClr val="000000"/>
                                </a:solidFill>
                                <a:miter lim="800000"/>
                                <a:headEnd/>
                                <a:tailEnd/>
                              </a:ln>
                            </wps:spPr>
                            <wps:txbx>
                              <w:txbxContent>
                                <w:p w:rsidR="000F2964" w:rsidRDefault="000F2964" w:rsidP="007211F1">
                                  <w:r>
                                    <w:t>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C1971B8" id="Caixa de texto 50" o:spid="_x0000_s1054" type="#_x0000_t202" style="position:absolute;left:0;text-align:left;margin-left:205.4pt;margin-top:.15pt;width:21.75pt;height:19.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ShNQIAAGIEAAAOAAAAZHJzL2Uyb0RvYy54bWysVNtu2zAMfR+wfxD0vjjxkjQ14hRdugwD&#10;ugvQ7QMYWY6FyaImKbGzry8lp2nQDXsY5gdBFKXDw0PSy5u+1ewgnVdoSj4ZjTmTRmClzK7k379t&#10;3iw48wFMBRqNLPlRen6zev1q2dlC5tigrqRjBGJ80dmSNyHYIsu8aGQLfoRWGnLW6FoIZLpdVjno&#10;CL3VWT4ez7MOXWUdCuk9nd4NTr5K+HUtRfhS114GpktO3EJaXVq3cc1WSyh2DmyjxIkG/AOLFpSh&#10;oGeoOwjA9k79BtUq4dBjHUYC2wzrWgmZcqBsJuMX2Tw0YGXKhcTx9iyT/3+w4vPhq2OqotpN5vOc&#10;MwMtlWkNqgdWSRZkH5DNklCd9QXdf7D0IvTvsKdHKWlv71H88MzgugGzk7fOYddIqIjoJEqcXTyN&#10;pfGFjyDb7hNWFA32ARNQX7s2qki6MEKngh3PRSIiTNBhfjXP8xlnglz5dP52kbhlUDw9ts6HDxJb&#10;Fjcld9QDCRwO9z5EMlA8XYmxPGpVbZTWyXC77Vo7dgDql036Ev8X17RhXcmvZ8Tj7xDj9P0JolWB&#10;Gl+rtuSL8yUoomrvTZXaMoDSw54oa3OSMSo3aBj6bZ9Kly9ihCjrFqsjCetwaHQaTNo06H5x1lGT&#10;l9z/3IOTnOmPhopzPZlO41QkYzq7yslwl57tpQeMIKiSB86G7ToMk7S3Tu0aijS0g8FbKmitktjP&#10;rE78qZFTDU5DFyfl0k63nn8Nq0cAAAD//wMAUEsDBBQABgAIAAAAIQAY7bJv3AAAAAcBAAAPAAAA&#10;ZHJzL2Rvd25yZXYueG1sTI7BTsMwEETvSPyDtUhcEHVCQ2lDnAohgegNCoKrG2+TCHsdbDcNf89y&#10;gtuMZjTzqvXkrBgxxN6TgnyWgUBqvOmpVfD2+nC5BBGTJqOtJ1TwjRHW9elJpUvjj/SC4za1gkco&#10;llpBl9JQShmbDp2OMz8gcbb3wenENrTSBH3kcWflVZYtpNM98UOnB7zvsPncHpyCZfE0fsTN/Pm9&#10;WeztKl3cjI9fQanzs+nuFkTCKf2V4Ref0aFmpp0/kInCKijyjNGTgjkIjovrgsWO7SoHWVfyP3/9&#10;AwAA//8DAFBLAQItABQABgAIAAAAIQC2gziS/gAAAOEBAAATAAAAAAAAAAAAAAAAAAAAAABbQ29u&#10;dGVudF9UeXBlc10ueG1sUEsBAi0AFAAGAAgAAAAhADj9If/WAAAAlAEAAAsAAAAAAAAAAAAAAAAA&#10;LwEAAF9yZWxzLy5yZWxzUEsBAi0AFAAGAAgAAAAhAH8wxKE1AgAAYgQAAA4AAAAAAAAAAAAAAAAA&#10;LgIAAGRycy9lMm9Eb2MueG1sUEsBAi0AFAAGAAgAAAAhABjtsm/cAAAABwEAAA8AAAAAAAAAAAAA&#10;AAAAjwQAAGRycy9kb3ducmV2LnhtbFBLBQYAAAAABAAEAPMAAACYBQAAAAA=&#10;">
                      <v:textbox>
                        <w:txbxContent>
                          <w:p w:rsidR="000F2964" w:rsidRDefault="000F2964" w:rsidP="007211F1">
                            <w:r>
                              <w:t>C</w:t>
                            </w:r>
                          </w:p>
                        </w:txbxContent>
                      </v:textbox>
                    </v:shape>
                  </w:pict>
                </mc:Fallback>
              </mc:AlternateContent>
            </w:r>
            <w:r w:rsidR="007211F1" w:rsidRPr="00D138DB">
              <w:rPr>
                <w:rFonts w:cs="Arial"/>
                <w:noProof/>
              </w:rPr>
              <w:drawing>
                <wp:inline distT="0" distB="0" distL="0" distR="0" wp14:anchorId="1CD287F4" wp14:editId="53B64DD7">
                  <wp:extent cx="3204769" cy="1800000"/>
                  <wp:effectExtent l="19050" t="0" r="0" b="0"/>
                  <wp:docPr id="26" name="Imagem 7" descr="IMG_5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531.JPG"/>
                          <pic:cNvPicPr/>
                        </pic:nvPicPr>
                        <pic:blipFill>
                          <a:blip r:embed="rId184" cstate="print"/>
                          <a:stretch>
                            <a:fillRect/>
                          </a:stretch>
                        </pic:blipFill>
                        <pic:spPr>
                          <a:xfrm>
                            <a:off x="0" y="0"/>
                            <a:ext cx="3204769" cy="1800000"/>
                          </a:xfrm>
                          <a:prstGeom prst="rect">
                            <a:avLst/>
                          </a:prstGeom>
                        </pic:spPr>
                      </pic:pic>
                    </a:graphicData>
                  </a:graphic>
                </wp:inline>
              </w:drawing>
            </w:r>
          </w:p>
        </w:tc>
        <w:tc>
          <w:tcPr>
            <w:tcW w:w="4677" w:type="dxa"/>
          </w:tcPr>
          <w:p w:rsidR="007211F1" w:rsidRPr="00D138DB" w:rsidRDefault="00056696" w:rsidP="0014492A">
            <w:pPr>
              <w:spacing w:after="0" w:line="360" w:lineRule="auto"/>
              <w:jc w:val="center"/>
              <w:rPr>
                <w:rFonts w:cs="Arial"/>
                <w:sz w:val="22"/>
                <w:szCs w:val="22"/>
              </w:rPr>
            </w:pPr>
            <w:r>
              <w:rPr>
                <w:rFonts w:cs="Arial"/>
                <w:noProof/>
              </w:rPr>
              <mc:AlternateContent>
                <mc:Choice Requires="wps">
                  <w:drawing>
                    <wp:anchor distT="0" distB="0" distL="114300" distR="114300" simplePos="0" relativeHeight="251695104" behindDoc="0" locked="0" layoutInCell="1" allowOverlap="1" wp14:anchorId="13D525C6" wp14:editId="7316C949">
                      <wp:simplePos x="0" y="0"/>
                      <wp:positionH relativeFrom="column">
                        <wp:posOffset>2613025</wp:posOffset>
                      </wp:positionH>
                      <wp:positionV relativeFrom="paragraph">
                        <wp:posOffset>1905</wp:posOffset>
                      </wp:positionV>
                      <wp:extent cx="276225" cy="246380"/>
                      <wp:effectExtent l="0" t="0" r="28575" b="20320"/>
                      <wp:wrapNone/>
                      <wp:docPr id="11661" name="Caixa de texto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46380"/>
                              </a:xfrm>
                              <a:prstGeom prst="rect">
                                <a:avLst/>
                              </a:prstGeom>
                              <a:solidFill>
                                <a:srgbClr val="FFFFFF"/>
                              </a:solidFill>
                              <a:ln w="9525">
                                <a:solidFill>
                                  <a:srgbClr val="000000"/>
                                </a:solidFill>
                                <a:miter lim="800000"/>
                                <a:headEnd/>
                                <a:tailEnd/>
                              </a:ln>
                            </wps:spPr>
                            <wps:txbx>
                              <w:txbxContent>
                                <w:p w:rsidR="000F2964" w:rsidRDefault="000F2964" w:rsidP="007211F1">
                                  <w:r>
                                    <w:t>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D525C6" id="Caixa de texto 51" o:spid="_x0000_s1055" type="#_x0000_t202" style="position:absolute;left:0;text-align:left;margin-left:205.75pt;margin-top:.15pt;width:21.75pt;height:19.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sitNgIAAGIEAAAOAAAAZHJzL2Uyb0RvYy54bWysVN2u0zAMvkfiHaLcs25l29mqdUeHHYaQ&#10;Dj/SgQfw0nSNSOOQZGsPT4+TbmP8iAtEL6I4tj/bn+2ubvtWs6N0XqEp+WQ05kwagZUy+5J//rR9&#10;seDMBzAVaDSy5E/S89v182erzhYyxwZ1JR0jEOOLzpa8CcEWWeZFI1vwI7TSkLJG10Ig0e2zykFH&#10;6K3O8vF4nnXoKutQSO/p9X5Q8nXCr2spwoe69jIwXXLKLaTTpXMXz2y9gmLvwDZKnNKAf8iiBWUo&#10;6AXqHgKwg1O/QbVKOPRYh5HANsO6VkKmGqiayfiXah4bsDLVQuR4e6HJ/z9Y8f740TFVUe8m8/mE&#10;MwMttWkDqgdWSRZkH5DNJpGozvqC7B8teYT+FfbklIr29gHFF88Mbhowe3nnHHaNhIoSTZ7ZleuA&#10;4yPIrnuHFUWDQ8AE1NeujSwSL4zQqWFPlyZRIkzQY34zz/MZZ4JU+XT+cpGamEFxdrbOhzcSWxYv&#10;JXc0Awkcjg8+UBlkejaJsTxqVW2V1klw+91GO3YEmpdt+mLl5PKTmTasK/lyRnn8HWKcvj9BtCrQ&#10;4GvVlnxxMYIisvbaVGksAyg93Cm+NpRGpDEyN3AY+l2fWpcvz+3ZYfVExDocBp0Wky4Num+cdTTk&#10;JfdfD+AkZ/qtoeYsJ9Np3IokTGc3OQnuWrO71oARBFXywNlw3YRhkw7WqX1DkYZxMHhHDa1VIjum&#10;PGR1yp8GORF6Wrq4Kddysvrxa1h/BwAA//8DAFBLAwQUAAYACAAAACEAH2JX290AAAAHAQAADwAA&#10;AGRycy9kb3ducmV2LnhtbEyPwU7DMBBE70j8g7VIXBB1QpPShjgVQgLBDdoKrm6yTSLsdbDdNPw9&#10;ywmOoxnNvCnXkzViRB96RwrSWQICqXZNT62C3fbxegkiRE2NNo5QwTcGWFfnZ6UuGneiNxw3sRVc&#10;QqHQCroYh0LKUHdodZi5AYm9g/NWR5a+lY3XJy63Rt4kyUJa3RMvdHrAhw7rz83RKlhmz+NHeJm/&#10;vteLg1nFq9vx6csrdXkx3d+BiDjFvzD84jM6VMy0d0dqgjAKsjTNOapgDoLtLM/52p7lKgVZlfI/&#10;f/UDAAD//wMAUEsBAi0AFAAGAAgAAAAhALaDOJL+AAAA4QEAABMAAAAAAAAAAAAAAAAAAAAAAFtD&#10;b250ZW50X1R5cGVzXS54bWxQSwECLQAUAAYACAAAACEAOP0h/9YAAACUAQAACwAAAAAAAAAAAAAA&#10;AAAvAQAAX3JlbHMvLnJlbHNQSwECLQAUAAYACAAAACEAfYbIrTYCAABiBAAADgAAAAAAAAAAAAAA&#10;AAAuAgAAZHJzL2Uyb0RvYy54bWxQSwECLQAUAAYACAAAACEAH2JX290AAAAHAQAADwAAAAAAAAAA&#10;AAAAAACQBAAAZHJzL2Rvd25yZXYueG1sUEsFBgAAAAAEAAQA8wAAAJoFAAAAAA==&#10;">
                      <v:textbox>
                        <w:txbxContent>
                          <w:p w:rsidR="000F2964" w:rsidRDefault="000F2964" w:rsidP="007211F1">
                            <w:r>
                              <w:t>D</w:t>
                            </w:r>
                          </w:p>
                        </w:txbxContent>
                      </v:textbox>
                    </v:shape>
                  </w:pict>
                </mc:Fallback>
              </mc:AlternateContent>
            </w:r>
            <w:r w:rsidR="007211F1" w:rsidRPr="00D138DB">
              <w:rPr>
                <w:rFonts w:cs="Arial"/>
                <w:noProof/>
              </w:rPr>
              <w:drawing>
                <wp:inline distT="0" distB="0" distL="0" distR="0" wp14:anchorId="4C34E3BD" wp14:editId="2411AAFE">
                  <wp:extent cx="3204210" cy="1799590"/>
                  <wp:effectExtent l="0" t="0" r="0" b="0"/>
                  <wp:docPr id="27" name="Imagem 8" descr="IMG_5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33.JPG"/>
                          <pic:cNvPicPr/>
                        </pic:nvPicPr>
                        <pic:blipFill>
                          <a:blip r:embed="rId185" cstate="print"/>
                          <a:stretch>
                            <a:fillRect/>
                          </a:stretch>
                        </pic:blipFill>
                        <pic:spPr>
                          <a:xfrm>
                            <a:off x="0" y="0"/>
                            <a:ext cx="3204942" cy="1800001"/>
                          </a:xfrm>
                          <a:prstGeom prst="rect">
                            <a:avLst/>
                          </a:prstGeom>
                        </pic:spPr>
                      </pic:pic>
                    </a:graphicData>
                  </a:graphic>
                </wp:inline>
              </w:drawing>
            </w:r>
          </w:p>
        </w:tc>
      </w:tr>
    </w:tbl>
    <w:p w:rsidR="00A05C03" w:rsidRPr="00A05C03" w:rsidRDefault="00A05C03" w:rsidP="00A05C03">
      <w:pPr>
        <w:spacing w:after="0" w:line="360" w:lineRule="auto"/>
        <w:ind w:firstLine="708"/>
        <w:jc w:val="left"/>
        <w:rPr>
          <w:rFonts w:cs="Arial"/>
          <w:noProof/>
          <w:sz w:val="18"/>
          <w:szCs w:val="18"/>
        </w:rPr>
      </w:pPr>
      <w:r w:rsidRPr="00A05C03">
        <w:rPr>
          <w:rFonts w:cs="Arial"/>
          <w:noProof/>
          <w:sz w:val="18"/>
          <w:szCs w:val="18"/>
        </w:rPr>
        <w:t>A: Rede de espera; B: Rede de arrasto; C: Covo; D: Tarrafa</w:t>
      </w:r>
    </w:p>
    <w:p w:rsidR="00A05C03" w:rsidRPr="00D138DB" w:rsidRDefault="00A05C03" w:rsidP="00A05C03">
      <w:pPr>
        <w:rPr>
          <w:noProof/>
        </w:rPr>
      </w:pPr>
      <w:r w:rsidRPr="00D138DB">
        <w:t xml:space="preserve">Os exemplares capturados foram identificados, fotografados e soltos no mesmo local da captura. Os peixes que não apresentaram condições físicas de serem soltos ou que necessitaram de confirmação taxonômica, foram anestesiados com cloridrato de benzocaína por dez minutos, fixados em formol e conservados em álcool. </w:t>
      </w:r>
      <w:r w:rsidR="00710308">
        <w:t xml:space="preserve">Foi </w:t>
      </w:r>
      <w:r w:rsidR="00710308" w:rsidRPr="00D138DB">
        <w:t xml:space="preserve">estipulado o limite de coleta de três exemplares para confirmação taxonômica. </w:t>
      </w:r>
      <w:r w:rsidRPr="00D138DB">
        <w:t>Poster</w:t>
      </w:r>
      <w:r>
        <w:t>i</w:t>
      </w:r>
      <w:r w:rsidRPr="00D138DB">
        <w:t>ormente esses exemplares foram depositados na</w:t>
      </w:r>
      <w:r>
        <w:t xml:space="preserve"> coleção ictiológica</w:t>
      </w:r>
      <w:r w:rsidR="00710308">
        <w:t xml:space="preserve"> da UFSCar</w:t>
      </w:r>
      <w:r>
        <w:t xml:space="preserve">, </w:t>
      </w:r>
      <w:r w:rsidR="00710308">
        <w:t xml:space="preserve">campus Lagoa do Sino, município de Buri, SP. </w:t>
      </w:r>
    </w:p>
    <w:p w:rsidR="007211F1" w:rsidRPr="00710308" w:rsidRDefault="007211F1" w:rsidP="00E551CF">
      <w:pPr>
        <w:pStyle w:val="Ttulo5"/>
        <w:numPr>
          <w:ilvl w:val="0"/>
          <w:numId w:val="25"/>
        </w:numPr>
      </w:pPr>
      <w:r w:rsidRPr="00710308">
        <w:t>Análise d</w:t>
      </w:r>
      <w:r w:rsidR="00E551CF">
        <w:t>os</w:t>
      </w:r>
      <w:r w:rsidRPr="00710308">
        <w:t xml:space="preserve"> Dados</w:t>
      </w:r>
      <w:r w:rsidR="00E551CF">
        <w:t xml:space="preserve"> de Ictiofauna</w:t>
      </w:r>
    </w:p>
    <w:p w:rsidR="007211F1" w:rsidRPr="00D138DB" w:rsidRDefault="007211F1" w:rsidP="007211F1">
      <w:r w:rsidRPr="00D138DB">
        <w:t>Para realização do diagnóstico da ictiofauna, foram realizados levantamentos de dados primários e secundários. A avaliação da estrutura da comunidade de peixes e o efeito que o empreendimento possa vir a causar sobre a ictiofauna foram realizados com base nas análises descritas a seguir.</w:t>
      </w:r>
    </w:p>
    <w:p w:rsidR="007211F1" w:rsidRPr="00D138DB" w:rsidRDefault="007211F1" w:rsidP="007211F1">
      <w:pPr>
        <w:numPr>
          <w:ilvl w:val="0"/>
          <w:numId w:val="22"/>
        </w:numPr>
        <w:spacing w:after="0" w:line="360" w:lineRule="auto"/>
        <w:ind w:left="0" w:firstLine="709"/>
        <w:rPr>
          <w:rFonts w:cs="Arial"/>
          <w:b/>
        </w:rPr>
      </w:pPr>
      <w:r w:rsidRPr="00D138DB">
        <w:rPr>
          <w:rFonts w:cs="Arial"/>
          <w:b/>
        </w:rPr>
        <w:t>Rarefação</w:t>
      </w:r>
    </w:p>
    <w:p w:rsidR="007211F1" w:rsidRPr="00D138DB" w:rsidRDefault="007211F1" w:rsidP="007211F1">
      <w:r w:rsidRPr="00D138DB">
        <w:t xml:space="preserve">A técnica de rarefação permite fazer comparações do número de espécies entre comunidades quando o tamanho das amostras não é igual. Calcula-se o número esperado de espécies de cada amostra reduzindo-a a um tamanho padrão, isto é, quantas espécies seriam registradas caso a amostra considerada fosse de </w:t>
      </w:r>
      <w:r w:rsidRPr="00D138DB">
        <w:rPr>
          <w:i/>
        </w:rPr>
        <w:t>N</w:t>
      </w:r>
      <w:r w:rsidRPr="00D138DB">
        <w:t xml:space="preserve"> indivíduos. Além disso, essa técnica permite realizar uma estimativa de riqueza do local, avaliando se o ambiente foi bem amostrado a partir da estabilidade da curva.</w:t>
      </w:r>
    </w:p>
    <w:p w:rsidR="007211F1" w:rsidRPr="00D138DB" w:rsidRDefault="007211F1" w:rsidP="00972EF9">
      <w:pPr>
        <w:ind w:firstLine="708"/>
      </w:pPr>
      <w:r w:rsidRPr="007211F1">
        <w:object w:dxaOrig="2540" w:dyaOrig="1520">
          <v:shape id="_x0000_i1035" type="#_x0000_t75" style="width:123.45pt;height:75.1pt" o:ole="">
            <v:imagedata r:id="rId186" o:title=""/>
          </v:shape>
          <o:OLEObject Type="Embed" ProgID="Equation.3" ShapeID="_x0000_i1035" DrawAspect="Content" ObjectID="_1485879700" r:id="rId187"/>
        </w:object>
      </w:r>
      <w:r w:rsidR="0098722C">
        <w:t xml:space="preserve"> </w:t>
      </w:r>
      <w:r w:rsidRPr="007211F1">
        <w:t>onde, E (S) = número esperado de espécies, N = número total</w:t>
      </w:r>
      <w:r w:rsidRPr="00D138DB">
        <w:t xml:space="preserve"> de indivíduos na amostra, </w:t>
      </w:r>
      <w:r w:rsidRPr="00D138DB">
        <w:rPr>
          <w:i/>
        </w:rPr>
        <w:t>N</w:t>
      </w:r>
      <w:r w:rsidRPr="00D138DB">
        <w:rPr>
          <w:i/>
          <w:vertAlign w:val="subscript"/>
        </w:rPr>
        <w:t>i</w:t>
      </w:r>
      <w:r w:rsidRPr="00D138DB">
        <w:rPr>
          <w:vertAlign w:val="subscript"/>
        </w:rPr>
        <w:t xml:space="preserve"> </w:t>
      </w:r>
      <w:r w:rsidRPr="00D138DB">
        <w:t xml:space="preserve">= número de indivíduos da </w:t>
      </w:r>
      <w:r w:rsidRPr="00D138DB">
        <w:rPr>
          <w:i/>
        </w:rPr>
        <w:t>i</w:t>
      </w:r>
      <w:r w:rsidRPr="00D138DB">
        <w:t xml:space="preserve">-ésima espécie e </w:t>
      </w:r>
      <w:r w:rsidRPr="00D138DB">
        <w:rPr>
          <w:i/>
        </w:rPr>
        <w:t>n</w:t>
      </w:r>
      <w:r w:rsidRPr="00D138DB">
        <w:t xml:space="preserve"> = tamanho da amostra padronizada.</w:t>
      </w:r>
    </w:p>
    <w:p w:rsidR="007211F1" w:rsidRPr="00D138DB" w:rsidRDefault="007211F1" w:rsidP="007211F1">
      <w:r w:rsidRPr="00D138DB">
        <w:lastRenderedPageBreak/>
        <w:t>Krebs (1989) descreve detalhadamente este método e analisa as restrições de seu uso em ecologia, sendo estas: as amostras a serem comparadas devem ser consistentes do ponto de vista taxonômico; o desenho amostral pode diferir na intensidade de amostragem, mas não no método de coleta; os tipos de hábitats de onde são obtidas as amostras devem ser similares.</w:t>
      </w:r>
    </w:p>
    <w:p w:rsidR="007211F1" w:rsidRPr="00D138DB" w:rsidRDefault="007211F1" w:rsidP="007211F1">
      <w:r w:rsidRPr="00D138DB">
        <w:t xml:space="preserve">Para medir a diversidade de espécies </w:t>
      </w:r>
      <w:r w:rsidR="00710308">
        <w:t xml:space="preserve">foram </w:t>
      </w:r>
      <w:r w:rsidRPr="00D138DB">
        <w:t xml:space="preserve">aplicados o índice de riqueza de espécies de </w:t>
      </w:r>
      <w:r w:rsidRPr="00D138DB">
        <w:rPr>
          <w:i/>
        </w:rPr>
        <w:t>Margalef</w:t>
      </w:r>
      <w:r w:rsidRPr="00D138DB">
        <w:t xml:space="preserve"> (MG) e dois índices baseados na abundância proporcional das espécies: diversidade de </w:t>
      </w:r>
      <w:r w:rsidRPr="00D138DB">
        <w:rPr>
          <w:i/>
        </w:rPr>
        <w:t xml:space="preserve">Shannon </w:t>
      </w:r>
      <w:r w:rsidRPr="00D138DB">
        <w:t xml:space="preserve">(H’) e equabilidade de </w:t>
      </w:r>
      <w:r w:rsidRPr="00D138DB">
        <w:rPr>
          <w:i/>
        </w:rPr>
        <w:t xml:space="preserve">Pielou </w:t>
      </w:r>
      <w:r w:rsidRPr="00D138DB">
        <w:t xml:space="preserve">(J’). </w:t>
      </w:r>
    </w:p>
    <w:p w:rsidR="007211F1" w:rsidRPr="00D138DB" w:rsidRDefault="007211F1" w:rsidP="007211F1">
      <w:pPr>
        <w:numPr>
          <w:ilvl w:val="0"/>
          <w:numId w:val="20"/>
        </w:numPr>
        <w:autoSpaceDE w:val="0"/>
        <w:autoSpaceDN w:val="0"/>
        <w:adjustRightInd w:val="0"/>
        <w:spacing w:after="0" w:line="360" w:lineRule="auto"/>
        <w:ind w:left="0" w:firstLine="709"/>
        <w:rPr>
          <w:rFonts w:cs="Arial"/>
          <w:b/>
          <w:i/>
        </w:rPr>
      </w:pPr>
      <w:r w:rsidRPr="00D138DB">
        <w:rPr>
          <w:rFonts w:cs="Arial"/>
          <w:b/>
        </w:rPr>
        <w:t xml:space="preserve">Índice de </w:t>
      </w:r>
      <w:r w:rsidRPr="00D138DB">
        <w:rPr>
          <w:rFonts w:cs="Arial"/>
          <w:b/>
          <w:i/>
        </w:rPr>
        <w:t>Margalef</w:t>
      </w:r>
    </w:p>
    <w:p w:rsidR="007211F1" w:rsidRPr="00D138DB" w:rsidRDefault="007211F1" w:rsidP="00972EF9">
      <w:pPr>
        <w:ind w:firstLine="708"/>
      </w:pPr>
      <w:r w:rsidRPr="00D138DB">
        <w:rPr>
          <w:b/>
          <w:position w:val="-10"/>
        </w:rPr>
        <w:object w:dxaOrig="1860" w:dyaOrig="340">
          <v:shape id="_x0000_i1036" type="#_x0000_t75" style="width:91.55pt;height:17.5pt" o:ole="">
            <v:imagedata r:id="rId188" o:title=""/>
          </v:shape>
          <o:OLEObject Type="Embed" ProgID="Equation.3" ShapeID="_x0000_i1036" DrawAspect="Content" ObjectID="_1485879701" r:id="rId189"/>
        </w:object>
      </w:r>
      <w:r w:rsidRPr="00D138DB">
        <w:rPr>
          <w:b/>
        </w:rPr>
        <w:t xml:space="preserve">, </w:t>
      </w:r>
      <w:r w:rsidRPr="00D138DB">
        <w:t xml:space="preserve">onde </w:t>
      </w:r>
      <w:r w:rsidRPr="00D138DB">
        <w:rPr>
          <w:i/>
        </w:rPr>
        <w:t>S</w:t>
      </w:r>
      <w:r w:rsidRPr="00D138DB">
        <w:t xml:space="preserve"> = número de espécies e </w:t>
      </w:r>
      <w:r w:rsidRPr="00D138DB">
        <w:rPr>
          <w:i/>
        </w:rPr>
        <w:t>N</w:t>
      </w:r>
      <w:r w:rsidRPr="00D138DB">
        <w:t xml:space="preserve"> = número total de indivíduos.</w:t>
      </w:r>
    </w:p>
    <w:p w:rsidR="007211F1" w:rsidRPr="00D138DB" w:rsidRDefault="007211F1" w:rsidP="007211F1">
      <w:r w:rsidRPr="00D138DB">
        <w:t xml:space="preserve">Esse índice transforma o número de espécies por amostra em uma proporção na qual as espécies são adicionadas pela expansão da amostra. Supõe-se que haja uma relação funcional entre o número de espécies e o número total de indivíduos </w:t>
      </w:r>
      <w:r w:rsidRPr="00D138DB">
        <w:rPr>
          <w:i/>
        </w:rPr>
        <w:t>S=</w:t>
      </w:r>
      <w:r w:rsidRPr="00D138DB">
        <w:rPr>
          <w:i/>
          <w:vertAlign w:val="superscript"/>
        </w:rPr>
        <w:t>k</w:t>
      </w:r>
      <w:r w:rsidRPr="00D138DB">
        <w:rPr>
          <w:i/>
        </w:rPr>
        <w:t>√N</w:t>
      </w:r>
      <w:r w:rsidRPr="00D138DB">
        <w:t xml:space="preserve">, onde </w:t>
      </w:r>
      <w:r w:rsidRPr="00D138DB">
        <w:rPr>
          <w:i/>
        </w:rPr>
        <w:t>k</w:t>
      </w:r>
      <w:r w:rsidRPr="00D138DB">
        <w:t xml:space="preserve"> é constante (</w:t>
      </w:r>
      <w:r w:rsidRPr="00D138DB">
        <w:rPr>
          <w:caps/>
        </w:rPr>
        <w:t>M</w:t>
      </w:r>
      <w:r w:rsidRPr="00D138DB">
        <w:t xml:space="preserve">agurran, 1988). Se isso não é mantido, o índice varia com o tamanho da amostra de forma desconhecida. Usa-se </w:t>
      </w:r>
      <w:r w:rsidRPr="00D138DB">
        <w:rPr>
          <w:i/>
        </w:rPr>
        <w:t>S - 1</w:t>
      </w:r>
      <w:r w:rsidRPr="00D138DB">
        <w:t xml:space="preserve"> no lugar de </w:t>
      </w:r>
      <w:r w:rsidRPr="00D138DB">
        <w:rPr>
          <w:i/>
        </w:rPr>
        <w:t>S</w:t>
      </w:r>
      <w:r w:rsidRPr="00D138DB">
        <w:t xml:space="preserve">, sendo </w:t>
      </w:r>
      <w:r w:rsidRPr="00D138DB">
        <w:rPr>
          <w:i/>
        </w:rPr>
        <w:t>MG = 0</w:t>
      </w:r>
      <w:r w:rsidRPr="00D138DB">
        <w:t xml:space="preserve"> quando existe uma única espécie.</w:t>
      </w:r>
    </w:p>
    <w:p w:rsidR="007211F1" w:rsidRPr="00D138DB" w:rsidRDefault="007211F1" w:rsidP="007211F1">
      <w:r w:rsidRPr="00D138DB">
        <w:t>Um aspecto importante a ser considerado é que o número de espécies registradas depende fortemente do tamanho da amostra. Se o esforço amostral não é o mesmo, a comparação de distintos valores de riqueza não será válida a menos que se utilizem índices que não dependam do tamanho da amostra, ou se padronize o tamanho da amostra mediante métodos como rarefação, curva de acúmulo de espécies ou métodos não paramétricos.</w:t>
      </w:r>
    </w:p>
    <w:p w:rsidR="007211F1" w:rsidRPr="00D138DB" w:rsidRDefault="007211F1" w:rsidP="007211F1">
      <w:pPr>
        <w:numPr>
          <w:ilvl w:val="0"/>
          <w:numId w:val="20"/>
        </w:numPr>
        <w:spacing w:after="0" w:line="360" w:lineRule="auto"/>
        <w:ind w:left="0" w:firstLine="709"/>
        <w:rPr>
          <w:rFonts w:cs="Arial"/>
          <w:b/>
        </w:rPr>
      </w:pPr>
      <w:r w:rsidRPr="00D138DB">
        <w:rPr>
          <w:rFonts w:cs="Arial"/>
          <w:b/>
        </w:rPr>
        <w:t xml:space="preserve">Índice de </w:t>
      </w:r>
      <w:r w:rsidRPr="00D138DB">
        <w:rPr>
          <w:rFonts w:cs="Arial"/>
          <w:b/>
          <w:i/>
        </w:rPr>
        <w:t>Shannon</w:t>
      </w:r>
    </w:p>
    <w:p w:rsidR="007211F1" w:rsidRPr="00D138DB" w:rsidRDefault="007211F1" w:rsidP="00972EF9">
      <w:pPr>
        <w:ind w:firstLine="708"/>
      </w:pPr>
      <w:r w:rsidRPr="00D138DB">
        <w:rPr>
          <w:b/>
          <w:position w:val="-14"/>
        </w:rPr>
        <w:object w:dxaOrig="1700" w:dyaOrig="400">
          <v:shape id="_x0000_i1037" type="#_x0000_t75" style="width:81.25pt;height:20.55pt" o:ole="">
            <v:imagedata r:id="rId190" o:title=""/>
          </v:shape>
          <o:OLEObject Type="Embed" ProgID="Equation.3" ShapeID="_x0000_i1037" DrawAspect="Content" ObjectID="_1485879702" r:id="rId191"/>
        </w:object>
      </w:r>
      <w:r w:rsidRPr="00D138DB">
        <w:t xml:space="preserve">, onde </w:t>
      </w:r>
      <w:r w:rsidRPr="00D138DB">
        <w:rPr>
          <w:i/>
        </w:rPr>
        <w:t>p</w:t>
      </w:r>
      <w:r w:rsidRPr="00D138DB">
        <w:rPr>
          <w:i/>
          <w:vertAlign w:val="subscript"/>
        </w:rPr>
        <w:t xml:space="preserve">i </w:t>
      </w:r>
      <w:r w:rsidRPr="00D138DB">
        <w:rPr>
          <w:i/>
        </w:rPr>
        <w:t>=</w:t>
      </w:r>
      <w:r w:rsidRPr="00D138DB">
        <w:t xml:space="preserve"> abundância proporcional da espécie </w:t>
      </w:r>
      <w:r w:rsidRPr="00D138DB">
        <w:rPr>
          <w:i/>
        </w:rPr>
        <w:t>i</w:t>
      </w:r>
      <w:r w:rsidRPr="00D138DB">
        <w:t xml:space="preserve">, isto é, o número de indivíduos da espécie </w:t>
      </w:r>
      <w:r w:rsidRPr="00D138DB">
        <w:rPr>
          <w:i/>
        </w:rPr>
        <w:t>i</w:t>
      </w:r>
      <w:r w:rsidRPr="00D138DB">
        <w:t xml:space="preserve"> dividida pelo número total de indivíduos da amostra.</w:t>
      </w:r>
    </w:p>
    <w:p w:rsidR="007211F1" w:rsidRPr="00D138DB" w:rsidRDefault="007211F1" w:rsidP="00972EF9">
      <w:pPr>
        <w:rPr>
          <w:rFonts w:cs="Arial"/>
        </w:rPr>
      </w:pPr>
      <w:r w:rsidRPr="00D138DB">
        <w:rPr>
          <w:rFonts w:cs="Arial"/>
        </w:rPr>
        <w:t>Esse índice expressa a uniformidade dos valores de importância de todas as espécies da amostra, assim, mede o grau médio de incerteza em predizer a que espécie pertence um indivíduo escolhido ao acaso da coleção (</w:t>
      </w:r>
      <w:r w:rsidRPr="00D138DB">
        <w:rPr>
          <w:rFonts w:cs="Arial"/>
          <w:caps/>
        </w:rPr>
        <w:t>M</w:t>
      </w:r>
      <w:r w:rsidRPr="00D138DB">
        <w:rPr>
          <w:rFonts w:cs="Arial"/>
        </w:rPr>
        <w:t>agurran</w:t>
      </w:r>
      <w:r w:rsidRPr="00D138DB">
        <w:rPr>
          <w:rFonts w:cs="Arial"/>
          <w:caps/>
        </w:rPr>
        <w:t>,</w:t>
      </w:r>
      <w:r w:rsidRPr="00D138DB">
        <w:rPr>
          <w:rFonts w:cs="Arial"/>
        </w:rPr>
        <w:t xml:space="preserve"> 1988). Assume-se que os indivíduos são selecionados ao acaso e que todas as espécies estão representadas na amostra. Esse índice adquire valores entre zero, quando existe uma só espécie, e o logaritmo de </w:t>
      </w:r>
      <w:r w:rsidRPr="00D138DB">
        <w:rPr>
          <w:rFonts w:cs="Arial"/>
          <w:i/>
        </w:rPr>
        <w:t>S</w:t>
      </w:r>
      <w:r w:rsidRPr="00D138DB">
        <w:rPr>
          <w:rFonts w:cs="Arial"/>
        </w:rPr>
        <w:t xml:space="preserve"> quando todas as espécies estão representadas pelo mesmo número de indivíduos (</w:t>
      </w:r>
      <w:r w:rsidRPr="00D138DB">
        <w:rPr>
          <w:rFonts w:cs="Arial"/>
          <w:caps/>
        </w:rPr>
        <w:t>M</w:t>
      </w:r>
      <w:r w:rsidRPr="00D138DB">
        <w:rPr>
          <w:rFonts w:cs="Arial"/>
        </w:rPr>
        <w:t>agurran</w:t>
      </w:r>
      <w:r w:rsidRPr="00D138DB">
        <w:rPr>
          <w:rFonts w:cs="Arial"/>
          <w:caps/>
        </w:rPr>
        <w:t>,</w:t>
      </w:r>
      <w:r w:rsidRPr="00D138DB">
        <w:rPr>
          <w:rFonts w:cs="Arial"/>
        </w:rPr>
        <w:t xml:space="preserve"> 1988).</w:t>
      </w:r>
    </w:p>
    <w:p w:rsidR="007211F1" w:rsidRPr="00D138DB" w:rsidRDefault="007211F1" w:rsidP="007211F1">
      <w:pPr>
        <w:numPr>
          <w:ilvl w:val="0"/>
          <w:numId w:val="21"/>
        </w:numPr>
        <w:spacing w:after="0" w:line="360" w:lineRule="auto"/>
        <w:ind w:left="0" w:firstLine="709"/>
        <w:rPr>
          <w:rFonts w:cs="Arial"/>
          <w:b/>
        </w:rPr>
      </w:pPr>
      <w:r w:rsidRPr="00D138DB">
        <w:rPr>
          <w:rFonts w:cs="Arial"/>
          <w:b/>
        </w:rPr>
        <w:t xml:space="preserve">Índice de </w:t>
      </w:r>
      <w:r w:rsidRPr="00D138DB">
        <w:rPr>
          <w:rFonts w:cs="Arial"/>
          <w:b/>
          <w:i/>
        </w:rPr>
        <w:t>Pielou</w:t>
      </w:r>
    </w:p>
    <w:p w:rsidR="007211F1" w:rsidRPr="00D138DB" w:rsidRDefault="007211F1" w:rsidP="00972EF9">
      <w:pPr>
        <w:ind w:firstLine="708"/>
      </w:pPr>
      <w:r w:rsidRPr="00D138DB">
        <w:object w:dxaOrig="1400" w:dyaOrig="360">
          <v:shape id="_x0000_i1038" type="#_x0000_t75" style="width:67.9pt;height:17.5pt" o:ole="">
            <v:imagedata r:id="rId192" o:title=""/>
          </v:shape>
          <o:OLEObject Type="Embed" ProgID="Equation.3" ShapeID="_x0000_i1038" DrawAspect="Content" ObjectID="_1485879703" r:id="rId193"/>
        </w:object>
      </w:r>
      <w:r w:rsidRPr="00D138DB">
        <w:t xml:space="preserve">, onde </w:t>
      </w:r>
      <w:r w:rsidRPr="00D138DB">
        <w:object w:dxaOrig="1320" w:dyaOrig="360">
          <v:shape id="_x0000_i1039" type="#_x0000_t75" style="width:67.9pt;height:17.5pt" o:ole="">
            <v:imagedata r:id="rId194" o:title=""/>
          </v:shape>
          <o:OLEObject Type="Embed" ProgID="Equation.3" ShapeID="_x0000_i1039" DrawAspect="Content" ObjectID="_1485879704" r:id="rId195"/>
        </w:object>
      </w:r>
      <w:r w:rsidRPr="00D138DB">
        <w:t>.</w:t>
      </w:r>
    </w:p>
    <w:p w:rsidR="007211F1" w:rsidRPr="00D138DB" w:rsidRDefault="007211F1" w:rsidP="00972EF9">
      <w:r w:rsidRPr="00D138DB">
        <w:t xml:space="preserve">Esse índice mede a proporção da diversidade observada com relação à máxima diversidade esperada. Seu valor varia de </w:t>
      </w:r>
      <w:smartTag w:uri="urn:schemas-microsoft-com:office:smarttags" w:element="metricconverter">
        <w:smartTagPr>
          <w:attr w:name="ProductID" w:val="0 a"/>
        </w:smartTagPr>
        <w:r w:rsidRPr="00D138DB">
          <w:t>0 a</w:t>
        </w:r>
      </w:smartTag>
      <w:r w:rsidRPr="00D138DB">
        <w:t xml:space="preserve"> 1, de forma que 1 corresponde a situações onde todas as espécies são igualmente abundantes (</w:t>
      </w:r>
      <w:r w:rsidRPr="00D138DB">
        <w:rPr>
          <w:caps/>
        </w:rPr>
        <w:t>M</w:t>
      </w:r>
      <w:r w:rsidRPr="00D138DB">
        <w:t>agurran, 1988).</w:t>
      </w:r>
    </w:p>
    <w:p w:rsidR="007211F1" w:rsidRPr="00D138DB" w:rsidRDefault="007211F1" w:rsidP="00972EF9">
      <w:pPr>
        <w:rPr>
          <w:color w:val="000000"/>
        </w:rPr>
      </w:pPr>
      <w:r w:rsidRPr="00D138DB">
        <w:rPr>
          <w:color w:val="000000"/>
        </w:rPr>
        <w:t xml:space="preserve">Para avaliar a suficiência da amostragem </w:t>
      </w:r>
      <w:r w:rsidR="00710308">
        <w:rPr>
          <w:color w:val="000000"/>
        </w:rPr>
        <w:t xml:space="preserve">foi </w:t>
      </w:r>
      <w:r w:rsidRPr="00D138DB">
        <w:rPr>
          <w:color w:val="000000"/>
        </w:rPr>
        <w:t xml:space="preserve">utilizada uma curva de rarefação calculada no programa EstimateS (Colwell, 2006). Para o cálculo dos índices de diversidade, riqueza e equabilidade </w:t>
      </w:r>
      <w:r w:rsidR="00710308">
        <w:rPr>
          <w:color w:val="000000"/>
        </w:rPr>
        <w:t xml:space="preserve">foi </w:t>
      </w:r>
      <w:r w:rsidRPr="00D138DB">
        <w:rPr>
          <w:color w:val="000000"/>
        </w:rPr>
        <w:t>utilizado o programa PAST (Quinn &amp; Keough, 2002).</w:t>
      </w:r>
    </w:p>
    <w:p w:rsidR="007211F1" w:rsidRPr="00D138DB" w:rsidRDefault="007211F1" w:rsidP="007211F1">
      <w:pPr>
        <w:numPr>
          <w:ilvl w:val="0"/>
          <w:numId w:val="21"/>
        </w:numPr>
        <w:spacing w:after="0" w:line="360" w:lineRule="auto"/>
        <w:ind w:left="0" w:firstLine="709"/>
        <w:rPr>
          <w:rFonts w:cs="Arial"/>
          <w:b/>
          <w:i/>
        </w:rPr>
      </w:pPr>
      <w:r w:rsidRPr="00D138DB">
        <w:rPr>
          <w:rFonts w:cs="Arial"/>
          <w:b/>
          <w:i/>
        </w:rPr>
        <w:t>Jacknife 1</w:t>
      </w:r>
    </w:p>
    <w:p w:rsidR="007211F1" w:rsidRPr="00D138DB" w:rsidRDefault="007211F1" w:rsidP="00972EF9">
      <w:pPr>
        <w:rPr>
          <w:b/>
        </w:rPr>
      </w:pPr>
      <w:r w:rsidRPr="00D138DB">
        <w:t>Trata-se de um estimador de riqueza que utiliza dados de incidência (presença/ausência) e se baseia naquelas espécies que ocorrem em apenas uma amostra, podendo ser calculado por (Colwell, 2006):</w:t>
      </w:r>
    </w:p>
    <w:p w:rsidR="00A05C03" w:rsidRDefault="007211F1" w:rsidP="00972EF9">
      <w:pPr>
        <w:ind w:firstLine="708"/>
        <w:rPr>
          <w:b/>
        </w:rPr>
      </w:pPr>
      <w:r w:rsidRPr="00D138DB">
        <w:rPr>
          <w:b/>
          <w:position w:val="-24"/>
        </w:rPr>
        <w:object w:dxaOrig="2360" w:dyaOrig="620">
          <v:shape id="_x0000_i1040" type="#_x0000_t75" style="width:116.25pt;height:30.85pt" o:ole="">
            <v:imagedata r:id="rId196" o:title=""/>
          </v:shape>
          <o:OLEObject Type="Embed" ProgID="Equation.3" ShapeID="_x0000_i1040" DrawAspect="Content" ObjectID="_1485879705" r:id="rId197"/>
        </w:object>
      </w:r>
      <w:r w:rsidRPr="00D138DB">
        <w:rPr>
          <w:b/>
        </w:rPr>
        <w:t xml:space="preserve">, </w:t>
      </w:r>
    </w:p>
    <w:p w:rsidR="007211F1" w:rsidRPr="00D138DB" w:rsidRDefault="007211F1" w:rsidP="00A05C03">
      <w:r w:rsidRPr="00D138DB">
        <w:t xml:space="preserve">onde </w:t>
      </w:r>
      <w:r w:rsidRPr="00D138DB">
        <w:rPr>
          <w:position w:val="-6"/>
        </w:rPr>
        <w:object w:dxaOrig="560" w:dyaOrig="440">
          <v:shape id="_x0000_i1041" type="#_x0000_t75" style="width:27.75pt;height:20.55pt" o:ole="">
            <v:imagedata r:id="rId198" o:title=""/>
          </v:shape>
          <o:OLEObject Type="Embed" ProgID="Equation.3" ShapeID="_x0000_i1041" DrawAspect="Content" ObjectID="_1485879706" r:id="rId199"/>
        </w:object>
      </w:r>
      <w:r w:rsidRPr="00D138DB">
        <w:t xml:space="preserve"> = estimador Jacknife de primeira ordem; </w:t>
      </w:r>
      <w:r w:rsidRPr="00D138DB">
        <w:rPr>
          <w:position w:val="-6"/>
        </w:rPr>
        <w:object w:dxaOrig="260" w:dyaOrig="220">
          <v:shape id="_x0000_i1042" type="#_x0000_t75" style="width:12.35pt;height:11.3pt" o:ole="">
            <v:imagedata r:id="rId200" o:title=""/>
          </v:shape>
          <o:OLEObject Type="Embed" ProgID="Equation.3" ShapeID="_x0000_i1042" DrawAspect="Content" ObjectID="_1485879707" r:id="rId201"/>
        </w:object>
      </w:r>
      <w:r w:rsidRPr="00D138DB">
        <w:t xml:space="preserve">= número total de amostras; </w:t>
      </w:r>
      <w:r w:rsidRPr="00D138DB">
        <w:rPr>
          <w:position w:val="-12"/>
        </w:rPr>
        <w:object w:dxaOrig="420" w:dyaOrig="360">
          <v:shape id="_x0000_i1043" type="#_x0000_t75" style="width:20.55pt;height:17.5pt" o:ole="">
            <v:imagedata r:id="rId202" o:title=""/>
          </v:shape>
          <o:OLEObject Type="Embed" ProgID="Equation.3" ShapeID="_x0000_i1043" DrawAspect="Content" ObjectID="_1485879708" r:id="rId203"/>
        </w:object>
      </w:r>
      <w:r w:rsidRPr="00D138DB">
        <w:t xml:space="preserve">= número total de espécies; </w:t>
      </w:r>
      <w:r w:rsidRPr="00D138DB">
        <w:rPr>
          <w:position w:val="-10"/>
        </w:rPr>
        <w:object w:dxaOrig="279" w:dyaOrig="340">
          <v:shape id="_x0000_i1044" type="#_x0000_t75" style="width:12.35pt;height:17.5pt" o:ole="">
            <v:imagedata r:id="rId204" o:title=""/>
          </v:shape>
          <o:OLEObject Type="Embed" ProgID="Equation.3" ShapeID="_x0000_i1044" DrawAspect="Content" ObjectID="_1485879709" r:id="rId205"/>
        </w:object>
      </w:r>
      <w:r w:rsidRPr="00D138DB">
        <w:t>= número de espécies únicas, presentes em apenas uma amostra.</w:t>
      </w:r>
    </w:p>
    <w:p w:rsidR="007211F1" w:rsidRDefault="007211F1" w:rsidP="00972EF9">
      <w:pPr>
        <w:rPr>
          <w:color w:val="000000"/>
        </w:rPr>
      </w:pPr>
      <w:r w:rsidRPr="00D138DB">
        <w:lastRenderedPageBreak/>
        <w:t xml:space="preserve">Sua variância é dada por Krebs (1989) e o cálculo foi realizado através do programa </w:t>
      </w:r>
      <w:r w:rsidRPr="00D138DB">
        <w:rPr>
          <w:color w:val="000000"/>
        </w:rPr>
        <w:t>EstimateS (Colwell, 2006).</w:t>
      </w:r>
    </w:p>
    <w:p w:rsidR="007211F1" w:rsidRPr="00D138DB" w:rsidRDefault="007211F1" w:rsidP="007211F1">
      <w:pPr>
        <w:pStyle w:val="PargrafodaLista"/>
        <w:numPr>
          <w:ilvl w:val="0"/>
          <w:numId w:val="20"/>
        </w:numPr>
        <w:spacing w:after="0" w:line="360" w:lineRule="auto"/>
        <w:ind w:left="0" w:firstLine="709"/>
        <w:jc w:val="left"/>
        <w:rPr>
          <w:rFonts w:cs="Arial"/>
          <w:color w:val="000000"/>
        </w:rPr>
      </w:pPr>
      <w:r w:rsidRPr="00D138DB">
        <w:rPr>
          <w:rFonts w:cs="Arial"/>
          <w:b/>
          <w:color w:val="000000"/>
        </w:rPr>
        <w:t>Análise de agrupamento</w:t>
      </w:r>
    </w:p>
    <w:p w:rsidR="007211F1" w:rsidRDefault="007211F1" w:rsidP="00972EF9">
      <w:r w:rsidRPr="00D138DB">
        <w:t>A análise de agrupamento utilizando o índice de similaridade de Jaccard foi realizada para avaliar a similaridade entre os pontos amostrados, permitindo verificar os componentes específicos da ictiofauna das represas amostradas.</w:t>
      </w:r>
    </w:p>
    <w:p w:rsidR="007211F1" w:rsidRPr="00972EF9" w:rsidRDefault="007211F1" w:rsidP="00710308">
      <w:pPr>
        <w:pStyle w:val="Ttulo5"/>
        <w:numPr>
          <w:ilvl w:val="0"/>
          <w:numId w:val="25"/>
        </w:numPr>
      </w:pPr>
      <w:r w:rsidRPr="00972EF9">
        <w:t>Resultados</w:t>
      </w:r>
      <w:r w:rsidR="00E551CF">
        <w:t xml:space="preserve"> da Amostragem de Ictiofauna</w:t>
      </w:r>
    </w:p>
    <w:p w:rsidR="007211F1" w:rsidRPr="00D138DB" w:rsidRDefault="00710308" w:rsidP="00972EF9">
      <w:r>
        <w:t>No conjunto d</w:t>
      </w:r>
      <w:r w:rsidR="007211F1" w:rsidRPr="00D138DB">
        <w:t>os dois rese</w:t>
      </w:r>
      <w:r w:rsidR="005559AF">
        <w:t>r</w:t>
      </w:r>
      <w:r w:rsidR="007211F1" w:rsidRPr="00D138DB">
        <w:t>vatórios amostrados, foram capturados 229 indivíduos</w:t>
      </w:r>
      <w:r>
        <w:t>,</w:t>
      </w:r>
      <w:r w:rsidR="007211F1" w:rsidRPr="00D138DB">
        <w:t xml:space="preserve"> pertencentes a duas ordens, cinco famílias e nove espécies (</w:t>
      </w:r>
      <w:r w:rsidR="007211F1" w:rsidRPr="00467CF4">
        <w:rPr>
          <w:b/>
        </w:rPr>
        <w:t xml:space="preserve">Tabela </w:t>
      </w:r>
      <w:r w:rsidR="002A16A7">
        <w:rPr>
          <w:b/>
        </w:rPr>
        <w:t>6.4.5-1</w:t>
      </w:r>
      <w:r w:rsidR="00330B1C">
        <w:rPr>
          <w:b/>
        </w:rPr>
        <w:t>4</w:t>
      </w:r>
      <w:r w:rsidR="007211F1" w:rsidRPr="00467CF4">
        <w:rPr>
          <w:b/>
        </w:rPr>
        <w:t xml:space="preserve"> e Figura </w:t>
      </w:r>
      <w:r w:rsidR="00CD652E">
        <w:rPr>
          <w:b/>
        </w:rPr>
        <w:t>6.4.5-19</w:t>
      </w:r>
      <w:r w:rsidR="007211F1" w:rsidRPr="00D138DB">
        <w:t>). No reservatório Atibainha, foram registrados 132 indivíduos distribuídos em seis espécies (</w:t>
      </w:r>
      <w:r w:rsidR="007211F1" w:rsidRPr="00467CF4">
        <w:rPr>
          <w:b/>
        </w:rPr>
        <w:t xml:space="preserve">Figura </w:t>
      </w:r>
      <w:r w:rsidR="00CD652E">
        <w:rPr>
          <w:b/>
        </w:rPr>
        <w:t>6.4.5-20</w:t>
      </w:r>
      <w:r w:rsidR="007211F1" w:rsidRPr="00D138DB">
        <w:t>), ao passo que no reservatório Jaguari foram capturados 97 indivíduos pertencentes a quatro espécies (</w:t>
      </w:r>
      <w:r w:rsidR="007211F1" w:rsidRPr="00467CF4">
        <w:rPr>
          <w:b/>
        </w:rPr>
        <w:t xml:space="preserve">Figura </w:t>
      </w:r>
      <w:r w:rsidR="00CD652E">
        <w:rPr>
          <w:b/>
        </w:rPr>
        <w:t>6.4.5-21</w:t>
      </w:r>
      <w:r w:rsidR="007211F1" w:rsidRPr="00D138DB">
        <w:t xml:space="preserve">). </w:t>
      </w:r>
    </w:p>
    <w:p w:rsidR="007211F1" w:rsidRPr="00D138DB" w:rsidRDefault="007211F1" w:rsidP="00972EF9">
      <w:pPr>
        <w:rPr>
          <w:iCs/>
          <w:color w:val="000000"/>
        </w:rPr>
      </w:pPr>
      <w:r w:rsidRPr="00D138DB">
        <w:t xml:space="preserve">Dentre as espécies capturadas, três são exóticas, sendo que duas ocorreram no reservatório Atibainha, </w:t>
      </w:r>
      <w:r w:rsidRPr="00D138DB">
        <w:rPr>
          <w:i/>
          <w:iCs/>
          <w:color w:val="000000"/>
        </w:rPr>
        <w:t xml:space="preserve">Cichla kelberi </w:t>
      </w:r>
      <w:r w:rsidRPr="00D138DB">
        <w:rPr>
          <w:iCs/>
          <w:color w:val="000000"/>
        </w:rPr>
        <w:t>(tucunaré) e</w:t>
      </w:r>
      <w:r w:rsidRPr="00D138DB">
        <w:rPr>
          <w:i/>
          <w:iCs/>
          <w:color w:val="000000"/>
        </w:rPr>
        <w:t xml:space="preserve"> Tilapia rendalli </w:t>
      </w:r>
      <w:r w:rsidRPr="00D138DB">
        <w:rPr>
          <w:iCs/>
          <w:color w:val="000000"/>
        </w:rPr>
        <w:t xml:space="preserve">(tilápia) e uma no reservatório Jaguari, </w:t>
      </w:r>
      <w:r w:rsidRPr="00D138DB">
        <w:rPr>
          <w:i/>
          <w:iCs/>
          <w:color w:val="000000"/>
        </w:rPr>
        <w:t>Plagioscion squamosissimus</w:t>
      </w:r>
      <w:r w:rsidRPr="00D138DB">
        <w:rPr>
          <w:iCs/>
          <w:color w:val="000000"/>
        </w:rPr>
        <w:t xml:space="preserve"> (curvina). Essas espécies são comumente encontradas em reservatórios do </w:t>
      </w:r>
      <w:r w:rsidR="00710308" w:rsidRPr="00D138DB">
        <w:rPr>
          <w:iCs/>
          <w:color w:val="000000"/>
        </w:rPr>
        <w:t xml:space="preserve">Sudeste </w:t>
      </w:r>
      <w:r w:rsidRPr="00D138DB">
        <w:rPr>
          <w:iCs/>
          <w:color w:val="000000"/>
        </w:rPr>
        <w:t>e são consideradas importantes para a pesca artesanal e esportiva.</w:t>
      </w:r>
    </w:p>
    <w:p w:rsidR="007211F1" w:rsidRPr="00D138DB" w:rsidRDefault="00484A90" w:rsidP="00972EF9">
      <w:pPr>
        <w:rPr>
          <w:iCs/>
          <w:color w:val="000000"/>
        </w:rPr>
      </w:pPr>
      <w:r>
        <w:rPr>
          <w:iCs/>
          <w:color w:val="000000"/>
        </w:rPr>
        <w:t xml:space="preserve">Considerando </w:t>
      </w:r>
      <w:r w:rsidR="007211F1" w:rsidRPr="00D138DB">
        <w:rPr>
          <w:iCs/>
          <w:color w:val="000000"/>
        </w:rPr>
        <w:t>que os reservatórios pertencem a diferentes bacias hidrográficas, destaca</w:t>
      </w:r>
      <w:r>
        <w:rPr>
          <w:iCs/>
          <w:color w:val="000000"/>
        </w:rPr>
        <w:t>-se</w:t>
      </w:r>
      <w:r w:rsidR="007211F1" w:rsidRPr="00D138DB">
        <w:rPr>
          <w:iCs/>
          <w:color w:val="000000"/>
        </w:rPr>
        <w:t xml:space="preserve"> que as espécies </w:t>
      </w:r>
      <w:r w:rsidR="007211F1" w:rsidRPr="00D138DB">
        <w:rPr>
          <w:i/>
          <w:iCs/>
          <w:color w:val="000000"/>
        </w:rPr>
        <w:t>Hoplias malabaricus</w:t>
      </w:r>
      <w:r w:rsidR="007211F1" w:rsidRPr="00D138DB">
        <w:rPr>
          <w:iCs/>
          <w:color w:val="000000"/>
        </w:rPr>
        <w:t xml:space="preserve"> e </w:t>
      </w:r>
      <w:r w:rsidR="007211F1" w:rsidRPr="00D138DB">
        <w:rPr>
          <w:i/>
          <w:iCs/>
          <w:color w:val="000000"/>
        </w:rPr>
        <w:t>Geophagus brasiliensis</w:t>
      </w:r>
      <w:r w:rsidR="007211F1" w:rsidRPr="00D138DB">
        <w:rPr>
          <w:iCs/>
          <w:color w:val="000000"/>
        </w:rPr>
        <w:t xml:space="preserve"> são consideradas nativas e comuns entre as bacias, no entanto, tendo em vista o isolamento geográfico, diferenças populacionais são encontradas entre as bacias de ocorrência.</w:t>
      </w:r>
    </w:p>
    <w:p w:rsidR="007211F1" w:rsidRDefault="00484A90" w:rsidP="00972EF9">
      <w:r>
        <w:t>As demais espécies capturadas</w:t>
      </w:r>
      <w:r w:rsidR="007211F1" w:rsidRPr="00D138DB">
        <w:t xml:space="preserve"> não são comuns entre as bacias, ocorrendo na bacia do Paraíba do Sul o lambari, </w:t>
      </w:r>
      <w:r w:rsidR="007211F1" w:rsidRPr="00D138DB">
        <w:rPr>
          <w:i/>
        </w:rPr>
        <w:t>Astyanax bimaculatus,</w:t>
      </w:r>
      <w:r w:rsidR="007211F1" w:rsidRPr="00D138DB">
        <w:t xml:space="preserve"> e a joaninha,</w:t>
      </w:r>
      <w:r w:rsidR="007211F1" w:rsidRPr="00D138DB">
        <w:rPr>
          <w:i/>
        </w:rPr>
        <w:t xml:space="preserve"> Crenicichla lacustris</w:t>
      </w:r>
      <w:r w:rsidR="007211F1" w:rsidRPr="00D138DB">
        <w:t>. Representando a bacia do Alto Paraná, tem</w:t>
      </w:r>
      <w:r>
        <w:t>-se</w:t>
      </w:r>
      <w:r w:rsidR="007211F1" w:rsidRPr="00D138DB">
        <w:t xml:space="preserve"> a piaba, </w:t>
      </w:r>
      <w:r w:rsidR="007211F1" w:rsidRPr="00D138DB">
        <w:rPr>
          <w:i/>
        </w:rPr>
        <w:t>Bryconamericus exodon</w:t>
      </w:r>
      <w:r w:rsidR="007211F1" w:rsidRPr="00D138DB">
        <w:t xml:space="preserve"> e o canivete, </w:t>
      </w:r>
      <w:r w:rsidR="007211F1" w:rsidRPr="00D138DB">
        <w:rPr>
          <w:i/>
        </w:rPr>
        <w:t>Apareiodon affinis</w:t>
      </w:r>
      <w:r w:rsidR="007211F1" w:rsidRPr="00D138DB">
        <w:t>.</w:t>
      </w:r>
    </w:p>
    <w:p w:rsidR="007211F1" w:rsidRPr="00D138DB" w:rsidRDefault="007211F1" w:rsidP="00972EF9">
      <w:r>
        <w:t xml:space="preserve">Não foi capturada nenhuma espécie da ordem dos Siluriformes, fato incomum para a ictiofuana tropical, onde </w:t>
      </w:r>
      <w:r w:rsidR="00484A90">
        <w:t>se</w:t>
      </w:r>
      <w:r>
        <w:t xml:space="preserve"> espera uma maior abundância de Characiformes seguida dos Siluriformes (LOWE-Mc</w:t>
      </w:r>
      <w:r w:rsidRPr="007A2768">
        <w:t>CONNELL, 1999</w:t>
      </w:r>
      <w:r>
        <w:t>). Isso é atribuído ao alto nível de assoreamento encontrado nas represas amostradas, o que provoca a inconsolidação dos sedimentos presentes no fundo, impedindo que as espécies associadas a esse tipo de ambiente habitem o local. Por outro lado, uma maior ocorrência de espécies da ordem dos Perciformes foi observada, visto que são espécies que exploram a coluna de água sendo, portanto, favorecidas nesse cenário.</w:t>
      </w:r>
    </w:p>
    <w:p w:rsidR="007211F1" w:rsidRDefault="007211F1" w:rsidP="00972EF9">
      <w:r w:rsidRPr="00D138DB">
        <w:t>Todas as espécies capturadas são comumente encontradas, principalmente em ambientes alterados por represamento, e nenhuma delas consta nas listas estadual</w:t>
      </w:r>
      <w:r>
        <w:t xml:space="preserve"> (SMA 2014)</w:t>
      </w:r>
      <w:r w:rsidRPr="00D138DB">
        <w:t xml:space="preserve"> e/ou federal </w:t>
      </w:r>
      <w:r>
        <w:t xml:space="preserve">(MMA 2008) </w:t>
      </w:r>
      <w:r w:rsidRPr="00D138DB">
        <w:t>de peixes ameaçados de extinção.</w:t>
      </w:r>
    </w:p>
    <w:p w:rsidR="007211F1" w:rsidRPr="00467CF4" w:rsidRDefault="007211F1" w:rsidP="00A05C03">
      <w:pPr>
        <w:pStyle w:val="Quadro"/>
      </w:pPr>
      <w:r w:rsidRPr="00467CF4">
        <w:t xml:space="preserve">Tabela </w:t>
      </w:r>
      <w:r w:rsidR="002A16A7">
        <w:t>6.4.5-1</w:t>
      </w:r>
      <w:r w:rsidR="00330B1C">
        <w:t>4</w:t>
      </w:r>
      <w:r w:rsidRPr="00467CF4">
        <w:t xml:space="preserve">. Lista taxonômica das espécies capturadas no </w:t>
      </w:r>
      <w:r w:rsidR="0089349D">
        <w:t xml:space="preserve">levantamento </w:t>
      </w:r>
      <w:r w:rsidRPr="00467CF4">
        <w:t>d</w:t>
      </w:r>
      <w:r w:rsidR="0089349D">
        <w:t>e</w:t>
      </w:r>
      <w:r w:rsidRPr="00467CF4">
        <w:t xml:space="preserve"> ict</w:t>
      </w:r>
      <w:r w:rsidR="00A05C03">
        <w:t>iofauna</w:t>
      </w:r>
    </w:p>
    <w:tbl>
      <w:tblPr>
        <w:tblW w:w="500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692"/>
        <w:gridCol w:w="1673"/>
        <w:gridCol w:w="1533"/>
        <w:gridCol w:w="1394"/>
        <w:gridCol w:w="1042"/>
      </w:tblGrid>
      <w:tr w:rsidR="007211F1" w:rsidRPr="007F55AF" w:rsidTr="00E551CF">
        <w:trPr>
          <w:cantSplit/>
          <w:trHeight w:val="255"/>
          <w:tblHeader/>
        </w:trPr>
        <w:tc>
          <w:tcPr>
            <w:tcW w:w="1978" w:type="pct"/>
            <w:shd w:val="clear" w:color="000000" w:fill="D8D8D8"/>
            <w:noWrap/>
            <w:vAlign w:val="bottom"/>
            <w:hideMark/>
          </w:tcPr>
          <w:p w:rsidR="007211F1" w:rsidRPr="007F55AF" w:rsidRDefault="007211F1" w:rsidP="0014492A">
            <w:pPr>
              <w:spacing w:after="0"/>
              <w:ind w:firstLine="709"/>
              <w:jc w:val="left"/>
              <w:rPr>
                <w:rFonts w:cs="Arial"/>
                <w:b/>
                <w:bCs/>
                <w:color w:val="000000"/>
                <w:sz w:val="18"/>
                <w:szCs w:val="18"/>
              </w:rPr>
            </w:pPr>
            <w:r w:rsidRPr="007F55AF">
              <w:rPr>
                <w:rFonts w:cs="Arial"/>
                <w:b/>
                <w:bCs/>
                <w:color w:val="000000"/>
                <w:sz w:val="18"/>
                <w:szCs w:val="18"/>
              </w:rPr>
              <w:t>Lista Taxônomica</w:t>
            </w:r>
          </w:p>
        </w:tc>
        <w:tc>
          <w:tcPr>
            <w:tcW w:w="896" w:type="pct"/>
            <w:shd w:val="clear" w:color="000000" w:fill="D8D8D8"/>
            <w:noWrap/>
            <w:vAlign w:val="bottom"/>
            <w:hideMark/>
          </w:tcPr>
          <w:p w:rsidR="007211F1" w:rsidRPr="007F55AF" w:rsidRDefault="007211F1" w:rsidP="00484A90">
            <w:pPr>
              <w:spacing w:after="0"/>
              <w:jc w:val="center"/>
              <w:rPr>
                <w:rFonts w:cs="Arial"/>
                <w:b/>
                <w:bCs/>
                <w:color w:val="000000"/>
                <w:sz w:val="18"/>
                <w:szCs w:val="18"/>
              </w:rPr>
            </w:pPr>
            <w:r w:rsidRPr="007F55AF">
              <w:rPr>
                <w:rFonts w:cs="Arial"/>
                <w:b/>
                <w:bCs/>
                <w:color w:val="000000"/>
                <w:sz w:val="18"/>
                <w:szCs w:val="18"/>
              </w:rPr>
              <w:t>JAGJ 00400</w:t>
            </w:r>
          </w:p>
        </w:tc>
        <w:tc>
          <w:tcPr>
            <w:tcW w:w="821" w:type="pct"/>
            <w:shd w:val="clear" w:color="000000" w:fill="D8D8D8"/>
            <w:noWrap/>
            <w:vAlign w:val="bottom"/>
            <w:hideMark/>
          </w:tcPr>
          <w:p w:rsidR="007211F1" w:rsidRPr="007F55AF" w:rsidRDefault="007211F1" w:rsidP="00484A90">
            <w:pPr>
              <w:spacing w:after="0"/>
              <w:jc w:val="center"/>
              <w:rPr>
                <w:rFonts w:cs="Arial"/>
                <w:b/>
                <w:bCs/>
                <w:color w:val="000000"/>
                <w:sz w:val="18"/>
                <w:szCs w:val="18"/>
              </w:rPr>
            </w:pPr>
            <w:r w:rsidRPr="007F55AF">
              <w:rPr>
                <w:rFonts w:cs="Arial"/>
                <w:b/>
                <w:bCs/>
                <w:color w:val="000000"/>
                <w:sz w:val="18"/>
                <w:szCs w:val="18"/>
              </w:rPr>
              <w:t>JAGJ 00700</w:t>
            </w:r>
          </w:p>
        </w:tc>
        <w:tc>
          <w:tcPr>
            <w:tcW w:w="747" w:type="pct"/>
            <w:shd w:val="clear" w:color="000000" w:fill="D8D8D8"/>
            <w:noWrap/>
            <w:vAlign w:val="bottom"/>
            <w:hideMark/>
          </w:tcPr>
          <w:p w:rsidR="007211F1" w:rsidRPr="007F55AF" w:rsidRDefault="007211F1" w:rsidP="00484A90">
            <w:pPr>
              <w:spacing w:after="0"/>
              <w:jc w:val="center"/>
              <w:rPr>
                <w:rFonts w:cs="Arial"/>
                <w:b/>
                <w:bCs/>
                <w:color w:val="000000"/>
                <w:sz w:val="18"/>
                <w:szCs w:val="18"/>
              </w:rPr>
            </w:pPr>
            <w:r w:rsidRPr="007F55AF">
              <w:rPr>
                <w:rFonts w:cs="Arial"/>
                <w:b/>
                <w:bCs/>
                <w:color w:val="000000"/>
                <w:sz w:val="18"/>
                <w:szCs w:val="18"/>
              </w:rPr>
              <w:t>RAIN 00500</w:t>
            </w:r>
          </w:p>
        </w:tc>
        <w:tc>
          <w:tcPr>
            <w:tcW w:w="558" w:type="pct"/>
            <w:shd w:val="clear" w:color="000000" w:fill="D8D8D8"/>
            <w:noWrap/>
            <w:vAlign w:val="bottom"/>
            <w:hideMark/>
          </w:tcPr>
          <w:p w:rsidR="007211F1" w:rsidRPr="007F55AF" w:rsidRDefault="007211F1" w:rsidP="0014492A">
            <w:pPr>
              <w:spacing w:after="0"/>
              <w:jc w:val="center"/>
              <w:rPr>
                <w:rFonts w:cs="Arial"/>
                <w:b/>
                <w:bCs/>
                <w:color w:val="000000"/>
                <w:sz w:val="18"/>
                <w:szCs w:val="18"/>
              </w:rPr>
            </w:pPr>
            <w:r w:rsidRPr="007F55AF">
              <w:rPr>
                <w:rFonts w:cs="Arial"/>
                <w:b/>
                <w:bCs/>
                <w:color w:val="000000"/>
                <w:sz w:val="18"/>
                <w:szCs w:val="18"/>
              </w:rPr>
              <w:t>Total</w:t>
            </w:r>
          </w:p>
        </w:tc>
      </w:tr>
      <w:tr w:rsidR="007211F1" w:rsidRPr="007F55AF" w:rsidTr="004749D6">
        <w:trPr>
          <w:cantSplit/>
          <w:trHeight w:val="255"/>
        </w:trPr>
        <w:tc>
          <w:tcPr>
            <w:tcW w:w="1978" w:type="pct"/>
            <w:shd w:val="clear" w:color="auto" w:fill="auto"/>
            <w:noWrap/>
            <w:vAlign w:val="bottom"/>
            <w:hideMark/>
          </w:tcPr>
          <w:p w:rsidR="007211F1" w:rsidRPr="007F55AF" w:rsidRDefault="007211F1" w:rsidP="0014492A">
            <w:pPr>
              <w:spacing w:after="0"/>
              <w:jc w:val="left"/>
              <w:rPr>
                <w:rFonts w:cs="Arial"/>
                <w:b/>
                <w:bCs/>
                <w:color w:val="000000"/>
                <w:sz w:val="18"/>
                <w:szCs w:val="18"/>
              </w:rPr>
            </w:pPr>
            <w:r w:rsidRPr="007F55AF">
              <w:rPr>
                <w:rFonts w:cs="Arial"/>
                <w:b/>
                <w:bCs/>
                <w:color w:val="000000"/>
                <w:sz w:val="18"/>
                <w:szCs w:val="18"/>
              </w:rPr>
              <w:t>Ordem Characiformes</w:t>
            </w:r>
          </w:p>
        </w:tc>
        <w:tc>
          <w:tcPr>
            <w:tcW w:w="896"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821"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747"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558"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r>
      <w:tr w:rsidR="007211F1" w:rsidRPr="007F55AF" w:rsidTr="004749D6">
        <w:trPr>
          <w:cantSplit/>
          <w:trHeight w:val="255"/>
        </w:trPr>
        <w:tc>
          <w:tcPr>
            <w:tcW w:w="1978" w:type="pct"/>
            <w:shd w:val="clear" w:color="auto" w:fill="auto"/>
            <w:noWrap/>
            <w:vAlign w:val="bottom"/>
            <w:hideMark/>
          </w:tcPr>
          <w:p w:rsidR="007211F1" w:rsidRPr="007F55AF" w:rsidRDefault="007211F1" w:rsidP="0014492A">
            <w:pPr>
              <w:spacing w:after="0"/>
              <w:ind w:firstLine="284"/>
              <w:jc w:val="left"/>
              <w:rPr>
                <w:rFonts w:cs="Arial"/>
                <w:b/>
                <w:bCs/>
                <w:color w:val="000000"/>
                <w:sz w:val="18"/>
                <w:szCs w:val="18"/>
              </w:rPr>
            </w:pPr>
            <w:r w:rsidRPr="007F55AF">
              <w:rPr>
                <w:rFonts w:cs="Arial"/>
                <w:b/>
                <w:bCs/>
                <w:color w:val="000000"/>
                <w:sz w:val="18"/>
                <w:szCs w:val="18"/>
              </w:rPr>
              <w:t>Characidae</w:t>
            </w:r>
          </w:p>
        </w:tc>
        <w:tc>
          <w:tcPr>
            <w:tcW w:w="896"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821"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747"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558"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r>
      <w:tr w:rsidR="007211F1" w:rsidRPr="007F55AF" w:rsidTr="004749D6">
        <w:trPr>
          <w:cantSplit/>
          <w:trHeight w:val="255"/>
        </w:trPr>
        <w:tc>
          <w:tcPr>
            <w:tcW w:w="1978" w:type="pct"/>
            <w:shd w:val="clear" w:color="auto" w:fill="auto"/>
            <w:noWrap/>
            <w:vAlign w:val="bottom"/>
            <w:hideMark/>
          </w:tcPr>
          <w:p w:rsidR="007211F1" w:rsidRPr="007F55AF" w:rsidRDefault="007211F1" w:rsidP="0014492A">
            <w:pPr>
              <w:spacing w:after="0"/>
              <w:ind w:firstLine="567"/>
              <w:jc w:val="left"/>
              <w:rPr>
                <w:rFonts w:cs="Arial"/>
                <w:i/>
                <w:iCs/>
                <w:color w:val="000000"/>
                <w:sz w:val="18"/>
                <w:szCs w:val="18"/>
              </w:rPr>
            </w:pPr>
            <w:r w:rsidRPr="007F55AF">
              <w:rPr>
                <w:rFonts w:cs="Arial"/>
                <w:i/>
                <w:iCs/>
                <w:color w:val="000000"/>
                <w:sz w:val="18"/>
                <w:szCs w:val="18"/>
              </w:rPr>
              <w:t>Astyanax bimaculatus</w:t>
            </w:r>
          </w:p>
        </w:tc>
        <w:tc>
          <w:tcPr>
            <w:tcW w:w="896" w:type="pct"/>
            <w:shd w:val="clear" w:color="auto" w:fill="auto"/>
            <w:noWrap/>
            <w:vAlign w:val="bottom"/>
            <w:hideMark/>
          </w:tcPr>
          <w:p w:rsidR="007211F1" w:rsidRPr="007F55AF" w:rsidRDefault="007211F1" w:rsidP="0014492A">
            <w:pPr>
              <w:spacing w:after="0"/>
              <w:ind w:firstLine="709"/>
              <w:rPr>
                <w:rFonts w:cs="Arial"/>
                <w:color w:val="000000"/>
                <w:sz w:val="18"/>
                <w:szCs w:val="18"/>
              </w:rPr>
            </w:pPr>
            <w:r w:rsidRPr="007F55AF">
              <w:rPr>
                <w:rFonts w:cs="Arial"/>
                <w:color w:val="000000"/>
                <w:sz w:val="18"/>
                <w:szCs w:val="18"/>
              </w:rPr>
              <w:t>4</w:t>
            </w:r>
          </w:p>
        </w:tc>
        <w:tc>
          <w:tcPr>
            <w:tcW w:w="821"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30</w:t>
            </w:r>
          </w:p>
        </w:tc>
        <w:tc>
          <w:tcPr>
            <w:tcW w:w="747"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w:t>
            </w:r>
          </w:p>
        </w:tc>
        <w:tc>
          <w:tcPr>
            <w:tcW w:w="558"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34</w:t>
            </w:r>
          </w:p>
        </w:tc>
      </w:tr>
      <w:tr w:rsidR="007211F1" w:rsidRPr="007F55AF" w:rsidTr="004749D6">
        <w:trPr>
          <w:cantSplit/>
          <w:trHeight w:val="255"/>
        </w:trPr>
        <w:tc>
          <w:tcPr>
            <w:tcW w:w="1978" w:type="pct"/>
            <w:shd w:val="clear" w:color="auto" w:fill="auto"/>
            <w:noWrap/>
            <w:vAlign w:val="bottom"/>
            <w:hideMark/>
          </w:tcPr>
          <w:p w:rsidR="007211F1" w:rsidRPr="007F55AF" w:rsidRDefault="007211F1" w:rsidP="0014492A">
            <w:pPr>
              <w:spacing w:after="0"/>
              <w:ind w:firstLine="567"/>
              <w:jc w:val="left"/>
              <w:rPr>
                <w:rFonts w:cs="Arial"/>
                <w:i/>
                <w:iCs/>
                <w:color w:val="000000"/>
                <w:sz w:val="18"/>
                <w:szCs w:val="18"/>
              </w:rPr>
            </w:pPr>
            <w:r w:rsidRPr="007F55AF">
              <w:rPr>
                <w:rFonts w:cs="Arial"/>
                <w:i/>
                <w:iCs/>
                <w:color w:val="000000"/>
                <w:sz w:val="18"/>
                <w:szCs w:val="18"/>
              </w:rPr>
              <w:t>Bryconamericus exodon</w:t>
            </w:r>
          </w:p>
        </w:tc>
        <w:tc>
          <w:tcPr>
            <w:tcW w:w="896" w:type="pct"/>
            <w:shd w:val="clear" w:color="auto" w:fill="auto"/>
            <w:noWrap/>
            <w:vAlign w:val="bottom"/>
            <w:hideMark/>
          </w:tcPr>
          <w:p w:rsidR="007211F1" w:rsidRPr="007F55AF" w:rsidRDefault="007211F1" w:rsidP="0014492A">
            <w:pPr>
              <w:spacing w:after="0"/>
              <w:ind w:firstLine="709"/>
              <w:rPr>
                <w:rFonts w:cs="Arial"/>
                <w:color w:val="000000"/>
                <w:sz w:val="18"/>
                <w:szCs w:val="18"/>
              </w:rPr>
            </w:pPr>
            <w:r w:rsidRPr="007F55AF">
              <w:rPr>
                <w:rFonts w:cs="Arial"/>
                <w:color w:val="000000"/>
                <w:sz w:val="18"/>
                <w:szCs w:val="18"/>
              </w:rPr>
              <w:t>-</w:t>
            </w:r>
          </w:p>
        </w:tc>
        <w:tc>
          <w:tcPr>
            <w:tcW w:w="821"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w:t>
            </w:r>
          </w:p>
        </w:tc>
        <w:tc>
          <w:tcPr>
            <w:tcW w:w="747"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54</w:t>
            </w:r>
          </w:p>
        </w:tc>
        <w:tc>
          <w:tcPr>
            <w:tcW w:w="558"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54</w:t>
            </w:r>
          </w:p>
        </w:tc>
      </w:tr>
      <w:tr w:rsidR="007211F1" w:rsidRPr="007F55AF" w:rsidTr="004749D6">
        <w:trPr>
          <w:cantSplit/>
          <w:trHeight w:val="255"/>
        </w:trPr>
        <w:tc>
          <w:tcPr>
            <w:tcW w:w="1978" w:type="pct"/>
            <w:shd w:val="clear" w:color="auto" w:fill="auto"/>
            <w:noWrap/>
            <w:vAlign w:val="bottom"/>
            <w:hideMark/>
          </w:tcPr>
          <w:p w:rsidR="007211F1" w:rsidRPr="007F55AF" w:rsidRDefault="007211F1" w:rsidP="0014492A">
            <w:pPr>
              <w:spacing w:after="0"/>
              <w:ind w:firstLine="284"/>
              <w:jc w:val="left"/>
              <w:rPr>
                <w:rFonts w:cs="Arial"/>
                <w:b/>
                <w:bCs/>
                <w:color w:val="000000"/>
                <w:sz w:val="18"/>
                <w:szCs w:val="18"/>
              </w:rPr>
            </w:pPr>
            <w:r w:rsidRPr="007F55AF">
              <w:rPr>
                <w:rFonts w:cs="Arial"/>
                <w:b/>
                <w:bCs/>
                <w:color w:val="000000"/>
                <w:sz w:val="18"/>
                <w:szCs w:val="18"/>
              </w:rPr>
              <w:t>Erythrinidae</w:t>
            </w:r>
          </w:p>
        </w:tc>
        <w:tc>
          <w:tcPr>
            <w:tcW w:w="896" w:type="pct"/>
            <w:shd w:val="clear" w:color="auto" w:fill="auto"/>
            <w:noWrap/>
            <w:vAlign w:val="bottom"/>
            <w:hideMark/>
          </w:tcPr>
          <w:p w:rsidR="007211F1" w:rsidRPr="007F55AF" w:rsidRDefault="007211F1" w:rsidP="0014492A">
            <w:pPr>
              <w:spacing w:after="0"/>
              <w:ind w:firstLine="709"/>
              <w:rPr>
                <w:rFonts w:cs="Arial"/>
                <w:color w:val="000000"/>
                <w:sz w:val="18"/>
                <w:szCs w:val="18"/>
              </w:rPr>
            </w:pPr>
          </w:p>
        </w:tc>
        <w:tc>
          <w:tcPr>
            <w:tcW w:w="821"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747"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558"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r>
      <w:tr w:rsidR="007211F1" w:rsidRPr="007F55AF" w:rsidTr="004749D6">
        <w:trPr>
          <w:cantSplit/>
          <w:trHeight w:val="255"/>
        </w:trPr>
        <w:tc>
          <w:tcPr>
            <w:tcW w:w="1978" w:type="pct"/>
            <w:shd w:val="clear" w:color="auto" w:fill="auto"/>
            <w:noWrap/>
            <w:vAlign w:val="bottom"/>
            <w:hideMark/>
          </w:tcPr>
          <w:p w:rsidR="007211F1" w:rsidRPr="007F55AF" w:rsidRDefault="007211F1" w:rsidP="0014492A">
            <w:pPr>
              <w:spacing w:after="0"/>
              <w:ind w:firstLine="567"/>
              <w:jc w:val="left"/>
              <w:rPr>
                <w:rFonts w:cs="Arial"/>
                <w:i/>
                <w:iCs/>
                <w:color w:val="000000"/>
                <w:sz w:val="18"/>
                <w:szCs w:val="18"/>
              </w:rPr>
            </w:pPr>
            <w:r w:rsidRPr="007F55AF">
              <w:rPr>
                <w:rFonts w:cs="Arial"/>
                <w:i/>
                <w:iCs/>
                <w:color w:val="000000"/>
                <w:sz w:val="18"/>
                <w:szCs w:val="18"/>
              </w:rPr>
              <w:t>Hoplias malabaricus</w:t>
            </w:r>
          </w:p>
        </w:tc>
        <w:tc>
          <w:tcPr>
            <w:tcW w:w="896" w:type="pct"/>
            <w:shd w:val="clear" w:color="auto" w:fill="auto"/>
            <w:noWrap/>
            <w:vAlign w:val="bottom"/>
            <w:hideMark/>
          </w:tcPr>
          <w:p w:rsidR="007211F1" w:rsidRPr="007F55AF" w:rsidRDefault="007211F1" w:rsidP="0014492A">
            <w:pPr>
              <w:spacing w:after="0"/>
              <w:ind w:firstLine="709"/>
              <w:rPr>
                <w:rFonts w:cs="Arial"/>
                <w:color w:val="000000"/>
                <w:sz w:val="18"/>
                <w:szCs w:val="18"/>
              </w:rPr>
            </w:pPr>
            <w:r w:rsidRPr="007F55AF">
              <w:rPr>
                <w:rFonts w:cs="Arial"/>
                <w:color w:val="000000"/>
                <w:sz w:val="18"/>
                <w:szCs w:val="18"/>
              </w:rPr>
              <w:t>-</w:t>
            </w:r>
          </w:p>
        </w:tc>
        <w:tc>
          <w:tcPr>
            <w:tcW w:w="821"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w:t>
            </w:r>
          </w:p>
        </w:tc>
        <w:tc>
          <w:tcPr>
            <w:tcW w:w="747"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6</w:t>
            </w:r>
          </w:p>
        </w:tc>
        <w:tc>
          <w:tcPr>
            <w:tcW w:w="558"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6</w:t>
            </w:r>
          </w:p>
        </w:tc>
      </w:tr>
      <w:tr w:rsidR="007211F1" w:rsidRPr="007F55AF" w:rsidTr="004749D6">
        <w:trPr>
          <w:cantSplit/>
          <w:trHeight w:val="255"/>
        </w:trPr>
        <w:tc>
          <w:tcPr>
            <w:tcW w:w="1978" w:type="pct"/>
            <w:shd w:val="clear" w:color="auto" w:fill="auto"/>
            <w:noWrap/>
            <w:vAlign w:val="bottom"/>
            <w:hideMark/>
          </w:tcPr>
          <w:p w:rsidR="007211F1" w:rsidRPr="007F55AF" w:rsidRDefault="007211F1" w:rsidP="0014492A">
            <w:pPr>
              <w:spacing w:after="0"/>
              <w:ind w:firstLine="284"/>
              <w:jc w:val="left"/>
              <w:rPr>
                <w:rFonts w:cs="Arial"/>
                <w:b/>
                <w:bCs/>
                <w:color w:val="000000"/>
                <w:sz w:val="18"/>
                <w:szCs w:val="18"/>
              </w:rPr>
            </w:pPr>
            <w:r w:rsidRPr="007F55AF">
              <w:rPr>
                <w:rFonts w:cs="Arial"/>
                <w:b/>
                <w:bCs/>
                <w:color w:val="000000"/>
                <w:sz w:val="18"/>
                <w:szCs w:val="18"/>
              </w:rPr>
              <w:t>Parodontidae</w:t>
            </w:r>
          </w:p>
        </w:tc>
        <w:tc>
          <w:tcPr>
            <w:tcW w:w="896" w:type="pct"/>
            <w:shd w:val="clear" w:color="auto" w:fill="auto"/>
            <w:noWrap/>
            <w:vAlign w:val="bottom"/>
            <w:hideMark/>
          </w:tcPr>
          <w:p w:rsidR="007211F1" w:rsidRPr="007F55AF" w:rsidRDefault="007211F1" w:rsidP="0014492A">
            <w:pPr>
              <w:spacing w:after="0"/>
              <w:ind w:firstLine="709"/>
              <w:rPr>
                <w:rFonts w:cs="Arial"/>
                <w:color w:val="000000"/>
                <w:sz w:val="18"/>
                <w:szCs w:val="18"/>
              </w:rPr>
            </w:pPr>
          </w:p>
        </w:tc>
        <w:tc>
          <w:tcPr>
            <w:tcW w:w="821"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747"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558"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r>
      <w:tr w:rsidR="007211F1" w:rsidRPr="007F55AF" w:rsidTr="004749D6">
        <w:trPr>
          <w:cantSplit/>
          <w:trHeight w:val="255"/>
        </w:trPr>
        <w:tc>
          <w:tcPr>
            <w:tcW w:w="1978" w:type="pct"/>
            <w:shd w:val="clear" w:color="auto" w:fill="auto"/>
            <w:noWrap/>
            <w:vAlign w:val="bottom"/>
            <w:hideMark/>
          </w:tcPr>
          <w:p w:rsidR="007211F1" w:rsidRPr="007F55AF" w:rsidRDefault="007211F1" w:rsidP="0014492A">
            <w:pPr>
              <w:spacing w:after="0"/>
              <w:ind w:firstLine="567"/>
              <w:jc w:val="left"/>
              <w:rPr>
                <w:rFonts w:cs="Arial"/>
                <w:i/>
                <w:iCs/>
                <w:color w:val="000000"/>
                <w:sz w:val="18"/>
                <w:szCs w:val="18"/>
              </w:rPr>
            </w:pPr>
            <w:r w:rsidRPr="007F55AF">
              <w:rPr>
                <w:rFonts w:cs="Arial"/>
                <w:i/>
                <w:iCs/>
                <w:color w:val="000000"/>
                <w:sz w:val="18"/>
                <w:szCs w:val="18"/>
              </w:rPr>
              <w:t>Apareiodon affinis</w:t>
            </w:r>
          </w:p>
        </w:tc>
        <w:tc>
          <w:tcPr>
            <w:tcW w:w="896" w:type="pct"/>
            <w:shd w:val="clear" w:color="auto" w:fill="auto"/>
            <w:noWrap/>
            <w:vAlign w:val="bottom"/>
            <w:hideMark/>
          </w:tcPr>
          <w:p w:rsidR="007211F1" w:rsidRPr="007F55AF" w:rsidRDefault="007211F1" w:rsidP="0014492A">
            <w:pPr>
              <w:spacing w:after="0"/>
              <w:ind w:firstLine="709"/>
              <w:rPr>
                <w:rFonts w:cs="Arial"/>
                <w:color w:val="000000"/>
                <w:sz w:val="18"/>
                <w:szCs w:val="18"/>
              </w:rPr>
            </w:pPr>
          </w:p>
        </w:tc>
        <w:tc>
          <w:tcPr>
            <w:tcW w:w="821"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w:t>
            </w:r>
          </w:p>
        </w:tc>
        <w:tc>
          <w:tcPr>
            <w:tcW w:w="747"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32</w:t>
            </w:r>
          </w:p>
        </w:tc>
        <w:tc>
          <w:tcPr>
            <w:tcW w:w="558"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32</w:t>
            </w:r>
          </w:p>
        </w:tc>
      </w:tr>
      <w:tr w:rsidR="007211F1" w:rsidRPr="007F55AF" w:rsidTr="004749D6">
        <w:trPr>
          <w:cantSplit/>
          <w:trHeight w:val="255"/>
        </w:trPr>
        <w:tc>
          <w:tcPr>
            <w:tcW w:w="1978" w:type="pct"/>
            <w:shd w:val="clear" w:color="auto" w:fill="auto"/>
            <w:noWrap/>
            <w:vAlign w:val="bottom"/>
            <w:hideMark/>
          </w:tcPr>
          <w:p w:rsidR="007211F1" w:rsidRPr="007F55AF" w:rsidRDefault="007211F1" w:rsidP="0014492A">
            <w:pPr>
              <w:spacing w:after="0"/>
              <w:jc w:val="left"/>
              <w:rPr>
                <w:rFonts w:cs="Arial"/>
                <w:b/>
                <w:bCs/>
                <w:color w:val="000000"/>
                <w:sz w:val="18"/>
                <w:szCs w:val="18"/>
              </w:rPr>
            </w:pPr>
            <w:r w:rsidRPr="007F55AF">
              <w:rPr>
                <w:rFonts w:cs="Arial"/>
                <w:b/>
                <w:bCs/>
                <w:color w:val="000000"/>
                <w:sz w:val="18"/>
                <w:szCs w:val="18"/>
              </w:rPr>
              <w:t>Ordem Perciformes</w:t>
            </w:r>
          </w:p>
        </w:tc>
        <w:tc>
          <w:tcPr>
            <w:tcW w:w="896" w:type="pct"/>
            <w:shd w:val="clear" w:color="auto" w:fill="auto"/>
            <w:noWrap/>
            <w:vAlign w:val="bottom"/>
            <w:hideMark/>
          </w:tcPr>
          <w:p w:rsidR="007211F1" w:rsidRPr="007F55AF" w:rsidRDefault="007211F1" w:rsidP="0014492A">
            <w:pPr>
              <w:spacing w:after="0"/>
              <w:ind w:firstLine="709"/>
              <w:rPr>
                <w:rFonts w:cs="Arial"/>
                <w:color w:val="000000"/>
                <w:sz w:val="18"/>
                <w:szCs w:val="18"/>
              </w:rPr>
            </w:pPr>
            <w:r w:rsidRPr="007F55AF">
              <w:rPr>
                <w:rFonts w:cs="Arial"/>
                <w:color w:val="000000"/>
                <w:sz w:val="18"/>
                <w:szCs w:val="18"/>
              </w:rPr>
              <w:t>-</w:t>
            </w:r>
          </w:p>
        </w:tc>
        <w:tc>
          <w:tcPr>
            <w:tcW w:w="821"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747"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558"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r>
      <w:tr w:rsidR="007211F1" w:rsidRPr="007F55AF" w:rsidTr="004749D6">
        <w:trPr>
          <w:cantSplit/>
          <w:trHeight w:val="255"/>
        </w:trPr>
        <w:tc>
          <w:tcPr>
            <w:tcW w:w="1978" w:type="pct"/>
            <w:shd w:val="clear" w:color="auto" w:fill="auto"/>
            <w:noWrap/>
            <w:vAlign w:val="bottom"/>
            <w:hideMark/>
          </w:tcPr>
          <w:p w:rsidR="007211F1" w:rsidRPr="007F55AF" w:rsidRDefault="007211F1" w:rsidP="0014492A">
            <w:pPr>
              <w:spacing w:after="0"/>
              <w:ind w:firstLine="284"/>
              <w:jc w:val="left"/>
              <w:rPr>
                <w:rFonts w:cs="Arial"/>
                <w:b/>
                <w:bCs/>
                <w:color w:val="000000"/>
                <w:sz w:val="18"/>
                <w:szCs w:val="18"/>
              </w:rPr>
            </w:pPr>
            <w:r w:rsidRPr="007F55AF">
              <w:rPr>
                <w:rFonts w:cs="Arial"/>
                <w:b/>
                <w:bCs/>
                <w:color w:val="000000"/>
                <w:sz w:val="18"/>
                <w:szCs w:val="18"/>
              </w:rPr>
              <w:t>Cichlidae</w:t>
            </w:r>
          </w:p>
        </w:tc>
        <w:tc>
          <w:tcPr>
            <w:tcW w:w="896" w:type="pct"/>
            <w:shd w:val="clear" w:color="auto" w:fill="auto"/>
            <w:noWrap/>
            <w:vAlign w:val="bottom"/>
            <w:hideMark/>
          </w:tcPr>
          <w:p w:rsidR="007211F1" w:rsidRPr="007F55AF" w:rsidRDefault="007211F1" w:rsidP="0014492A">
            <w:pPr>
              <w:spacing w:after="0"/>
              <w:ind w:firstLine="709"/>
              <w:rPr>
                <w:rFonts w:cs="Arial"/>
                <w:color w:val="000000"/>
                <w:sz w:val="18"/>
                <w:szCs w:val="18"/>
              </w:rPr>
            </w:pPr>
          </w:p>
        </w:tc>
        <w:tc>
          <w:tcPr>
            <w:tcW w:w="821"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747"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558"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r>
      <w:tr w:rsidR="007211F1" w:rsidRPr="007F55AF" w:rsidTr="004749D6">
        <w:trPr>
          <w:cantSplit/>
          <w:trHeight w:val="255"/>
        </w:trPr>
        <w:tc>
          <w:tcPr>
            <w:tcW w:w="1978" w:type="pct"/>
            <w:shd w:val="clear" w:color="auto" w:fill="auto"/>
            <w:noWrap/>
            <w:vAlign w:val="bottom"/>
            <w:hideMark/>
          </w:tcPr>
          <w:p w:rsidR="007211F1" w:rsidRPr="007F55AF" w:rsidRDefault="007211F1" w:rsidP="0014492A">
            <w:pPr>
              <w:spacing w:after="0"/>
              <w:ind w:firstLine="567"/>
              <w:jc w:val="left"/>
              <w:rPr>
                <w:rFonts w:cs="Arial"/>
                <w:i/>
                <w:iCs/>
                <w:color w:val="000000"/>
                <w:sz w:val="18"/>
                <w:szCs w:val="18"/>
              </w:rPr>
            </w:pPr>
            <w:r w:rsidRPr="007F55AF">
              <w:rPr>
                <w:rFonts w:cs="Arial"/>
                <w:i/>
                <w:iCs/>
                <w:color w:val="000000"/>
                <w:sz w:val="18"/>
                <w:szCs w:val="18"/>
              </w:rPr>
              <w:t xml:space="preserve">Cichla kelberi </w:t>
            </w:r>
          </w:p>
        </w:tc>
        <w:tc>
          <w:tcPr>
            <w:tcW w:w="896" w:type="pct"/>
            <w:shd w:val="clear" w:color="auto" w:fill="auto"/>
            <w:noWrap/>
            <w:vAlign w:val="bottom"/>
            <w:hideMark/>
          </w:tcPr>
          <w:p w:rsidR="007211F1" w:rsidRPr="007F55AF" w:rsidRDefault="007211F1" w:rsidP="0014492A">
            <w:pPr>
              <w:spacing w:after="0"/>
              <w:ind w:firstLine="709"/>
              <w:rPr>
                <w:rFonts w:cs="Arial"/>
                <w:color w:val="000000"/>
                <w:sz w:val="18"/>
                <w:szCs w:val="18"/>
              </w:rPr>
            </w:pPr>
            <w:r w:rsidRPr="007F55AF">
              <w:rPr>
                <w:rFonts w:cs="Arial"/>
                <w:color w:val="000000"/>
                <w:sz w:val="18"/>
                <w:szCs w:val="18"/>
              </w:rPr>
              <w:t>-</w:t>
            </w:r>
          </w:p>
        </w:tc>
        <w:tc>
          <w:tcPr>
            <w:tcW w:w="821"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w:t>
            </w:r>
          </w:p>
        </w:tc>
        <w:tc>
          <w:tcPr>
            <w:tcW w:w="747"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6</w:t>
            </w:r>
          </w:p>
        </w:tc>
        <w:tc>
          <w:tcPr>
            <w:tcW w:w="558"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6</w:t>
            </w:r>
          </w:p>
        </w:tc>
      </w:tr>
      <w:tr w:rsidR="007211F1" w:rsidRPr="007F55AF" w:rsidTr="004749D6">
        <w:trPr>
          <w:cantSplit/>
          <w:trHeight w:val="255"/>
        </w:trPr>
        <w:tc>
          <w:tcPr>
            <w:tcW w:w="1978" w:type="pct"/>
            <w:shd w:val="clear" w:color="auto" w:fill="auto"/>
            <w:noWrap/>
            <w:vAlign w:val="bottom"/>
            <w:hideMark/>
          </w:tcPr>
          <w:p w:rsidR="007211F1" w:rsidRPr="007F55AF" w:rsidRDefault="007211F1" w:rsidP="0014492A">
            <w:pPr>
              <w:spacing w:after="0"/>
              <w:ind w:firstLine="567"/>
              <w:jc w:val="left"/>
              <w:rPr>
                <w:rFonts w:cs="Arial"/>
                <w:i/>
                <w:iCs/>
                <w:color w:val="000000"/>
                <w:sz w:val="18"/>
                <w:szCs w:val="18"/>
              </w:rPr>
            </w:pPr>
            <w:r w:rsidRPr="007F55AF">
              <w:rPr>
                <w:rFonts w:cs="Arial"/>
                <w:i/>
                <w:iCs/>
                <w:color w:val="000000"/>
                <w:sz w:val="18"/>
                <w:szCs w:val="18"/>
              </w:rPr>
              <w:t>Crenicichla lacustres</w:t>
            </w:r>
          </w:p>
        </w:tc>
        <w:tc>
          <w:tcPr>
            <w:tcW w:w="896" w:type="pct"/>
            <w:shd w:val="clear" w:color="auto" w:fill="auto"/>
            <w:noWrap/>
            <w:vAlign w:val="bottom"/>
            <w:hideMark/>
          </w:tcPr>
          <w:p w:rsidR="007211F1" w:rsidRPr="007F55AF" w:rsidRDefault="007211F1" w:rsidP="0014492A">
            <w:pPr>
              <w:spacing w:after="0"/>
              <w:ind w:firstLine="709"/>
              <w:rPr>
                <w:rFonts w:cs="Arial"/>
                <w:color w:val="000000"/>
                <w:sz w:val="18"/>
                <w:szCs w:val="18"/>
              </w:rPr>
            </w:pPr>
            <w:r w:rsidRPr="007F55AF">
              <w:rPr>
                <w:rFonts w:cs="Arial"/>
                <w:color w:val="000000"/>
                <w:sz w:val="18"/>
                <w:szCs w:val="18"/>
              </w:rPr>
              <w:t>7</w:t>
            </w:r>
          </w:p>
        </w:tc>
        <w:tc>
          <w:tcPr>
            <w:tcW w:w="821"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747"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558"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7</w:t>
            </w:r>
          </w:p>
        </w:tc>
      </w:tr>
      <w:tr w:rsidR="007211F1" w:rsidRPr="007F55AF" w:rsidTr="004749D6">
        <w:trPr>
          <w:cantSplit/>
          <w:trHeight w:val="255"/>
        </w:trPr>
        <w:tc>
          <w:tcPr>
            <w:tcW w:w="1978" w:type="pct"/>
            <w:shd w:val="clear" w:color="auto" w:fill="auto"/>
            <w:noWrap/>
            <w:vAlign w:val="bottom"/>
            <w:hideMark/>
          </w:tcPr>
          <w:p w:rsidR="007211F1" w:rsidRPr="007F55AF" w:rsidRDefault="007211F1" w:rsidP="0014492A">
            <w:pPr>
              <w:spacing w:after="0"/>
              <w:ind w:firstLine="567"/>
              <w:jc w:val="left"/>
              <w:rPr>
                <w:rFonts w:cs="Arial"/>
                <w:i/>
                <w:iCs/>
                <w:color w:val="000000"/>
                <w:sz w:val="18"/>
                <w:szCs w:val="18"/>
              </w:rPr>
            </w:pPr>
            <w:r w:rsidRPr="007F55AF">
              <w:rPr>
                <w:rFonts w:cs="Arial"/>
                <w:i/>
                <w:iCs/>
                <w:color w:val="000000"/>
                <w:sz w:val="18"/>
                <w:szCs w:val="18"/>
              </w:rPr>
              <w:t>Geophagus brasiliensis</w:t>
            </w:r>
          </w:p>
        </w:tc>
        <w:tc>
          <w:tcPr>
            <w:tcW w:w="896" w:type="pct"/>
            <w:shd w:val="clear" w:color="auto" w:fill="auto"/>
            <w:noWrap/>
            <w:vAlign w:val="bottom"/>
            <w:hideMark/>
          </w:tcPr>
          <w:p w:rsidR="007211F1" w:rsidRPr="007F55AF" w:rsidRDefault="007211F1" w:rsidP="0014492A">
            <w:pPr>
              <w:spacing w:after="0"/>
              <w:ind w:firstLine="709"/>
              <w:rPr>
                <w:rFonts w:cs="Arial"/>
                <w:color w:val="000000"/>
                <w:sz w:val="18"/>
                <w:szCs w:val="18"/>
              </w:rPr>
            </w:pPr>
            <w:r w:rsidRPr="007F55AF">
              <w:rPr>
                <w:rFonts w:cs="Arial"/>
                <w:color w:val="000000"/>
                <w:sz w:val="18"/>
                <w:szCs w:val="18"/>
              </w:rPr>
              <w:t>-</w:t>
            </w:r>
          </w:p>
        </w:tc>
        <w:tc>
          <w:tcPr>
            <w:tcW w:w="821"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1</w:t>
            </w:r>
          </w:p>
        </w:tc>
        <w:tc>
          <w:tcPr>
            <w:tcW w:w="747"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1</w:t>
            </w:r>
          </w:p>
        </w:tc>
        <w:tc>
          <w:tcPr>
            <w:tcW w:w="558"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2</w:t>
            </w:r>
          </w:p>
        </w:tc>
      </w:tr>
      <w:tr w:rsidR="007211F1" w:rsidRPr="007F55AF" w:rsidTr="004749D6">
        <w:trPr>
          <w:cantSplit/>
          <w:trHeight w:val="255"/>
        </w:trPr>
        <w:tc>
          <w:tcPr>
            <w:tcW w:w="1978" w:type="pct"/>
            <w:shd w:val="clear" w:color="auto" w:fill="auto"/>
            <w:noWrap/>
            <w:vAlign w:val="bottom"/>
            <w:hideMark/>
          </w:tcPr>
          <w:p w:rsidR="007211F1" w:rsidRPr="007F55AF" w:rsidRDefault="007211F1" w:rsidP="0014492A">
            <w:pPr>
              <w:spacing w:after="0"/>
              <w:ind w:firstLine="567"/>
              <w:jc w:val="left"/>
              <w:rPr>
                <w:rFonts w:cs="Arial"/>
                <w:i/>
                <w:iCs/>
                <w:color w:val="000000"/>
                <w:sz w:val="18"/>
                <w:szCs w:val="18"/>
              </w:rPr>
            </w:pPr>
            <w:r w:rsidRPr="007F55AF">
              <w:rPr>
                <w:rFonts w:cs="Arial"/>
                <w:i/>
                <w:iCs/>
                <w:color w:val="000000"/>
                <w:sz w:val="18"/>
                <w:szCs w:val="18"/>
              </w:rPr>
              <w:t xml:space="preserve">Tilapia rendalli </w:t>
            </w:r>
          </w:p>
        </w:tc>
        <w:tc>
          <w:tcPr>
            <w:tcW w:w="896" w:type="pct"/>
            <w:shd w:val="clear" w:color="auto" w:fill="auto"/>
            <w:noWrap/>
            <w:vAlign w:val="bottom"/>
            <w:hideMark/>
          </w:tcPr>
          <w:p w:rsidR="007211F1" w:rsidRPr="007F55AF" w:rsidRDefault="007211F1" w:rsidP="0014492A">
            <w:pPr>
              <w:spacing w:after="0"/>
              <w:ind w:firstLine="709"/>
              <w:rPr>
                <w:rFonts w:cs="Arial"/>
                <w:color w:val="000000"/>
                <w:sz w:val="18"/>
                <w:szCs w:val="18"/>
              </w:rPr>
            </w:pPr>
            <w:r w:rsidRPr="007F55AF">
              <w:rPr>
                <w:rFonts w:cs="Arial"/>
                <w:color w:val="000000"/>
                <w:sz w:val="18"/>
                <w:szCs w:val="18"/>
              </w:rPr>
              <w:t>-</w:t>
            </w:r>
          </w:p>
        </w:tc>
        <w:tc>
          <w:tcPr>
            <w:tcW w:w="821"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w:t>
            </w:r>
          </w:p>
        </w:tc>
        <w:tc>
          <w:tcPr>
            <w:tcW w:w="747"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33</w:t>
            </w:r>
          </w:p>
        </w:tc>
        <w:tc>
          <w:tcPr>
            <w:tcW w:w="558"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33</w:t>
            </w:r>
          </w:p>
        </w:tc>
      </w:tr>
      <w:tr w:rsidR="007211F1" w:rsidRPr="007F55AF" w:rsidTr="004749D6">
        <w:trPr>
          <w:cantSplit/>
          <w:trHeight w:val="255"/>
        </w:trPr>
        <w:tc>
          <w:tcPr>
            <w:tcW w:w="1978" w:type="pct"/>
            <w:shd w:val="clear" w:color="auto" w:fill="auto"/>
            <w:noWrap/>
            <w:vAlign w:val="bottom"/>
            <w:hideMark/>
          </w:tcPr>
          <w:p w:rsidR="007211F1" w:rsidRPr="007F55AF" w:rsidRDefault="007211F1" w:rsidP="0014492A">
            <w:pPr>
              <w:spacing w:after="0"/>
              <w:ind w:firstLine="284"/>
              <w:jc w:val="left"/>
              <w:rPr>
                <w:rFonts w:cs="Arial"/>
                <w:b/>
                <w:bCs/>
                <w:color w:val="000000"/>
                <w:sz w:val="18"/>
                <w:szCs w:val="18"/>
              </w:rPr>
            </w:pPr>
            <w:r w:rsidRPr="007F55AF">
              <w:rPr>
                <w:rFonts w:cs="Arial"/>
                <w:b/>
                <w:bCs/>
                <w:color w:val="000000"/>
                <w:sz w:val="18"/>
                <w:szCs w:val="18"/>
              </w:rPr>
              <w:lastRenderedPageBreak/>
              <w:t xml:space="preserve"> Sciaenidae</w:t>
            </w:r>
          </w:p>
        </w:tc>
        <w:tc>
          <w:tcPr>
            <w:tcW w:w="896" w:type="pct"/>
            <w:shd w:val="clear" w:color="auto" w:fill="auto"/>
            <w:noWrap/>
            <w:vAlign w:val="bottom"/>
            <w:hideMark/>
          </w:tcPr>
          <w:p w:rsidR="007211F1" w:rsidRPr="007F55AF" w:rsidRDefault="007211F1" w:rsidP="0014492A">
            <w:pPr>
              <w:spacing w:after="0"/>
              <w:ind w:firstLine="709"/>
              <w:rPr>
                <w:rFonts w:cs="Arial"/>
                <w:color w:val="000000"/>
                <w:sz w:val="18"/>
                <w:szCs w:val="18"/>
              </w:rPr>
            </w:pPr>
          </w:p>
        </w:tc>
        <w:tc>
          <w:tcPr>
            <w:tcW w:w="821"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747"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c>
          <w:tcPr>
            <w:tcW w:w="558" w:type="pct"/>
            <w:shd w:val="clear" w:color="auto" w:fill="auto"/>
            <w:noWrap/>
            <w:vAlign w:val="bottom"/>
            <w:hideMark/>
          </w:tcPr>
          <w:p w:rsidR="007211F1" w:rsidRPr="007F55AF" w:rsidRDefault="007211F1" w:rsidP="0014492A">
            <w:pPr>
              <w:spacing w:after="0"/>
              <w:ind w:firstLine="709"/>
              <w:jc w:val="center"/>
              <w:rPr>
                <w:rFonts w:cs="Arial"/>
                <w:color w:val="000000"/>
                <w:sz w:val="18"/>
                <w:szCs w:val="18"/>
              </w:rPr>
            </w:pPr>
          </w:p>
        </w:tc>
      </w:tr>
      <w:tr w:rsidR="007211F1" w:rsidRPr="007F55AF" w:rsidTr="004749D6">
        <w:trPr>
          <w:cantSplit/>
          <w:trHeight w:val="255"/>
        </w:trPr>
        <w:tc>
          <w:tcPr>
            <w:tcW w:w="1978" w:type="pct"/>
            <w:shd w:val="clear" w:color="auto" w:fill="auto"/>
            <w:noWrap/>
            <w:vAlign w:val="bottom"/>
            <w:hideMark/>
          </w:tcPr>
          <w:p w:rsidR="007211F1" w:rsidRPr="007F55AF" w:rsidRDefault="007211F1" w:rsidP="0014492A">
            <w:pPr>
              <w:spacing w:after="0"/>
              <w:ind w:firstLine="567"/>
              <w:jc w:val="left"/>
              <w:rPr>
                <w:rFonts w:cs="Arial"/>
                <w:i/>
                <w:iCs/>
                <w:color w:val="000000"/>
                <w:sz w:val="18"/>
                <w:szCs w:val="18"/>
              </w:rPr>
            </w:pPr>
            <w:r w:rsidRPr="007F55AF">
              <w:rPr>
                <w:rFonts w:cs="Arial"/>
                <w:i/>
                <w:iCs/>
                <w:color w:val="000000"/>
                <w:sz w:val="18"/>
                <w:szCs w:val="18"/>
              </w:rPr>
              <w:t xml:space="preserve">Plagioscion squamosissimus </w:t>
            </w:r>
          </w:p>
        </w:tc>
        <w:tc>
          <w:tcPr>
            <w:tcW w:w="896" w:type="pct"/>
            <w:shd w:val="clear" w:color="auto" w:fill="auto"/>
            <w:noWrap/>
            <w:vAlign w:val="bottom"/>
            <w:hideMark/>
          </w:tcPr>
          <w:p w:rsidR="007211F1" w:rsidRPr="007F55AF" w:rsidRDefault="007211F1" w:rsidP="0014492A">
            <w:pPr>
              <w:spacing w:after="0"/>
              <w:ind w:firstLine="709"/>
              <w:rPr>
                <w:rFonts w:cs="Arial"/>
                <w:color w:val="000000"/>
                <w:sz w:val="18"/>
                <w:szCs w:val="18"/>
              </w:rPr>
            </w:pPr>
            <w:r w:rsidRPr="007F55AF">
              <w:rPr>
                <w:rFonts w:cs="Arial"/>
                <w:color w:val="000000"/>
                <w:sz w:val="18"/>
                <w:szCs w:val="18"/>
              </w:rPr>
              <w:t>53</w:t>
            </w:r>
          </w:p>
        </w:tc>
        <w:tc>
          <w:tcPr>
            <w:tcW w:w="821"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2</w:t>
            </w:r>
          </w:p>
        </w:tc>
        <w:tc>
          <w:tcPr>
            <w:tcW w:w="747"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w:t>
            </w:r>
          </w:p>
        </w:tc>
        <w:tc>
          <w:tcPr>
            <w:tcW w:w="558" w:type="pct"/>
            <w:shd w:val="clear" w:color="auto" w:fill="auto"/>
            <w:noWrap/>
            <w:vAlign w:val="bottom"/>
            <w:hideMark/>
          </w:tcPr>
          <w:p w:rsidR="007211F1" w:rsidRPr="007F55AF" w:rsidRDefault="007211F1" w:rsidP="0014492A">
            <w:pPr>
              <w:spacing w:after="0"/>
              <w:jc w:val="center"/>
              <w:rPr>
                <w:rFonts w:cs="Arial"/>
                <w:color w:val="000000"/>
                <w:sz w:val="18"/>
                <w:szCs w:val="18"/>
              </w:rPr>
            </w:pPr>
            <w:r w:rsidRPr="007F55AF">
              <w:rPr>
                <w:rFonts w:cs="Arial"/>
                <w:color w:val="000000"/>
                <w:sz w:val="18"/>
                <w:szCs w:val="18"/>
              </w:rPr>
              <w:t>55</w:t>
            </w:r>
          </w:p>
        </w:tc>
      </w:tr>
      <w:tr w:rsidR="007211F1" w:rsidRPr="004749D6" w:rsidTr="004749D6">
        <w:trPr>
          <w:cantSplit/>
          <w:trHeight w:val="255"/>
        </w:trPr>
        <w:tc>
          <w:tcPr>
            <w:tcW w:w="1978" w:type="pct"/>
            <w:shd w:val="clear" w:color="000000" w:fill="D8D8D8"/>
            <w:noWrap/>
            <w:vAlign w:val="bottom"/>
            <w:hideMark/>
          </w:tcPr>
          <w:p w:rsidR="007211F1" w:rsidRPr="004749D6" w:rsidRDefault="007211F1" w:rsidP="0014492A">
            <w:pPr>
              <w:spacing w:after="0"/>
              <w:jc w:val="left"/>
              <w:rPr>
                <w:rFonts w:cs="Arial"/>
                <w:b/>
                <w:bCs/>
                <w:color w:val="000000"/>
                <w:sz w:val="18"/>
                <w:szCs w:val="18"/>
              </w:rPr>
            </w:pPr>
            <w:r w:rsidRPr="004749D6">
              <w:rPr>
                <w:rFonts w:cs="Arial"/>
                <w:b/>
                <w:bCs/>
                <w:color w:val="000000"/>
                <w:sz w:val="18"/>
                <w:szCs w:val="18"/>
              </w:rPr>
              <w:t>Total por ponto</w:t>
            </w:r>
          </w:p>
        </w:tc>
        <w:tc>
          <w:tcPr>
            <w:tcW w:w="896" w:type="pct"/>
            <w:shd w:val="clear" w:color="000000" w:fill="D8D8D8"/>
            <w:noWrap/>
            <w:vAlign w:val="bottom"/>
            <w:hideMark/>
          </w:tcPr>
          <w:p w:rsidR="007211F1" w:rsidRPr="004749D6" w:rsidRDefault="007211F1" w:rsidP="0014492A">
            <w:pPr>
              <w:spacing w:after="0"/>
              <w:ind w:firstLine="709"/>
              <w:rPr>
                <w:rFonts w:cs="Arial"/>
                <w:b/>
                <w:color w:val="000000"/>
                <w:sz w:val="18"/>
                <w:szCs w:val="18"/>
              </w:rPr>
            </w:pPr>
            <w:r w:rsidRPr="004749D6">
              <w:rPr>
                <w:rFonts w:cs="Arial"/>
                <w:b/>
                <w:color w:val="000000"/>
                <w:sz w:val="18"/>
                <w:szCs w:val="18"/>
              </w:rPr>
              <w:t>64</w:t>
            </w:r>
          </w:p>
        </w:tc>
        <w:tc>
          <w:tcPr>
            <w:tcW w:w="821" w:type="pct"/>
            <w:shd w:val="clear" w:color="000000" w:fill="D8D8D8"/>
            <w:noWrap/>
            <w:vAlign w:val="bottom"/>
            <w:hideMark/>
          </w:tcPr>
          <w:p w:rsidR="007211F1" w:rsidRPr="004749D6" w:rsidRDefault="007211F1" w:rsidP="0014492A">
            <w:pPr>
              <w:spacing w:after="0"/>
              <w:jc w:val="center"/>
              <w:rPr>
                <w:rFonts w:cs="Arial"/>
                <w:b/>
                <w:color w:val="000000"/>
                <w:sz w:val="18"/>
                <w:szCs w:val="18"/>
              </w:rPr>
            </w:pPr>
            <w:r w:rsidRPr="004749D6">
              <w:rPr>
                <w:rFonts w:cs="Arial"/>
                <w:b/>
                <w:color w:val="000000"/>
                <w:sz w:val="18"/>
                <w:szCs w:val="18"/>
              </w:rPr>
              <w:t>33</w:t>
            </w:r>
          </w:p>
        </w:tc>
        <w:tc>
          <w:tcPr>
            <w:tcW w:w="747" w:type="pct"/>
            <w:shd w:val="clear" w:color="000000" w:fill="D8D8D8"/>
            <w:noWrap/>
            <w:vAlign w:val="bottom"/>
            <w:hideMark/>
          </w:tcPr>
          <w:p w:rsidR="007211F1" w:rsidRPr="004749D6" w:rsidRDefault="007211F1" w:rsidP="0014492A">
            <w:pPr>
              <w:spacing w:after="0"/>
              <w:jc w:val="center"/>
              <w:rPr>
                <w:rFonts w:cs="Arial"/>
                <w:b/>
                <w:color w:val="000000"/>
                <w:sz w:val="18"/>
                <w:szCs w:val="18"/>
              </w:rPr>
            </w:pPr>
            <w:r w:rsidRPr="004749D6">
              <w:rPr>
                <w:rFonts w:cs="Arial"/>
                <w:b/>
                <w:color w:val="000000"/>
                <w:sz w:val="18"/>
                <w:szCs w:val="18"/>
              </w:rPr>
              <w:t>132</w:t>
            </w:r>
          </w:p>
        </w:tc>
        <w:tc>
          <w:tcPr>
            <w:tcW w:w="558" w:type="pct"/>
            <w:shd w:val="clear" w:color="000000" w:fill="D8D8D8"/>
            <w:noWrap/>
            <w:vAlign w:val="bottom"/>
            <w:hideMark/>
          </w:tcPr>
          <w:p w:rsidR="007211F1" w:rsidRPr="004749D6" w:rsidRDefault="007211F1" w:rsidP="0014492A">
            <w:pPr>
              <w:spacing w:after="0"/>
              <w:jc w:val="center"/>
              <w:rPr>
                <w:rFonts w:cs="Arial"/>
                <w:b/>
                <w:color w:val="000000"/>
                <w:sz w:val="18"/>
                <w:szCs w:val="18"/>
              </w:rPr>
            </w:pPr>
            <w:r w:rsidRPr="004749D6">
              <w:rPr>
                <w:rFonts w:cs="Arial"/>
                <w:b/>
                <w:color w:val="000000"/>
                <w:sz w:val="18"/>
                <w:szCs w:val="18"/>
              </w:rPr>
              <w:t>229</w:t>
            </w:r>
          </w:p>
        </w:tc>
      </w:tr>
    </w:tbl>
    <w:p w:rsidR="007211F1" w:rsidRDefault="007211F1" w:rsidP="00A05C03"/>
    <w:p w:rsidR="00A05C03" w:rsidRPr="00D138DB" w:rsidRDefault="00A05C03" w:rsidP="006B3855">
      <w:pPr>
        <w:pStyle w:val="Quadro"/>
      </w:pPr>
      <w:r w:rsidRPr="00467CF4">
        <w:t xml:space="preserve">Figura </w:t>
      </w:r>
      <w:r w:rsidR="00CD652E">
        <w:t>6.4.5-19</w:t>
      </w:r>
      <w:r w:rsidRPr="00467CF4">
        <w:t>. Espécies capturadas no levantamento de dados primários da ictiofauna</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0"/>
        <w:gridCol w:w="4684"/>
      </w:tblGrid>
      <w:tr w:rsidR="007211F1" w:rsidRPr="00D138DB" w:rsidTr="0014492A">
        <w:tc>
          <w:tcPr>
            <w:tcW w:w="2496" w:type="pct"/>
          </w:tcPr>
          <w:p w:rsidR="007211F1" w:rsidRPr="00D138DB" w:rsidRDefault="00056696" w:rsidP="0014492A">
            <w:pPr>
              <w:spacing w:after="0"/>
              <w:jc w:val="left"/>
              <w:rPr>
                <w:rFonts w:cs="Arial"/>
                <w:sz w:val="22"/>
                <w:szCs w:val="22"/>
                <w:lang w:eastAsia="en-US"/>
              </w:rPr>
            </w:pPr>
            <w:r>
              <w:rPr>
                <w:rFonts w:cs="Arial"/>
                <w:noProof/>
              </w:rPr>
              <mc:AlternateContent>
                <mc:Choice Requires="wps">
                  <w:drawing>
                    <wp:anchor distT="0" distB="0" distL="114300" distR="114300" simplePos="0" relativeHeight="251700224" behindDoc="0" locked="0" layoutInCell="1" allowOverlap="1" wp14:anchorId="54D9AA3D" wp14:editId="3D64C971">
                      <wp:simplePos x="0" y="0"/>
                      <wp:positionH relativeFrom="column">
                        <wp:posOffset>2366645</wp:posOffset>
                      </wp:positionH>
                      <wp:positionV relativeFrom="paragraph">
                        <wp:posOffset>9525</wp:posOffset>
                      </wp:positionV>
                      <wp:extent cx="276225" cy="246380"/>
                      <wp:effectExtent l="0" t="0" r="28575" b="20320"/>
                      <wp:wrapNone/>
                      <wp:docPr id="11660" name="Caixa de texto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46380"/>
                              </a:xfrm>
                              <a:prstGeom prst="rect">
                                <a:avLst/>
                              </a:prstGeom>
                              <a:solidFill>
                                <a:srgbClr val="FFFFFF"/>
                              </a:solidFill>
                              <a:ln w="9525">
                                <a:solidFill>
                                  <a:srgbClr val="000000"/>
                                </a:solidFill>
                                <a:miter lim="800000"/>
                                <a:headEnd/>
                                <a:tailEnd/>
                              </a:ln>
                            </wps:spPr>
                            <wps:txbx>
                              <w:txbxContent>
                                <w:p w:rsidR="000F2964" w:rsidRDefault="000F2964" w:rsidP="007211F1">
                                  <w:r>
                                    <w:t>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D9AA3D" id="Caixa de texto 49" o:spid="_x0000_s1056" type="#_x0000_t202" style="position:absolute;margin-left:186.35pt;margin-top:.75pt;width:21.75pt;height:19.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x47MwIAAGIEAAAOAAAAZHJzL2Uyb0RvYy54bWysVNtu2zAMfR+wfxD0vjhxkzQx4hRdugwD&#10;ugvQ7QMYWY6FyaImKbG7rx8lp2nQDXsY5gdBFMWjw0PSq5u+1ewonVdoSj4ZjTmTRmClzL7k375u&#10;3yw48wFMBRqNLPmj9Pxm/frVqrOFzLFBXUnHCMT4orMlb0KwRZZ50cgW/AitNOSs0bUQyHT7rHLQ&#10;EXqrs3w8nmcduso6FNJ7Or0bnHyd8OtaivC5rr0MTJecuIW0urTu4pqtV1DsHdhGiRMN+AcWLShD&#10;j56h7iAAOzj1G1SrhEOPdRgJbDOsayVkyoGymYxfZPPQgJUpFxLH27NM/v/Bik/HL46pimo3mc9J&#10;IQMtlWkDqgdWSRZkH5BNl1GozvqC7j9Yigj9W+wpKCXt7T2K754Z3DRg9vLWOewaCRURncTI7CJ0&#10;wPERZNd9xIpeg0PABNTXro0qki6M0InO47lIRIQJOsyv53k+40yQK5/OrxapiBkUT8HW+fBeYsvi&#10;puSOeiCBw/Heh0gGiqcr8S2PWlVbpXUy3H630Y4dgfplm77E/8U1bVhX8uWMePwdYpy+P0G0KlDj&#10;a9WWfHG+BEVU7Z2pUlsGUHrYE2VtTjJG5QYNQ7/rU+mukgRR4x1WjySsw6HRaTBp06D7yVlHTV5y&#10;/+MATnKmPxgqznIyncapSMZ0dp2T4S49u0sPGEFQJQ+cDdtNGCbpYJ3aN/TS0A4Gb6mgtUpiP7M6&#10;8adGTjU4DV2clEs73Xr+Nax/AQAA//8DAFBLAwQUAAYACAAAACEAKnMnx94AAAAIAQAADwAAAGRy&#10;cy9kb3ducmV2LnhtbEyPwU7DMAyG70i8Q2QkLoila0c7StMJIYHgBgPBNWu8tqJxSpJ15e0xJ7jZ&#10;+n79/lxtZjuICX3oHSlYLhIQSI0zPbUK3l7vL9cgQtRk9OAIFXxjgE19elLp0rgjveC0ja3gEgql&#10;VtDFOJZShqZDq8PCjUjM9s5bHXn1rTReH7ncDjJNklxa3RNf6PSIdx02n9uDVbBePU4f4Sl7fm/y&#10;/XAdL4rp4csrdX42396AiDjHvzD86rM61Oy0cwcyQQwKsiItOMrgCgTz1TJPQex4SDKQdSX/P1D/&#10;AAAA//8DAFBLAQItABQABgAIAAAAIQC2gziS/gAAAOEBAAATAAAAAAAAAAAAAAAAAAAAAABbQ29u&#10;dGVudF9UeXBlc10ueG1sUEsBAi0AFAAGAAgAAAAhADj9If/WAAAAlAEAAAsAAAAAAAAAAAAAAAAA&#10;LwEAAF9yZWxzLy5yZWxzUEsBAi0AFAAGAAgAAAAhAPEPHjszAgAAYgQAAA4AAAAAAAAAAAAAAAAA&#10;LgIAAGRycy9lMm9Eb2MueG1sUEsBAi0AFAAGAAgAAAAhACpzJ8feAAAACAEAAA8AAAAAAAAAAAAA&#10;AAAAjQQAAGRycy9kb3ducmV2LnhtbFBLBQYAAAAABAAEAPMAAACYBQAAAAA=&#10;">
                      <v:textbox>
                        <w:txbxContent>
                          <w:p w:rsidR="000F2964" w:rsidRDefault="000F2964" w:rsidP="007211F1">
                            <w:r>
                              <w:t>A</w:t>
                            </w:r>
                          </w:p>
                        </w:txbxContent>
                      </v:textbox>
                    </v:shape>
                  </w:pict>
                </mc:Fallback>
              </mc:AlternateContent>
            </w:r>
            <w:r w:rsidR="007211F1" w:rsidRPr="00D138DB">
              <w:rPr>
                <w:rFonts w:cs="Arial"/>
                <w:noProof/>
              </w:rPr>
              <w:drawing>
                <wp:inline distT="0" distB="0" distL="0" distR="0" wp14:anchorId="5E90C160" wp14:editId="72576B18">
                  <wp:extent cx="2628000" cy="1472638"/>
                  <wp:effectExtent l="19050" t="0" r="900" b="0"/>
                  <wp:docPr id="28" name="Imagem 19" descr="IMG_5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540.JPG"/>
                          <pic:cNvPicPr/>
                        </pic:nvPicPr>
                        <pic:blipFill>
                          <a:blip r:embed="rId206" cstate="print"/>
                          <a:srcRect/>
                          <a:stretch>
                            <a:fillRect/>
                          </a:stretch>
                        </pic:blipFill>
                        <pic:spPr>
                          <a:xfrm>
                            <a:off x="0" y="0"/>
                            <a:ext cx="2628000" cy="1472638"/>
                          </a:xfrm>
                          <a:prstGeom prst="rect">
                            <a:avLst/>
                          </a:prstGeom>
                        </pic:spPr>
                      </pic:pic>
                    </a:graphicData>
                  </a:graphic>
                </wp:inline>
              </w:drawing>
            </w:r>
          </w:p>
        </w:tc>
        <w:tc>
          <w:tcPr>
            <w:tcW w:w="2504" w:type="pct"/>
          </w:tcPr>
          <w:p w:rsidR="007211F1" w:rsidRPr="00D138DB" w:rsidRDefault="00056696" w:rsidP="0014492A">
            <w:pPr>
              <w:spacing w:after="0"/>
              <w:jc w:val="left"/>
              <w:rPr>
                <w:rFonts w:cs="Arial"/>
                <w:sz w:val="22"/>
                <w:szCs w:val="22"/>
                <w:lang w:eastAsia="en-US"/>
              </w:rPr>
            </w:pPr>
            <w:r>
              <w:rPr>
                <w:rFonts w:cs="Arial"/>
                <w:noProof/>
              </w:rPr>
              <mc:AlternateContent>
                <mc:Choice Requires="wps">
                  <w:drawing>
                    <wp:anchor distT="0" distB="0" distL="114300" distR="114300" simplePos="0" relativeHeight="251701248" behindDoc="0" locked="0" layoutInCell="1" allowOverlap="1" wp14:anchorId="1EB47527" wp14:editId="0BFF0F58">
                      <wp:simplePos x="0" y="0"/>
                      <wp:positionH relativeFrom="column">
                        <wp:posOffset>2369185</wp:posOffset>
                      </wp:positionH>
                      <wp:positionV relativeFrom="paragraph">
                        <wp:posOffset>1905</wp:posOffset>
                      </wp:positionV>
                      <wp:extent cx="276225" cy="246380"/>
                      <wp:effectExtent l="0" t="0" r="28575" b="20320"/>
                      <wp:wrapNone/>
                      <wp:docPr id="11659" name="Caixa de texto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46380"/>
                              </a:xfrm>
                              <a:prstGeom prst="rect">
                                <a:avLst/>
                              </a:prstGeom>
                              <a:solidFill>
                                <a:srgbClr val="FFFFFF"/>
                              </a:solidFill>
                              <a:ln w="9525">
                                <a:solidFill>
                                  <a:srgbClr val="000000"/>
                                </a:solidFill>
                                <a:miter lim="800000"/>
                                <a:headEnd/>
                                <a:tailEnd/>
                              </a:ln>
                            </wps:spPr>
                            <wps:txbx>
                              <w:txbxContent>
                                <w:p w:rsidR="000F2964" w:rsidRDefault="000F2964" w:rsidP="007211F1">
                                  <w:r>
                                    <w:t>B</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B47527" id="Caixa de texto 48" o:spid="_x0000_s1057" type="#_x0000_t202" style="position:absolute;margin-left:186.55pt;margin-top:.15pt;width:21.75pt;height:19.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cANAIAAGIEAAAOAAAAZHJzL2Uyb0RvYy54bWysVNtu2zAMfR+wfxD0vjhxkzQx4hRdugwD&#10;ugvQ7QMYWY6FyaImKbG7rx8lp2nQDXsY5gdBFMWjw0PSq5u+1ewonVdoSj4ZjTmTRmClzL7k375u&#10;3yw48wFMBRqNLPmj9Pxm/frVqrOFzLFBXUnHCMT4orMlb0KwRZZ50cgW/AitNOSs0bUQyHT7rHLQ&#10;EXqrs3w8nmcduso6FNJ7Or0bnHyd8OtaivC5rr0MTJecuIW0urTu4pqtV1DsHdhGiRMN+AcWLShD&#10;j56h7iAAOzj1G1SrhEOPdRgJbDOsayVkyoGymYxfZPPQgJUpFxLH27NM/v/Bik/HL46pimo3mc+W&#10;nBloqUwbUD2wSrIg+4BsuohCddYXdP/BUkTo32JPQSlpb+9RfPfM4KYBs5e3zmHXSKiI6CRGZheh&#10;A46PILvuI1b0GhwCJqC+dm1UkXRhhE4FezwXiYgwQYf59TzPZ5wJcuXT+dUiFTGD4inYOh/eS2xZ&#10;3JTcUQ8kcDje+xDJQPF0Jb7lUatqq7ROhtvvNtqxI1C/bNOX+L+4pg3rSr6cEY+/Q4zT9yeIVgVq&#10;fK3aki/Ol6CIqr0zVWrLAEoPe6KszUnGqNygYeh3fSrdVRI5arzD6pGEdTg0Og0mbRp0PznrqMlL&#10;7n8cwEnO9AdDxVlOptM4FcmYzq5zMtylZ3fpASMIquSBs2G7CcMkHaxT+4ZeGtrB4C0VtFZJ7GdW&#10;J/7UyKkGp6GLk3Jpp1vPv4b1LwAAAP//AwBQSwMEFAAGAAgAAAAhAInqHHXdAAAABwEAAA8AAABk&#10;cnMvZG93bnJldi54bWxMjsFOwzAQRO9I/IO1SFwQdUKqtA1xKoQEglspVbm68TaJiNfBdtPw9ywn&#10;uM1oRjOvXE+2FyP60DlSkM4SEEi1Mx01CnbvT7dLECFqMrp3hAq+McC6urwodWHcmd5w3MZG8AiF&#10;QitoYxwKKUPdotVh5gYkzo7OWx3Z+kYar888bnt5lyS5tLojfmj1gI8t1p/bk1WwnL+MH+E12+zr&#10;/Niv4s1ifP7ySl1fTQ/3ICJO8a8Mv/iMDhUzHdyJTBC9gmyRpVxlAYLjeZrnIA5sVynIqpT/+asf&#10;AAAA//8DAFBLAQItABQABgAIAAAAIQC2gziS/gAAAOEBAAATAAAAAAAAAAAAAAAAAAAAAABbQ29u&#10;dGVudF9UeXBlc10ueG1sUEsBAi0AFAAGAAgAAAAhADj9If/WAAAAlAEAAAsAAAAAAAAAAAAAAAAA&#10;LwEAAF9yZWxzLy5yZWxzUEsBAi0AFAAGAAgAAAAhAOf5FwA0AgAAYgQAAA4AAAAAAAAAAAAAAAAA&#10;LgIAAGRycy9lMm9Eb2MueG1sUEsBAi0AFAAGAAgAAAAhAInqHHXdAAAABwEAAA8AAAAAAAAAAAAA&#10;AAAAjgQAAGRycy9kb3ducmV2LnhtbFBLBQYAAAAABAAEAPMAAACYBQAAAAA=&#10;">
                      <v:textbox>
                        <w:txbxContent>
                          <w:p w:rsidR="000F2964" w:rsidRDefault="000F2964" w:rsidP="007211F1">
                            <w:r>
                              <w:t>B</w:t>
                            </w:r>
                          </w:p>
                        </w:txbxContent>
                      </v:textbox>
                    </v:shape>
                  </w:pict>
                </mc:Fallback>
              </mc:AlternateContent>
            </w:r>
            <w:r w:rsidR="007211F1" w:rsidRPr="00D138DB">
              <w:rPr>
                <w:rFonts w:cs="Arial"/>
                <w:noProof/>
              </w:rPr>
              <w:drawing>
                <wp:inline distT="0" distB="0" distL="0" distR="0" wp14:anchorId="52FC62F5" wp14:editId="376D2F7D">
                  <wp:extent cx="2628000" cy="1465419"/>
                  <wp:effectExtent l="19050" t="0" r="900" b="0"/>
                  <wp:docPr id="29" name="Imagem 20" descr="IMG_55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580.JPG"/>
                          <pic:cNvPicPr/>
                        </pic:nvPicPr>
                        <pic:blipFill>
                          <a:blip r:embed="rId207" cstate="print"/>
                          <a:stretch>
                            <a:fillRect/>
                          </a:stretch>
                        </pic:blipFill>
                        <pic:spPr>
                          <a:xfrm>
                            <a:off x="0" y="0"/>
                            <a:ext cx="2628000" cy="1465419"/>
                          </a:xfrm>
                          <a:prstGeom prst="rect">
                            <a:avLst/>
                          </a:prstGeom>
                        </pic:spPr>
                      </pic:pic>
                    </a:graphicData>
                  </a:graphic>
                </wp:inline>
              </w:drawing>
            </w:r>
          </w:p>
        </w:tc>
      </w:tr>
      <w:tr w:rsidR="007211F1" w:rsidRPr="00D138DB" w:rsidTr="0014492A">
        <w:tc>
          <w:tcPr>
            <w:tcW w:w="2496" w:type="pct"/>
          </w:tcPr>
          <w:p w:rsidR="007211F1" w:rsidRPr="00D138DB" w:rsidRDefault="00056696" w:rsidP="0014492A">
            <w:pPr>
              <w:spacing w:after="0"/>
              <w:rPr>
                <w:rFonts w:cs="Arial"/>
                <w:sz w:val="22"/>
                <w:szCs w:val="22"/>
                <w:lang w:eastAsia="en-US"/>
              </w:rPr>
            </w:pPr>
            <w:r>
              <w:rPr>
                <w:rFonts w:cs="Arial"/>
                <w:noProof/>
              </w:rPr>
              <mc:AlternateContent>
                <mc:Choice Requires="wps">
                  <w:drawing>
                    <wp:anchor distT="0" distB="0" distL="114300" distR="114300" simplePos="0" relativeHeight="251704320" behindDoc="0" locked="0" layoutInCell="1" allowOverlap="1" wp14:anchorId="72C3AA1F" wp14:editId="57624DB0">
                      <wp:simplePos x="0" y="0"/>
                      <wp:positionH relativeFrom="column">
                        <wp:posOffset>2359025</wp:posOffset>
                      </wp:positionH>
                      <wp:positionV relativeFrom="paragraph">
                        <wp:posOffset>1478280</wp:posOffset>
                      </wp:positionV>
                      <wp:extent cx="276225" cy="246380"/>
                      <wp:effectExtent l="0" t="0" r="28575" b="20320"/>
                      <wp:wrapNone/>
                      <wp:docPr id="11658" name="Caixa de texto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46380"/>
                              </a:xfrm>
                              <a:prstGeom prst="rect">
                                <a:avLst/>
                              </a:prstGeom>
                              <a:solidFill>
                                <a:srgbClr val="FFFFFF"/>
                              </a:solidFill>
                              <a:ln w="9525">
                                <a:solidFill>
                                  <a:srgbClr val="000000"/>
                                </a:solidFill>
                                <a:miter lim="800000"/>
                                <a:headEnd/>
                                <a:tailEnd/>
                              </a:ln>
                            </wps:spPr>
                            <wps:txbx>
                              <w:txbxContent>
                                <w:p w:rsidR="000F2964" w:rsidRDefault="000F2964" w:rsidP="007211F1">
                                  <w:r>
                                    <w:t>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C3AA1F" id="Caixa de texto 47" o:spid="_x0000_s1058" type="#_x0000_t202" style="position:absolute;left:0;text-align:left;margin-left:185.75pt;margin-top:116.4pt;width:21.75pt;height:19.4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9EjNAIAAGIEAAAOAAAAZHJzL2Uyb0RvYy54bWysVMtu2zAQvBfoPxC8N7IVPxIhcpA6TVEg&#10;fQBpP2BFURZRisuStCX367OkbNdIix6K6kBwueRwdmapm9uh02wnnVdoSj69mHAmjcBamU3Jv319&#10;eHPFmQ9gatBoZMn30vPb1etXN70tZI4t6lo6RiDGF70teRuCLbLMi1Z24C/QSkPJBl0HgUK3yWoH&#10;PaF3Ossnk0XWo6utQyG9p9X7MclXCb9ppAifm8bLwHTJiVtIo0tjFcdsdQPFxoFtlTjQgH9g0YEy&#10;dOkJ6h4CsK1Tv0F1Sjj02IQLgV2GTaOETDVQNdPJi2qeWrAy1ULieHuSyf8/WPFp98UxVZN308Wc&#10;zDLQkU1rUAOwWrIgh4BstoxC9dYXtP/J0okwvMWBDqWivX1E8d0zg+sWzEbeOYd9K6EmotN4Mjs7&#10;OuL4CFL1H7Gm22AbMAENjeuiiqQLI3QybH8yiYgwQYv5cpHnc84EpfLZ4vIqmZhBcTxsnQ/vJXYs&#10;TkruqAcSOOwefYhkoDhuiXd51Kp+UFqnwG2qtXZsB9QvD+lL/F9s04b1Jb+eE4+/Q0zS9yeITgVq&#10;fK26kl+dNkERVXtn6tSWAZQe50RZm4OMUblRwzBUQ7LuMj/aU2G9J2Edjo1OD5MmLbqfnPXU5CX3&#10;P7bgJGf6gyFzrqezWXwVKZjNlzkF7jxTnWfACIIqeeBsnK7D+JK21qlNSzeN7WDwjgxtVBI7Oj+y&#10;OvCnRk4eHB5dfCnncdr169ewegYAAP//AwBQSwMEFAAGAAgAAAAhAPaCh8XhAAAACwEAAA8AAABk&#10;cnMvZG93bnJldi54bWxMj8tOwzAQRfdI/IM1SGwQdR5tUkKcCiGB6A4Kgq0bu0mEPQ62m4a/Z1jB&#10;cmaO7pxbb2Zr2KR9GBwKSBcJMI2tUwN2At5eH67XwEKUqKRxqAV86wCb5vyslpVyJ3zR0y52jEIw&#10;VFJAH+NYcR7aXlsZFm7USLeD81ZGGn3HlZcnCreGZ0lScCsHpA+9HPV9r9vP3dEKWC+fpo+wzZ/f&#10;2+JgbuJVOT1+eSEuL+a7W2BRz/EPhl99UoeGnPbuiCowIyAv0xWhArI8ow5ELNMVtdvTpkwL4E3N&#10;/3dofgAAAP//AwBQSwECLQAUAAYACAAAACEAtoM4kv4AAADhAQAAEwAAAAAAAAAAAAAAAAAAAAAA&#10;W0NvbnRlbnRfVHlwZXNdLnhtbFBLAQItABQABgAIAAAAIQA4/SH/1gAAAJQBAAALAAAAAAAAAAAA&#10;AAAAAC8BAABfcmVscy8ucmVsc1BLAQItABQABgAIAAAAIQAFz9EjNAIAAGIEAAAOAAAAAAAAAAAA&#10;AAAAAC4CAABkcnMvZTJvRG9jLnhtbFBLAQItABQABgAIAAAAIQD2gofF4QAAAAsBAAAPAAAAAAAA&#10;AAAAAAAAAI4EAABkcnMvZG93bnJldi54bWxQSwUGAAAAAAQABADzAAAAnAUAAAAA&#10;">
                      <v:textbox>
                        <w:txbxContent>
                          <w:p w:rsidR="000F2964" w:rsidRDefault="000F2964" w:rsidP="007211F1">
                            <w:r>
                              <w:t>E</w:t>
                            </w:r>
                          </w:p>
                        </w:txbxContent>
                      </v:textbox>
                    </v:shape>
                  </w:pict>
                </mc:Fallback>
              </mc:AlternateContent>
            </w:r>
            <w:r>
              <w:rPr>
                <w:rFonts w:cs="Arial"/>
                <w:noProof/>
              </w:rPr>
              <mc:AlternateContent>
                <mc:Choice Requires="wps">
                  <w:drawing>
                    <wp:anchor distT="0" distB="0" distL="114300" distR="114300" simplePos="0" relativeHeight="251702272" behindDoc="0" locked="0" layoutInCell="1" allowOverlap="1" wp14:anchorId="714B3E76" wp14:editId="6EA839CA">
                      <wp:simplePos x="0" y="0"/>
                      <wp:positionH relativeFrom="column">
                        <wp:posOffset>2357120</wp:posOffset>
                      </wp:positionH>
                      <wp:positionV relativeFrom="paragraph">
                        <wp:posOffset>2540</wp:posOffset>
                      </wp:positionV>
                      <wp:extent cx="276225" cy="246380"/>
                      <wp:effectExtent l="0" t="0" r="28575" b="20320"/>
                      <wp:wrapNone/>
                      <wp:docPr id="11657" name="Caixa de texto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46380"/>
                              </a:xfrm>
                              <a:prstGeom prst="rect">
                                <a:avLst/>
                              </a:prstGeom>
                              <a:solidFill>
                                <a:srgbClr val="FFFFFF"/>
                              </a:solidFill>
                              <a:ln w="9525">
                                <a:solidFill>
                                  <a:srgbClr val="000000"/>
                                </a:solidFill>
                                <a:miter lim="800000"/>
                                <a:headEnd/>
                                <a:tailEnd/>
                              </a:ln>
                            </wps:spPr>
                            <wps:txbx>
                              <w:txbxContent>
                                <w:p w:rsidR="000F2964" w:rsidRDefault="000F2964" w:rsidP="007211F1">
                                  <w:r>
                                    <w:t>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4B3E76" id="Caixa de texto 46" o:spid="_x0000_s1059" type="#_x0000_t202" style="position:absolute;left:0;text-align:left;margin-left:185.6pt;margin-top:.2pt;width:21.75pt;height:19.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jzsNQIAAGIEAAAOAAAAZHJzL2Uyb0RvYy54bWysVF1v2yAUfZ+0/4B4X524SdpadaouXaZJ&#10;3YfU7QdcYxyjYS4DEjv79b3gJIu6aQ/T/IC4XDice87Ft3dDp9lOOq/QlHx6MeFMGoG1MpuSf/u6&#10;fnPNmQ9gatBoZMn30vO75etXt70tZI4t6lo6RiDGF70teRuCLbLMi1Z24C/QSkPJBl0HgUK3yWoH&#10;PaF3Ossnk0XWo6utQyG9p9WHMcmXCb9ppAifm8bLwHTJiVtIo0tjFcdseQvFxoFtlTjQgH9g0YEy&#10;dOkJ6gECsK1Tv0F1Sjj02IQLgV2GTaOETDVQNdPJi2qeWrAy1ULieHuSyf8/WPFp98UxVZN308X8&#10;ijMDHdm0AjUAqyULcgjIZosoVG99QfufLJ0Iw1sc6FAq2ttHFN89M7hqwWzkvXPYtxJqIjqNJ7Oz&#10;oyOOjyBV/xFrug22ARPQ0Lguqki6MEInw/Ynk4gIE7SYXy3yfM6ZoFQ+W1xeJxMzKI6HrfPhvcSO&#10;xUnJHfVAAofdow+RDBTHLfEuj1rVa6V1CtymWmnHdkD9sk5f4v9imzasL/nNnHj8HWKSvj9BdCpQ&#10;42vVlfz6tAmKqNo7U6e2DKD0OCfK2hxkjMqNGoahGpJ1l5dHeyqs9ySsw7HR6WHSpEX3k7Oemrzk&#10;/scWnORMfzBkzs10NouvIgWz+VVOgTvPVOcZMIKgSh44G6erML6krXVq09JNYzsYvCdDG5XEjs6P&#10;rA78qZGTB4dHF1/KeZx2/fo1LJ8BAAD//wMAUEsDBBQABgAIAAAAIQC3yAFR3QAAAAcBAAAPAAAA&#10;ZHJzL2Rvd25yZXYueG1sTI7NTsMwEITvSLyDtUhcEHWSRk0b4lQICQQ3KAiubrxNIuJ1sN00vD3L&#10;CY7zo5mv2s52EBP60DtSkC4SEEiNMz21Ct5e76/XIELUZPTgCBV8Y4BtfX5W6dK4E73gtIut4BEK&#10;pVbQxTiWUoamQ6vDwo1InB2ctzqy9K00Xp943A4yS5KVtLonfuj0iHcdNp+7o1Wwzh+nj/C0fH5v&#10;VodhE6+K6eHLK3V5Md/egIg4x78y/OIzOtTMtHdHMkEMCpZFmnFVQQ6C4zzNCxB79jcZyLqS//nr&#10;HwAAAP//AwBQSwECLQAUAAYACAAAACEAtoM4kv4AAADhAQAAEwAAAAAAAAAAAAAAAAAAAAAAW0Nv&#10;bnRlbnRfVHlwZXNdLnhtbFBLAQItABQABgAIAAAAIQA4/SH/1gAAAJQBAAALAAAAAAAAAAAAAAAA&#10;AC8BAABfcmVscy8ucmVsc1BLAQItABQABgAIAAAAIQDkYjzsNQIAAGIEAAAOAAAAAAAAAAAAAAAA&#10;AC4CAABkcnMvZTJvRG9jLnhtbFBLAQItABQABgAIAAAAIQC3yAFR3QAAAAcBAAAPAAAAAAAAAAAA&#10;AAAAAI8EAABkcnMvZG93bnJldi54bWxQSwUGAAAAAAQABADzAAAAmQUAAAAA&#10;">
                      <v:textbox>
                        <w:txbxContent>
                          <w:p w:rsidR="000F2964" w:rsidRDefault="000F2964" w:rsidP="007211F1">
                            <w:r>
                              <w:t>C</w:t>
                            </w:r>
                          </w:p>
                        </w:txbxContent>
                      </v:textbox>
                    </v:shape>
                  </w:pict>
                </mc:Fallback>
              </mc:AlternateContent>
            </w:r>
            <w:r w:rsidR="007211F1" w:rsidRPr="00D138DB">
              <w:rPr>
                <w:rFonts w:cs="Arial"/>
                <w:noProof/>
              </w:rPr>
              <w:drawing>
                <wp:inline distT="0" distB="0" distL="0" distR="0" wp14:anchorId="46BDDD37" wp14:editId="7CDC50EE">
                  <wp:extent cx="2628000" cy="1465420"/>
                  <wp:effectExtent l="19050" t="0" r="900" b="0"/>
                  <wp:docPr id="30" name="Imagem 21" descr="IMG_55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587.JPG"/>
                          <pic:cNvPicPr/>
                        </pic:nvPicPr>
                        <pic:blipFill>
                          <a:blip r:embed="rId208" cstate="print"/>
                          <a:stretch>
                            <a:fillRect/>
                          </a:stretch>
                        </pic:blipFill>
                        <pic:spPr>
                          <a:xfrm>
                            <a:off x="0" y="0"/>
                            <a:ext cx="2628000" cy="1465420"/>
                          </a:xfrm>
                          <a:prstGeom prst="rect">
                            <a:avLst/>
                          </a:prstGeom>
                        </pic:spPr>
                      </pic:pic>
                    </a:graphicData>
                  </a:graphic>
                </wp:inline>
              </w:drawing>
            </w:r>
          </w:p>
        </w:tc>
        <w:tc>
          <w:tcPr>
            <w:tcW w:w="2504" w:type="pct"/>
          </w:tcPr>
          <w:p w:rsidR="007211F1" w:rsidRPr="00D138DB" w:rsidRDefault="00056696" w:rsidP="0014492A">
            <w:pPr>
              <w:spacing w:after="0"/>
              <w:ind w:firstLine="43"/>
              <w:rPr>
                <w:rFonts w:cs="Arial"/>
                <w:sz w:val="22"/>
                <w:szCs w:val="22"/>
                <w:lang w:eastAsia="en-US"/>
              </w:rPr>
            </w:pPr>
            <w:r>
              <w:rPr>
                <w:rFonts w:cs="Arial"/>
                <w:noProof/>
              </w:rPr>
              <mc:AlternateContent>
                <mc:Choice Requires="wps">
                  <w:drawing>
                    <wp:anchor distT="0" distB="0" distL="114300" distR="114300" simplePos="0" relativeHeight="251705344" behindDoc="0" locked="0" layoutInCell="1" allowOverlap="1" wp14:anchorId="2B19C561" wp14:editId="16B5EB17">
                      <wp:simplePos x="0" y="0"/>
                      <wp:positionH relativeFrom="column">
                        <wp:posOffset>2369820</wp:posOffset>
                      </wp:positionH>
                      <wp:positionV relativeFrom="paragraph">
                        <wp:posOffset>1485900</wp:posOffset>
                      </wp:positionV>
                      <wp:extent cx="276225" cy="246380"/>
                      <wp:effectExtent l="0" t="0" r="28575" b="20320"/>
                      <wp:wrapNone/>
                      <wp:docPr id="11656" name="Caixa de texto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46380"/>
                              </a:xfrm>
                              <a:prstGeom prst="rect">
                                <a:avLst/>
                              </a:prstGeom>
                              <a:solidFill>
                                <a:srgbClr val="FFFFFF"/>
                              </a:solidFill>
                              <a:ln w="9525">
                                <a:solidFill>
                                  <a:srgbClr val="000000"/>
                                </a:solidFill>
                                <a:miter lim="800000"/>
                                <a:headEnd/>
                                <a:tailEnd/>
                              </a:ln>
                            </wps:spPr>
                            <wps:txbx>
                              <w:txbxContent>
                                <w:p w:rsidR="000F2964" w:rsidRDefault="000F2964" w:rsidP="007211F1">
                                  <w:r>
                                    <w:t>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19C561" id="Caixa de texto 45" o:spid="_x0000_s1060" type="#_x0000_t202" style="position:absolute;left:0;text-align:left;margin-left:186.6pt;margin-top:117pt;width:21.75pt;height:19.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EKNQIAAGIEAAAOAAAAZHJzL2Uyb0RvYy54bWysVNuO2yAQfa/Uf0C8N068STZrxVlts01V&#10;aXuRtv2ACcYxKmYokNjbr98BJ2m0rfpQ1Q+IYeBw5pzBy9u+1ewgnVdoSj4ZjTmTRmClzK7k375u&#10;3iw48wFMBRqNLPmT9Px29frVsrOFzLFBXUnHCMT4orMlb0KwRZZ50cgW/AitNJSs0bUQKHS7rHLQ&#10;EXqrs3w8nmcduso6FNJ7Wr0fknyV8OtaivC5rr0MTJecuIU0ujRu45itllDsHNhGiSMN+AcWLShD&#10;l56h7iEA2zv1G1SrhEOPdRgJbDOsayVkqoGqmYxfVPPYgJWpFhLH27NM/v/Bik+HL46pirybzGdz&#10;zgy0ZNMaVA+skizIPiCbzqJQnfUF7X+0dCL0b7GnQ6lobx9QfPfM4LoBs5N3zmHXSKiI6CSezC6O&#10;Djg+gmy7j1jRbbAPmID62rVRRdKFEToZ9nQ2iYgwQYv59TzPZ5wJSuXT+dUimZhBcTpsnQ/vJbYs&#10;TkruqAcSOBwefIhkoDhtiXd51KraKK1T4HbbtXbsANQvm/Ql/i+2acO6kt/MiMffIcbp+xNEqwI1&#10;vlZtyRfnTVBE1d6ZKrVlAKWHOVHW5ihjVG7QMPTbPll3NT3Zs8XqiYR1ODQ6PUyaNOh+ctZRk5fc&#10;/9iDk5zpD4bMuZlMp/FVpGA6u84pcJeZ7WUGjCCokgfOhuk6DC9pb53aNXTT0A4G78jQWiWxo/MD&#10;qyN/auTkwfHRxZdyGaddv34Nq2cAAAD//wMAUEsDBBQABgAIAAAAIQBXPttu4QAAAAsBAAAPAAAA&#10;ZHJzL2Rvd25yZXYueG1sTI9NT4QwEIbvJv6HZky8GLcsEECkbIyJRm/ravTapbNA7Ae2XRb/veNJ&#10;jzPz5J3nbTaL0WxGH0ZnBaxXCTC0nVOj7QW8vT5cV8BClFZJ7SwK+MYAm/b8rJG1cif7gvMu9oxC&#10;bKilgCHGqeY8dAMaGVZuQku3g/NGRhp9z5WXJwo3mqdJUnAjR0sfBjnh/YDd5+5oBFT50/wRnrPt&#10;e1cc9E28KufHLy/E5cVydwss4hL/YPjVJ3VoyWnvjlYFpgVkZZYSKiDNcipFRL4uSmB72pRpBbxt&#10;+P8O7Q8AAAD//wMAUEsBAi0AFAAGAAgAAAAhALaDOJL+AAAA4QEAABMAAAAAAAAAAAAAAAAAAAAA&#10;AFtDb250ZW50X1R5cGVzXS54bWxQSwECLQAUAAYACAAAACEAOP0h/9YAAACUAQAACwAAAAAAAAAA&#10;AAAAAAAvAQAAX3JlbHMvLnJlbHNQSwECLQAUAAYACAAAACEAfnqRCjUCAABiBAAADgAAAAAAAAAA&#10;AAAAAAAuAgAAZHJzL2Uyb0RvYy54bWxQSwECLQAUAAYACAAAACEAVz7bbuEAAAALAQAADwAAAAAA&#10;AAAAAAAAAACPBAAAZHJzL2Rvd25yZXYueG1sUEsFBgAAAAAEAAQA8wAAAJ0FAAAAAA==&#10;">
                      <v:textbox>
                        <w:txbxContent>
                          <w:p w:rsidR="000F2964" w:rsidRDefault="000F2964" w:rsidP="007211F1">
                            <w:r>
                              <w:t>F</w:t>
                            </w:r>
                          </w:p>
                        </w:txbxContent>
                      </v:textbox>
                    </v:shape>
                  </w:pict>
                </mc:Fallback>
              </mc:AlternateContent>
            </w:r>
            <w:r>
              <w:rPr>
                <w:rFonts w:cs="Arial"/>
                <w:noProof/>
              </w:rPr>
              <mc:AlternateContent>
                <mc:Choice Requires="wps">
                  <w:drawing>
                    <wp:anchor distT="0" distB="0" distL="114300" distR="114300" simplePos="0" relativeHeight="251703296" behindDoc="0" locked="0" layoutInCell="1" allowOverlap="1" wp14:anchorId="5C088475" wp14:editId="4DCE51B2">
                      <wp:simplePos x="0" y="0"/>
                      <wp:positionH relativeFrom="column">
                        <wp:posOffset>2381885</wp:posOffset>
                      </wp:positionH>
                      <wp:positionV relativeFrom="paragraph">
                        <wp:posOffset>2540</wp:posOffset>
                      </wp:positionV>
                      <wp:extent cx="276225" cy="246380"/>
                      <wp:effectExtent l="0" t="0" r="28575" b="20320"/>
                      <wp:wrapNone/>
                      <wp:docPr id="63" name="Caixa de texto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46380"/>
                              </a:xfrm>
                              <a:prstGeom prst="rect">
                                <a:avLst/>
                              </a:prstGeom>
                              <a:solidFill>
                                <a:srgbClr val="FFFFFF"/>
                              </a:solidFill>
                              <a:ln w="9525">
                                <a:solidFill>
                                  <a:srgbClr val="000000"/>
                                </a:solidFill>
                                <a:miter lim="800000"/>
                                <a:headEnd/>
                                <a:tailEnd/>
                              </a:ln>
                            </wps:spPr>
                            <wps:txbx>
                              <w:txbxContent>
                                <w:p w:rsidR="000F2964" w:rsidRDefault="000F2964" w:rsidP="007211F1">
                                  <w:r>
                                    <w:t>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088475" id="Caixa de texto 44" o:spid="_x0000_s1061" type="#_x0000_t202" style="position:absolute;left:0;text-align:left;margin-left:187.55pt;margin-top:.2pt;width:21.75pt;height:19.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CtMwIAAF8EAAAOAAAAZHJzL2Uyb0RvYy54bWysVF1v2yAUfZ+0/4B4X524SdpadaouXaZJ&#10;3YfU7QdcYxyjYS4DEjv79b3gJIu6aQ/T/ICAezmce87Ft3dDp9lOOq/QlHx6MeFMGoG1MpuSf/u6&#10;fnPNmQ9gatBoZMn30vO75etXt70tZI4t6lo6RiDGF70teRuCLbLMi1Z24C/QSkPBBl0HgZZuk9UO&#10;ekLvdJZPJousR1dbh0J6T7sPY5AvE37TSBE+N42XgemSE7eQRpfGKo7Z8haKjQPbKnGgAf/AogNl&#10;6NIT1AMEYFunfoPqlHDosQkXArsMm0YJmWqgaqaTF9U8tWBlqoXE8fYkk/9/sOLT7otjqi754pIz&#10;Ax15tAI1AKslC3IIyGazqFJvfUHJT5bSw/AWB3I7VeztI4rvnhlctWA28t457FsJNbGcxpPZ2dER&#10;x0eQqv+INd0G24AJaGhcFyUkURihk1v7k0NEhAnazK8WeT7nTFAony0ur5ODGRTHw9b58F5ix+Kk&#10;5I4aIIHD7tGHSAaKY0q8y6NW9VppnRZuU620YzugZlmnL/F/kaYN60t+Mycef4eYpO9PEJ0K1PVa&#10;dSW/PiVBEVV7Z+rUkwGUHudEWZuDjFG5UcMwVEPy7XJ+tKfCek/COhy7nF4lTVp0PznrqcNL7n9s&#10;wUnO9AdD5txMZ7P4JNJiNr/KaeHOI9V5BIwgqJIHzsbpKozPaGud2rR009gOBu/J0EYlsaPzI6sD&#10;f+ri5MHhxcVncr5OWb/+C8tnAAAA//8DAFBLAwQUAAYACAAAACEAtJnwy90AAAAHAQAADwAAAGRy&#10;cy9kb3ducmV2LnhtbEyOzU7DMBCE70i8g7VIXFDrpA1pGuJUCAlEb9AiuLrxNomw18F20/D2mBMc&#10;50czX7WZjGYjOt9bEpDOE2BIjVU9tQLe9o+zApgPkpTUllDAN3rY1JcXlSyVPdMrjrvQsjhCvpQC&#10;uhCGknPfdGikn9sBKWZH64wMUbqWKyfPcdxovkiSnBvZU3zo5IAPHTafu5MRUGTP44ffLl/em/yo&#10;1+FmNT59OSGur6b7O2ABp/BXhl/8iA51ZDrYEynPtIDl6jaNVQEZsBhnaZEDO0R/vQBeV/w/f/0D&#10;AAD//wMAUEsBAi0AFAAGAAgAAAAhALaDOJL+AAAA4QEAABMAAAAAAAAAAAAAAAAAAAAAAFtDb250&#10;ZW50X1R5cGVzXS54bWxQSwECLQAUAAYACAAAACEAOP0h/9YAAACUAQAACwAAAAAAAAAAAAAAAAAv&#10;AQAAX3JlbHMvLnJlbHNQSwECLQAUAAYACAAAACEAeVIwrTMCAABfBAAADgAAAAAAAAAAAAAAAAAu&#10;AgAAZHJzL2Uyb0RvYy54bWxQSwECLQAUAAYACAAAACEAtJnwy90AAAAHAQAADwAAAAAAAAAAAAAA&#10;AACNBAAAZHJzL2Rvd25yZXYueG1sUEsFBgAAAAAEAAQA8wAAAJcFAAAAAA==&#10;">
                      <v:textbox>
                        <w:txbxContent>
                          <w:p w:rsidR="000F2964" w:rsidRDefault="000F2964" w:rsidP="007211F1">
                            <w:r>
                              <w:t>D</w:t>
                            </w:r>
                          </w:p>
                        </w:txbxContent>
                      </v:textbox>
                    </v:shape>
                  </w:pict>
                </mc:Fallback>
              </mc:AlternateContent>
            </w:r>
            <w:r w:rsidR="007211F1" w:rsidRPr="00D138DB">
              <w:rPr>
                <w:rFonts w:cs="Arial"/>
                <w:noProof/>
              </w:rPr>
              <w:drawing>
                <wp:inline distT="0" distB="0" distL="0" distR="0" wp14:anchorId="7F2107A8" wp14:editId="312FAABF">
                  <wp:extent cx="2628000" cy="1465420"/>
                  <wp:effectExtent l="19050" t="0" r="900" b="0"/>
                  <wp:docPr id="31" name="Imagem 22" descr="IMG_5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542.JPG"/>
                          <pic:cNvPicPr/>
                        </pic:nvPicPr>
                        <pic:blipFill>
                          <a:blip r:embed="rId209" cstate="print"/>
                          <a:srcRect/>
                          <a:stretch>
                            <a:fillRect/>
                          </a:stretch>
                        </pic:blipFill>
                        <pic:spPr>
                          <a:xfrm>
                            <a:off x="0" y="0"/>
                            <a:ext cx="2628000" cy="1465420"/>
                          </a:xfrm>
                          <a:prstGeom prst="rect">
                            <a:avLst/>
                          </a:prstGeom>
                        </pic:spPr>
                      </pic:pic>
                    </a:graphicData>
                  </a:graphic>
                </wp:inline>
              </w:drawing>
            </w:r>
          </w:p>
        </w:tc>
      </w:tr>
      <w:tr w:rsidR="007211F1" w:rsidRPr="00D138DB" w:rsidTr="0014492A">
        <w:trPr>
          <w:trHeight w:val="2268"/>
        </w:trPr>
        <w:tc>
          <w:tcPr>
            <w:tcW w:w="2496" w:type="pct"/>
          </w:tcPr>
          <w:p w:rsidR="007211F1" w:rsidRPr="00D138DB" w:rsidRDefault="007211F1" w:rsidP="0014492A">
            <w:pPr>
              <w:spacing w:after="0"/>
              <w:rPr>
                <w:rFonts w:cs="Arial"/>
                <w:sz w:val="22"/>
                <w:szCs w:val="22"/>
                <w:lang w:eastAsia="en-US"/>
              </w:rPr>
            </w:pPr>
            <w:r w:rsidRPr="00D138DB">
              <w:rPr>
                <w:rFonts w:cs="Arial"/>
                <w:noProof/>
              </w:rPr>
              <w:drawing>
                <wp:inline distT="0" distB="0" distL="0" distR="0" wp14:anchorId="0CB63ED3" wp14:editId="4694EB89">
                  <wp:extent cx="2628000" cy="1465420"/>
                  <wp:effectExtent l="19050" t="0" r="900" b="0"/>
                  <wp:docPr id="32" name="Imagem 23" descr="IMG_56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24.JPG"/>
                          <pic:cNvPicPr/>
                        </pic:nvPicPr>
                        <pic:blipFill>
                          <a:blip r:embed="rId210" cstate="print"/>
                          <a:stretch>
                            <a:fillRect/>
                          </a:stretch>
                        </pic:blipFill>
                        <pic:spPr>
                          <a:xfrm>
                            <a:off x="0" y="0"/>
                            <a:ext cx="2628000" cy="1465420"/>
                          </a:xfrm>
                          <a:prstGeom prst="rect">
                            <a:avLst/>
                          </a:prstGeom>
                        </pic:spPr>
                      </pic:pic>
                    </a:graphicData>
                  </a:graphic>
                </wp:inline>
              </w:drawing>
            </w:r>
          </w:p>
        </w:tc>
        <w:tc>
          <w:tcPr>
            <w:tcW w:w="2504" w:type="pct"/>
          </w:tcPr>
          <w:p w:rsidR="007211F1" w:rsidRPr="00D138DB" w:rsidRDefault="007211F1" w:rsidP="0014492A">
            <w:pPr>
              <w:spacing w:after="0"/>
              <w:rPr>
                <w:rFonts w:cs="Arial"/>
                <w:sz w:val="22"/>
                <w:szCs w:val="22"/>
                <w:lang w:eastAsia="en-US"/>
              </w:rPr>
            </w:pPr>
            <w:r w:rsidRPr="00D138DB">
              <w:rPr>
                <w:rFonts w:cs="Arial"/>
                <w:noProof/>
              </w:rPr>
              <w:drawing>
                <wp:inline distT="0" distB="0" distL="0" distR="0" wp14:anchorId="5A1CBA2A" wp14:editId="1B1EBD78">
                  <wp:extent cx="2628000" cy="1472639"/>
                  <wp:effectExtent l="19050" t="0" r="900" b="0"/>
                  <wp:docPr id="33" name="Imagem 17" descr="IMG_5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538.JPG"/>
                          <pic:cNvPicPr/>
                        </pic:nvPicPr>
                        <pic:blipFill>
                          <a:blip r:embed="rId211" cstate="print"/>
                          <a:stretch>
                            <a:fillRect/>
                          </a:stretch>
                        </pic:blipFill>
                        <pic:spPr>
                          <a:xfrm>
                            <a:off x="0" y="0"/>
                            <a:ext cx="2628000" cy="1472639"/>
                          </a:xfrm>
                          <a:prstGeom prst="rect">
                            <a:avLst/>
                          </a:prstGeom>
                        </pic:spPr>
                      </pic:pic>
                    </a:graphicData>
                  </a:graphic>
                </wp:inline>
              </w:drawing>
            </w:r>
          </w:p>
        </w:tc>
      </w:tr>
      <w:tr w:rsidR="007211F1" w:rsidRPr="00D138DB" w:rsidTr="0014492A">
        <w:tc>
          <w:tcPr>
            <w:tcW w:w="2496" w:type="pct"/>
          </w:tcPr>
          <w:p w:rsidR="007211F1" w:rsidRPr="00D138DB" w:rsidRDefault="00056696" w:rsidP="0014492A">
            <w:pPr>
              <w:spacing w:after="0"/>
              <w:rPr>
                <w:rFonts w:cs="Arial"/>
                <w:sz w:val="22"/>
                <w:szCs w:val="22"/>
                <w:lang w:eastAsia="en-US"/>
              </w:rPr>
            </w:pPr>
            <w:r>
              <w:rPr>
                <w:rFonts w:cs="Arial"/>
                <w:noProof/>
              </w:rPr>
              <mc:AlternateContent>
                <mc:Choice Requires="wps">
                  <w:drawing>
                    <wp:anchor distT="0" distB="0" distL="114300" distR="114300" simplePos="0" relativeHeight="251707392" behindDoc="0" locked="0" layoutInCell="1" allowOverlap="1" wp14:anchorId="055760C4" wp14:editId="0427ED37">
                      <wp:simplePos x="0" y="0"/>
                      <wp:positionH relativeFrom="column">
                        <wp:posOffset>2366645</wp:posOffset>
                      </wp:positionH>
                      <wp:positionV relativeFrom="paragraph">
                        <wp:posOffset>1905</wp:posOffset>
                      </wp:positionV>
                      <wp:extent cx="276225" cy="246380"/>
                      <wp:effectExtent l="0" t="0" r="28575" b="20320"/>
                      <wp:wrapNone/>
                      <wp:docPr id="52" name="Caixa de texto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46380"/>
                              </a:xfrm>
                              <a:prstGeom prst="rect">
                                <a:avLst/>
                              </a:prstGeom>
                              <a:solidFill>
                                <a:srgbClr val="FFFFFF"/>
                              </a:solidFill>
                              <a:ln w="9525">
                                <a:solidFill>
                                  <a:srgbClr val="000000"/>
                                </a:solidFill>
                                <a:miter lim="800000"/>
                                <a:headEnd/>
                                <a:tailEnd/>
                              </a:ln>
                            </wps:spPr>
                            <wps:txbx>
                              <w:txbxContent>
                                <w:p w:rsidR="000F2964" w:rsidRDefault="000F2964" w:rsidP="007211F1">
                                  <w:r>
                                    <w:t>G</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5760C4" id="Caixa de texto 43" o:spid="_x0000_s1062" type="#_x0000_t202" style="position:absolute;left:0;text-align:left;margin-left:186.35pt;margin-top:.15pt;width:21.75pt;height:19.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OLAMwIAAF8EAAAOAAAAZHJzL2Uyb0RvYy54bWysVF1v2yAUfZ+0/4B4X524SdpadaouXaZJ&#10;3YfU7QdcYxyjYS4DEjv79b3gJIu6aQ/T/ICAezmce87Ft3dDp9lOOq/QlHx6MeFMGoG1MpuSf/u6&#10;fnPNmQ9gatBoZMn30vO75etXt70tZI4t6lo6RiDGF70teRuCLbLMi1Z24C/QSkPBBl0HgZZuk9UO&#10;ekLvdJZPJousR1dbh0J6T7sPY5AvE37TSBE+N42XgemSE7eQRpfGKo7Z8haKjQPbKnGgAf/AogNl&#10;6NIT1AMEYFunfoPqlHDosQkXArsMm0YJmWqgaqaTF9U8tWBlqoXE8fYkk/9/sOLT7otjqi75POfM&#10;QEcerUANwGrJghwCstllVKm3vqDkJ0vpYXiLA7mdKvb2EcV3zwyuWjAbee8c9q2EmlhO48ns7OiI&#10;4yNI1X/Emm6DbcAENDSuixKSKIzQya39ySEiwgRt5leLPJ9zJiiUzxaX18nBDIrjYet8eC+xY3FS&#10;ckcNkMBh9+hDJAPFMSXe5VGreq20Tgu3qVbasR1Qs6zTl/i/SNOG9SW/mROPv0NM0vcniE4F6nqt&#10;upJfn5KgiKq9M3XqyQBKj3OirM1BxqjcqGEYqiH5drk42lNhvSdhHY5dTq+SJi26n5z11OEl9z+2&#10;4CRn+oMhc26ms1l8Emkxm1/ltHDnkeo8AkYQVMkDZ+N0FcZntLVObVq6aWwHg/dkaKOS2NH5kdWB&#10;P3Vx8uDw4uIzOV+nrF//heUzAAAA//8DAFBLAwQUAAYACAAAACEA0WE5I90AAAAHAQAADwAAAGRy&#10;cy9kb3ducmV2LnhtbEyOwU7DMBBE70j8g7VIXBB1klZJG+JUCAkENygIrm68TSLidbDdNPw9ywlu&#10;M5rRzKu2sx3EhD70jhSkiwQEUuNMT62Ct9f76zWIEDUZPThCBd8YYFufn1W6NO5ELzjtYit4hEKp&#10;FXQxjqWUoenQ6rBwIxJnB+etjmx9K43XJx63g8ySJJdW98QPnR7xrsPmc3e0Ctarx+kjPC2f35v8&#10;MGziVTE9fHmlLi/m2xsQEef4V4ZffEaHmpn27kgmiEHBssgKrrIAwfEqzTMQe7abFGRdyf/89Q8A&#10;AAD//wMAUEsBAi0AFAAGAAgAAAAhALaDOJL+AAAA4QEAABMAAAAAAAAAAAAAAAAAAAAAAFtDb250&#10;ZW50X1R5cGVzXS54bWxQSwECLQAUAAYACAAAACEAOP0h/9YAAACUAQAACwAAAAAAAAAAAAAAAAAv&#10;AQAAX3JlbHMvLnJlbHNQSwECLQAUAAYACAAAACEALtziwDMCAABfBAAADgAAAAAAAAAAAAAAAAAu&#10;AgAAZHJzL2Uyb0RvYy54bWxQSwECLQAUAAYACAAAACEA0WE5I90AAAAHAQAADwAAAAAAAAAAAAAA&#10;AACNBAAAZHJzL2Rvd25yZXYueG1sUEsFBgAAAAAEAAQA8wAAAJcFAAAAAA==&#10;">
                      <v:textbox>
                        <w:txbxContent>
                          <w:p w:rsidR="000F2964" w:rsidRDefault="000F2964" w:rsidP="007211F1">
                            <w:r>
                              <w:t>G</w:t>
                            </w:r>
                          </w:p>
                        </w:txbxContent>
                      </v:textbox>
                    </v:shape>
                  </w:pict>
                </mc:Fallback>
              </mc:AlternateContent>
            </w:r>
            <w:r w:rsidR="007211F1" w:rsidRPr="00D138DB">
              <w:rPr>
                <w:rFonts w:cs="Arial"/>
                <w:noProof/>
              </w:rPr>
              <w:drawing>
                <wp:inline distT="0" distB="0" distL="0" distR="0" wp14:anchorId="0AC3F854" wp14:editId="1B1A5B7A">
                  <wp:extent cx="2628000" cy="1465420"/>
                  <wp:effectExtent l="19050" t="0" r="900" b="0"/>
                  <wp:docPr id="34" name="Imagem 24" descr="IMG_5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25.JPG"/>
                          <pic:cNvPicPr/>
                        </pic:nvPicPr>
                        <pic:blipFill>
                          <a:blip r:embed="rId212" cstate="print"/>
                          <a:stretch>
                            <a:fillRect/>
                          </a:stretch>
                        </pic:blipFill>
                        <pic:spPr>
                          <a:xfrm>
                            <a:off x="0" y="0"/>
                            <a:ext cx="2628000" cy="1465420"/>
                          </a:xfrm>
                          <a:prstGeom prst="rect">
                            <a:avLst/>
                          </a:prstGeom>
                        </pic:spPr>
                      </pic:pic>
                    </a:graphicData>
                  </a:graphic>
                </wp:inline>
              </w:drawing>
            </w:r>
          </w:p>
        </w:tc>
        <w:tc>
          <w:tcPr>
            <w:tcW w:w="2504" w:type="pct"/>
          </w:tcPr>
          <w:p w:rsidR="007211F1" w:rsidRPr="00D138DB" w:rsidRDefault="00056696" w:rsidP="0014492A">
            <w:pPr>
              <w:spacing w:after="0"/>
              <w:rPr>
                <w:rFonts w:cs="Arial"/>
                <w:sz w:val="22"/>
                <w:szCs w:val="22"/>
                <w:lang w:eastAsia="en-US"/>
              </w:rPr>
            </w:pPr>
            <w:r>
              <w:rPr>
                <w:rFonts w:cs="Arial"/>
                <w:noProof/>
              </w:rPr>
              <mc:AlternateContent>
                <mc:Choice Requires="wps">
                  <w:drawing>
                    <wp:anchor distT="0" distB="0" distL="114300" distR="114300" simplePos="0" relativeHeight="251708416" behindDoc="0" locked="0" layoutInCell="1" allowOverlap="1" wp14:anchorId="5D340A32" wp14:editId="307806D1">
                      <wp:simplePos x="0" y="0"/>
                      <wp:positionH relativeFrom="column">
                        <wp:posOffset>2359025</wp:posOffset>
                      </wp:positionH>
                      <wp:positionV relativeFrom="paragraph">
                        <wp:posOffset>7620</wp:posOffset>
                      </wp:positionV>
                      <wp:extent cx="276225" cy="246380"/>
                      <wp:effectExtent l="0" t="0" r="28575" b="20320"/>
                      <wp:wrapNone/>
                      <wp:docPr id="51" name="Caixa de texto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46380"/>
                              </a:xfrm>
                              <a:prstGeom prst="rect">
                                <a:avLst/>
                              </a:prstGeom>
                              <a:solidFill>
                                <a:srgbClr val="FFFFFF"/>
                              </a:solidFill>
                              <a:ln w="9525">
                                <a:solidFill>
                                  <a:srgbClr val="000000"/>
                                </a:solidFill>
                                <a:miter lim="800000"/>
                                <a:headEnd/>
                                <a:tailEnd/>
                              </a:ln>
                            </wps:spPr>
                            <wps:txbx>
                              <w:txbxContent>
                                <w:p w:rsidR="000F2964" w:rsidRDefault="000F2964" w:rsidP="007211F1">
                                  <w:r>
                                    <w:t>H</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340A32" id="Caixa de texto 42" o:spid="_x0000_s1063" type="#_x0000_t202" style="position:absolute;left:0;text-align:left;margin-left:185.75pt;margin-top:.6pt;width:21.75pt;height:19.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u7MMwIAAF8EAAAOAAAAZHJzL2Uyb0RvYy54bWysVNuO2yAQfa/Uf0C8N068ySZrxVlts92q&#10;0vYibfsBE4xjVMxQILHTr98BJ2m0rfpQ1Q8ImOFw5pzBy9u+1WwvnVdoSj4ZjTmTRmClzLbk374+&#10;vFlw5gOYCjQaWfKD9Px29frVsrOFzLFBXUnHCMT4orMlb0KwRZZ50cgW/AitNBSs0bUQaOm2WeWg&#10;I/RWZ/l4fJ116CrrUEjvafd+CPJVwq9rKcLnuvYyMF1y4hbS6NK4iWO2WkKxdWAbJY404B9YtKAM&#10;XXqGuocAbOfUb1CtEg491mEksM2wrpWQqQaqZjJ+Uc1TA1amWkgcb88y+f8HKz7tvzimqpLPJpwZ&#10;aMmjNageWCVZkH1ANs2jSp31BSU/WUoP/Vvsye1UsbePKL57ZnDdgNnKO+ewayRUxHIST2YXRwcc&#10;H0E23Ues6DbYBUxAfe3aKCGJwgid3DqcHSIiTNBmPr/O8xlngkL59PpqkRzMoDgdts6H9xJbFicl&#10;d9QACRz2jz5EMlCcUuJdHrWqHpTWaeG2m7V2bA/ULA/pS/xfpGnDupLfzIjH3yHG6fsTRKsCdb1W&#10;bckX5yQoomrvTJV6MoDSw5woa3OUMSo3aBj6TZ98u5qf7NlgdSBhHQ5dTq+SJg26n5x11OEl9z92&#10;4CRn+oMhc24m02l8Emkxnc1zWrjLyOYyAkYQVMkDZ8N0HYZntLNObRu6aWgHg3dkaK2S2NH5gdWR&#10;P3Vx8uD44uIzuVynrF//hdUzAAAA//8DAFBLAwQUAAYACAAAACEAH0JYF90AAAAIAQAADwAAAGRy&#10;cy9kb3ducmV2LnhtbEyPzU7DMBCE70i8g7VIXBC1039CnAohgegNCoKrG2+TCHsdYjcNb89ygtuO&#10;vtHsTLEZvRMD9rENpCGbKBBIVbAt1RreXh+u1yBiMmSNC4QavjHCpjw/K0xuw4lecNilWnAIxdxo&#10;aFLqcilj1aA3cRI6JGaH0HuTWPa1tL05cbh3cqrUUnrTEn9oTIf3DVafu6PXsJ4/DR9xO3t+r5YH&#10;d5OuVsPjV6/15cV4dwsi4Zj+zPBbn6tDyZ324Ug2CqdhtsoWbGUwBcF8ni14254PpUCWhfw/oPwB&#10;AAD//wMAUEsBAi0AFAAGAAgAAAAhALaDOJL+AAAA4QEAABMAAAAAAAAAAAAAAAAAAAAAAFtDb250&#10;ZW50X1R5cGVzXS54bWxQSwECLQAUAAYACAAAACEAOP0h/9YAAACUAQAACwAAAAAAAAAAAAAAAAAv&#10;AQAAX3JlbHMvLnJlbHNQSwECLQAUAAYACAAAACEALGruzDMCAABfBAAADgAAAAAAAAAAAAAAAAAu&#10;AgAAZHJzL2Uyb0RvYy54bWxQSwECLQAUAAYACAAAACEAH0JYF90AAAAIAQAADwAAAAAAAAAAAAAA&#10;AACNBAAAZHJzL2Rvd25yZXYueG1sUEsFBgAAAAAEAAQA8wAAAJcFAAAAAA==&#10;">
                      <v:textbox>
                        <w:txbxContent>
                          <w:p w:rsidR="000F2964" w:rsidRDefault="000F2964" w:rsidP="007211F1">
                            <w:r>
                              <w:t>H</w:t>
                            </w:r>
                          </w:p>
                        </w:txbxContent>
                      </v:textbox>
                    </v:shape>
                  </w:pict>
                </mc:Fallback>
              </mc:AlternateContent>
            </w:r>
            <w:r w:rsidR="007211F1" w:rsidRPr="00D138DB">
              <w:rPr>
                <w:rFonts w:cs="Arial"/>
                <w:noProof/>
              </w:rPr>
              <w:drawing>
                <wp:inline distT="0" distB="0" distL="0" distR="0" wp14:anchorId="07AA53ED" wp14:editId="2C624FF7">
                  <wp:extent cx="2628000" cy="1465420"/>
                  <wp:effectExtent l="19050" t="0" r="900" b="0"/>
                  <wp:docPr id="35" name="Imagem 25" descr="IMG_5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29.JPG"/>
                          <pic:cNvPicPr/>
                        </pic:nvPicPr>
                        <pic:blipFill>
                          <a:blip r:embed="rId213" cstate="print"/>
                          <a:stretch>
                            <a:fillRect/>
                          </a:stretch>
                        </pic:blipFill>
                        <pic:spPr>
                          <a:xfrm>
                            <a:off x="0" y="0"/>
                            <a:ext cx="2628000" cy="1465420"/>
                          </a:xfrm>
                          <a:prstGeom prst="rect">
                            <a:avLst/>
                          </a:prstGeom>
                        </pic:spPr>
                      </pic:pic>
                    </a:graphicData>
                  </a:graphic>
                </wp:inline>
              </w:drawing>
            </w:r>
          </w:p>
        </w:tc>
      </w:tr>
      <w:tr w:rsidR="007211F1" w:rsidRPr="00D138DB" w:rsidTr="0014492A">
        <w:tc>
          <w:tcPr>
            <w:tcW w:w="5000" w:type="pct"/>
            <w:gridSpan w:val="2"/>
          </w:tcPr>
          <w:p w:rsidR="007211F1" w:rsidRPr="00D138DB" w:rsidRDefault="00056696" w:rsidP="0014492A">
            <w:pPr>
              <w:spacing w:after="0"/>
              <w:jc w:val="center"/>
              <w:rPr>
                <w:rFonts w:cs="Arial"/>
                <w:sz w:val="22"/>
                <w:szCs w:val="22"/>
                <w:lang w:eastAsia="en-US"/>
              </w:rPr>
            </w:pPr>
            <w:r>
              <w:rPr>
                <w:rFonts w:cs="Arial"/>
                <w:noProof/>
              </w:rPr>
              <mc:AlternateContent>
                <mc:Choice Requires="wps">
                  <w:drawing>
                    <wp:anchor distT="0" distB="0" distL="114300" distR="114300" simplePos="0" relativeHeight="251706368" behindDoc="0" locked="0" layoutInCell="1" allowOverlap="1" wp14:anchorId="52A2784B" wp14:editId="3DEDAC9D">
                      <wp:simplePos x="0" y="0"/>
                      <wp:positionH relativeFrom="column">
                        <wp:posOffset>4010660</wp:posOffset>
                      </wp:positionH>
                      <wp:positionV relativeFrom="paragraph">
                        <wp:posOffset>12065</wp:posOffset>
                      </wp:positionV>
                      <wp:extent cx="276225" cy="246380"/>
                      <wp:effectExtent l="0" t="0" r="28575" b="20320"/>
                      <wp:wrapNone/>
                      <wp:docPr id="50" name="Caixa de texto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46380"/>
                              </a:xfrm>
                              <a:prstGeom prst="rect">
                                <a:avLst/>
                              </a:prstGeom>
                              <a:solidFill>
                                <a:srgbClr val="FFFFFF"/>
                              </a:solidFill>
                              <a:ln w="9525">
                                <a:solidFill>
                                  <a:srgbClr val="000000"/>
                                </a:solidFill>
                                <a:miter lim="800000"/>
                                <a:headEnd/>
                                <a:tailEnd/>
                              </a:ln>
                            </wps:spPr>
                            <wps:txbx>
                              <w:txbxContent>
                                <w:p w:rsidR="000F2964" w:rsidRDefault="000F2964" w:rsidP="007211F1">
                                  <w:r>
                                    <w:t>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A2784B" id="Caixa de texto 41" o:spid="_x0000_s1064" type="#_x0000_t202" style="position:absolute;left:0;text-align:left;margin-left:315.8pt;margin-top:.95pt;width:21.75pt;height:19.4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i0gNAIAAF8EAAAOAAAAZHJzL2Uyb0RvYy54bWysVNtu2zAMfR+wfxD0vjhxkzQ14hRdugwD&#10;ugvQ7QMYWY6FyaImKbG7ry8lJ1l2wR6G+UEQJerw8JD08rZvNTtI5xWakk9GY86kEVgpsyv5l8+b&#10;VwvOfABTgUYjS/4kPb9dvXyx7Gwhc2xQV9IxAjG+6GzJmxBskWVeNLIFP0IrDV3W6FoIZLpdVjno&#10;CL3VWT4ez7MOXWUdCuk9nd4Pl3yV8OtaivCxrr0MTJecuIW0urRu45qtllDsHNhGiSMN+AcWLShD&#10;Qc9Q9xCA7Z36DapVwqHHOowEthnWtRIy5UDZTMa/ZPPYgJUpFxLH27NM/v/Big+HT46pquQzksdA&#10;SzVag+qBVZIF2Qdk00lUqbO+IOdHS+6hf409VTtl7O0Diq+eGVw3YHbyzjnsGgkVsUwvs4unA46P&#10;INvuPVYUDfYBE1BfuzZKSKIwQic6T+cKEREm6DC/nuf5jDNBV/l0frVIFcygOD22zoe3ElsWNyV3&#10;1AAJHA4PPlAa5HpyibE8alVtlNbJcLvtWjt2AGqWTfpi5vTkJzdtWFfymxnx+DvEOH1/gmhVoK7X&#10;qi354uwERVTtjalSTwZQethTfG2IRpQxKjdoGPptn+p2tTiVZ4vVEwnrcOhymkraNOi+c9ZRh5fc&#10;f9uDk5zpd4aKczOZTuNIJGM6u87JcJc328sbMIKgSh44G7brMIzR3jq1ayjS0A4G76igtUpiR8oD&#10;qyN/6uIk6HHi4phc2snrx39h9QwAAP//AwBQSwMEFAAGAAgAAAAhACxNa7/eAAAACAEAAA8AAABk&#10;cnMvZG93bnJldi54bWxMj8FOwzAQRO9I/IO1SFwQdUKL04Y4FUICwQ3aCq5u7CYR9jrYbhr+nuUE&#10;x9Ubzbyt1pOzbDQh9h4l5LMMmMHG6x5bCbvt4/USWEwKtbIejYRvE2Fdn59VqtT+hG9m3KSWUQnG&#10;UknoUhpKzmPTGafizA8GiR18cCrRGVqugzpRubP8JssEd6pHWujUYB4603xujk7CcvE8fsSX+et7&#10;Iw52la6K8ekrSHl5Md3fAUtmSn9h+NUndajJae+PqCOzEsQ8FxQlsAJGXBS3ObC9hEVWAK8r/v+B&#10;+gcAAP//AwBQSwECLQAUAAYACAAAACEAtoM4kv4AAADhAQAAEwAAAAAAAAAAAAAAAAAAAAAAW0Nv&#10;bnRlbnRfVHlwZXNdLnhtbFBLAQItABQABgAIAAAAIQA4/SH/1gAAAJQBAAALAAAAAAAAAAAAAAAA&#10;AC8BAABfcmVscy8ucmVsc1BLAQItABQABgAIAAAAIQCyHi0gNAIAAF8EAAAOAAAAAAAAAAAAAAAA&#10;AC4CAABkcnMvZTJvRG9jLnhtbFBLAQItABQABgAIAAAAIQAsTWu/3gAAAAgBAAAPAAAAAAAAAAAA&#10;AAAAAI4EAABkcnMvZG93bnJldi54bWxQSwUGAAAAAAQABADzAAAAmQUAAAAA&#10;">
                      <v:textbox>
                        <w:txbxContent>
                          <w:p w:rsidR="000F2964" w:rsidRDefault="000F2964" w:rsidP="007211F1">
                            <w:r>
                              <w:t>I</w:t>
                            </w:r>
                          </w:p>
                        </w:txbxContent>
                      </v:textbox>
                    </v:shape>
                  </w:pict>
                </mc:Fallback>
              </mc:AlternateContent>
            </w:r>
            <w:r w:rsidR="007211F1" w:rsidRPr="00D138DB">
              <w:rPr>
                <w:rFonts w:cs="Arial"/>
                <w:noProof/>
              </w:rPr>
              <w:drawing>
                <wp:inline distT="0" distB="0" distL="0" distR="0" wp14:anchorId="6203D4EE" wp14:editId="480C9CC1">
                  <wp:extent cx="2628000" cy="1465419"/>
                  <wp:effectExtent l="19050" t="0" r="900" b="0"/>
                  <wp:docPr id="36" name="Imagem 26" descr="IMG_07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83.JPG"/>
                          <pic:cNvPicPr/>
                        </pic:nvPicPr>
                        <pic:blipFill>
                          <a:blip r:embed="rId214" cstate="print"/>
                          <a:stretch>
                            <a:fillRect/>
                          </a:stretch>
                        </pic:blipFill>
                        <pic:spPr>
                          <a:xfrm>
                            <a:off x="0" y="0"/>
                            <a:ext cx="2628000" cy="1465419"/>
                          </a:xfrm>
                          <a:prstGeom prst="rect">
                            <a:avLst/>
                          </a:prstGeom>
                        </pic:spPr>
                      </pic:pic>
                    </a:graphicData>
                  </a:graphic>
                </wp:inline>
              </w:drawing>
            </w:r>
          </w:p>
        </w:tc>
      </w:tr>
    </w:tbl>
    <w:p w:rsidR="006B3855" w:rsidRPr="006B3855" w:rsidRDefault="006B3855" w:rsidP="006B3855">
      <w:pPr>
        <w:rPr>
          <w:sz w:val="18"/>
          <w:szCs w:val="18"/>
        </w:rPr>
      </w:pPr>
      <w:r w:rsidRPr="006B3855">
        <w:rPr>
          <w:sz w:val="18"/>
          <w:szCs w:val="18"/>
        </w:rPr>
        <w:t>A: Apareiodon affinis (canivete); B: Cichla kelberi (tucunaré); C: Hoplias malabaricus (traira); D: Tilapia rendalli (tilápia); E: Crenicichla lacustris (joaninha); F: Bryconamericus exodon (piaba); G: Plagioscion squamosissimus (curvina); H: Astyanax bimaculatus (lambarí); I: Geophagus brasiliensis (cará).</w:t>
      </w:r>
    </w:p>
    <w:p w:rsidR="006B3855" w:rsidRPr="00D138DB" w:rsidRDefault="006B3855" w:rsidP="006B3855">
      <w:pPr>
        <w:pStyle w:val="Quadro"/>
        <w:rPr>
          <w:rFonts w:eastAsiaTheme="minorHAnsi" w:cstheme="minorBidi"/>
          <w:sz w:val="22"/>
        </w:rPr>
      </w:pPr>
      <w:r>
        <w:lastRenderedPageBreak/>
        <w:t xml:space="preserve">Figura </w:t>
      </w:r>
      <w:r w:rsidR="00CD652E">
        <w:t>6.4.5-20</w:t>
      </w:r>
      <w:r w:rsidRPr="00467CF4">
        <w:t xml:space="preserve">. </w:t>
      </w:r>
      <w:r w:rsidR="000F2964" w:rsidRPr="00467CF4">
        <w:t>Ictiofauna</w:t>
      </w:r>
      <w:r w:rsidR="000F2964">
        <w:t>.</w:t>
      </w:r>
      <w:r w:rsidR="000F2964" w:rsidRPr="00467CF4">
        <w:t xml:space="preserve"> </w:t>
      </w:r>
      <w:r w:rsidRPr="00467CF4">
        <w:t>Abundância total das espécies capturadas no reservatório Atibainha</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7211F1" w:rsidRPr="00D138DB" w:rsidTr="0014492A">
        <w:tc>
          <w:tcPr>
            <w:tcW w:w="5000" w:type="pct"/>
          </w:tcPr>
          <w:p w:rsidR="007211F1" w:rsidRPr="00D138DB" w:rsidRDefault="007211F1" w:rsidP="0014492A">
            <w:pPr>
              <w:spacing w:after="0"/>
              <w:jc w:val="left"/>
              <w:rPr>
                <w:rFonts w:cs="Arial"/>
                <w:sz w:val="22"/>
                <w:szCs w:val="22"/>
                <w:lang w:eastAsia="en-US"/>
              </w:rPr>
            </w:pPr>
            <w:r w:rsidRPr="00CE699B">
              <w:rPr>
                <w:rFonts w:cs="Arial"/>
                <w:noProof/>
              </w:rPr>
              <w:drawing>
                <wp:inline distT="0" distB="0" distL="0" distR="0" wp14:anchorId="26E68057" wp14:editId="73D6567B">
                  <wp:extent cx="5670550" cy="2400300"/>
                  <wp:effectExtent l="0" t="0" r="6350" b="0"/>
                  <wp:docPr id="37" name="Gráfico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tc>
      </w:tr>
    </w:tbl>
    <w:p w:rsidR="007211F1" w:rsidRPr="00D138DB" w:rsidRDefault="006B3855" w:rsidP="006B3855">
      <w:pPr>
        <w:pStyle w:val="Quadro"/>
      </w:pPr>
      <w:r w:rsidRPr="00467CF4">
        <w:t xml:space="preserve">Figura </w:t>
      </w:r>
      <w:r>
        <w:t>6</w:t>
      </w:r>
      <w:r w:rsidR="00CD652E">
        <w:t>.4.5-21</w:t>
      </w:r>
      <w:r w:rsidRPr="00467CF4">
        <w:t xml:space="preserve">. </w:t>
      </w:r>
      <w:r w:rsidR="000F2964" w:rsidRPr="00467CF4">
        <w:t>Ictiofauna</w:t>
      </w:r>
      <w:r w:rsidR="000F2964">
        <w:t>.</w:t>
      </w:r>
      <w:r w:rsidR="000F2964" w:rsidRPr="00467CF4">
        <w:t xml:space="preserve"> </w:t>
      </w:r>
      <w:r w:rsidRPr="00467CF4">
        <w:t>Abundância total das espécies capturadas no reservatório Jaguari</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7211F1" w:rsidRPr="00D138DB" w:rsidTr="006B3855">
        <w:tc>
          <w:tcPr>
            <w:tcW w:w="9354" w:type="dxa"/>
          </w:tcPr>
          <w:p w:rsidR="007211F1" w:rsidRPr="00D138DB" w:rsidRDefault="007211F1" w:rsidP="0014492A">
            <w:pPr>
              <w:spacing w:after="0"/>
              <w:jc w:val="left"/>
              <w:rPr>
                <w:rFonts w:cs="Arial"/>
                <w:sz w:val="22"/>
                <w:szCs w:val="22"/>
                <w:lang w:eastAsia="en-US"/>
              </w:rPr>
            </w:pPr>
            <w:r w:rsidRPr="00CE699B">
              <w:rPr>
                <w:rFonts w:cs="Arial"/>
                <w:noProof/>
              </w:rPr>
              <w:drawing>
                <wp:inline distT="0" distB="0" distL="0" distR="0" wp14:anchorId="00C09477" wp14:editId="770C3C5E">
                  <wp:extent cx="5651500" cy="2292350"/>
                  <wp:effectExtent l="0" t="0" r="6350" b="12700"/>
                  <wp:docPr id="38"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tc>
      </w:tr>
    </w:tbl>
    <w:p w:rsidR="007211F1" w:rsidRPr="00D138DB" w:rsidRDefault="007211F1" w:rsidP="006B3855"/>
    <w:p w:rsidR="007211F1" w:rsidRDefault="007211F1" w:rsidP="007F55AF">
      <w:r w:rsidRPr="00D138DB">
        <w:t xml:space="preserve">As curvas de rarefação calculadas separadamente para </w:t>
      </w:r>
      <w:r w:rsidR="004749D6">
        <w:t>cada represa amostrada</w:t>
      </w:r>
      <w:r w:rsidRPr="00D138DB">
        <w:t xml:space="preserve"> apresent</w:t>
      </w:r>
      <w:r w:rsidR="007F55AF">
        <w:t>aram</w:t>
      </w:r>
      <w:r w:rsidRPr="00D138DB">
        <w:t xml:space="preserve"> tendência à estabilidade, indicando que o local foi bem amostrado e que</w:t>
      </w:r>
      <w:r w:rsidR="004749D6">
        <w:t>,</w:t>
      </w:r>
      <w:r w:rsidRPr="00D138DB">
        <w:t xml:space="preserve"> apesar do pequeno número de espécies registradas, estas representam a ictiofauna dos locais amostrados. O estimador de riqueza corrobora os resultados obtidos, visto que </w:t>
      </w:r>
      <w:r w:rsidR="004749D6">
        <w:t xml:space="preserve">se </w:t>
      </w:r>
      <w:r w:rsidRPr="00D138DB">
        <w:t>estima a presença de cinco espécies no Jaguari e sete no Atibainha, ou seja,</w:t>
      </w:r>
      <w:r>
        <w:t xml:space="preserve"> apenas uma além</w:t>
      </w:r>
      <w:r w:rsidRPr="00D138DB">
        <w:t xml:space="preserve"> das quatro e seis registradas</w:t>
      </w:r>
      <w:r w:rsidR="007F55AF">
        <w:t>,</w:t>
      </w:r>
      <w:r w:rsidRPr="00D138DB">
        <w:t xml:space="preserve"> respectivamente (</w:t>
      </w:r>
      <w:r w:rsidRPr="001B2E1C">
        <w:rPr>
          <w:b/>
        </w:rPr>
        <w:t xml:space="preserve">Figura </w:t>
      </w:r>
      <w:r w:rsidR="00EE38E1">
        <w:rPr>
          <w:b/>
        </w:rPr>
        <w:t>6.4.5-22</w:t>
      </w:r>
      <w:r w:rsidRPr="00D138DB">
        <w:t>).</w:t>
      </w:r>
    </w:p>
    <w:p w:rsidR="006B3855" w:rsidRPr="00D138DB" w:rsidRDefault="006B3855" w:rsidP="006B3855">
      <w:pPr>
        <w:pStyle w:val="Quadro"/>
      </w:pPr>
      <w:r w:rsidRPr="001B2E1C">
        <w:lastRenderedPageBreak/>
        <w:t xml:space="preserve">Figura </w:t>
      </w:r>
      <w:r w:rsidR="00EE38E1">
        <w:t>6.4.5-22</w:t>
      </w:r>
      <w:r w:rsidRPr="001B2E1C">
        <w:t xml:space="preserve">. </w:t>
      </w:r>
      <w:r w:rsidR="000F2964" w:rsidRPr="00467CF4">
        <w:t>Ictiofauna</w:t>
      </w:r>
      <w:r w:rsidR="000F2964">
        <w:t>.</w:t>
      </w:r>
      <w:r w:rsidR="000F2964" w:rsidRPr="00467CF4">
        <w:t xml:space="preserve"> </w:t>
      </w:r>
      <w:r w:rsidRPr="001B2E1C">
        <w:t>Curva de rarefação</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7211F1" w:rsidRPr="00D138DB" w:rsidTr="0014492A">
        <w:tc>
          <w:tcPr>
            <w:tcW w:w="9494" w:type="dxa"/>
          </w:tcPr>
          <w:p w:rsidR="007211F1" w:rsidRPr="00D138DB" w:rsidRDefault="007211F1" w:rsidP="0014492A">
            <w:pPr>
              <w:spacing w:after="0"/>
              <w:rPr>
                <w:rFonts w:cs="Arial"/>
                <w:sz w:val="22"/>
                <w:szCs w:val="22"/>
                <w:lang w:eastAsia="en-US"/>
              </w:rPr>
            </w:pPr>
            <w:r w:rsidRPr="0006399F">
              <w:rPr>
                <w:rFonts w:cs="Arial"/>
                <w:noProof/>
              </w:rPr>
              <w:drawing>
                <wp:inline distT="0" distB="0" distL="0" distR="0" wp14:anchorId="2B74E99F" wp14:editId="3F33475D">
                  <wp:extent cx="5612130" cy="3193415"/>
                  <wp:effectExtent l="0" t="0" r="0" b="0"/>
                  <wp:docPr id="39"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tc>
      </w:tr>
    </w:tbl>
    <w:p w:rsidR="006B3855" w:rsidRPr="006B3855" w:rsidRDefault="006B3855" w:rsidP="006B3855">
      <w:pPr>
        <w:spacing w:after="0"/>
        <w:jc w:val="center"/>
        <w:rPr>
          <w:rFonts w:cs="Arial"/>
          <w:sz w:val="18"/>
          <w:szCs w:val="18"/>
        </w:rPr>
      </w:pPr>
      <w:r w:rsidRPr="006B3855">
        <w:rPr>
          <w:rFonts w:cs="Arial"/>
          <w:sz w:val="18"/>
          <w:szCs w:val="18"/>
        </w:rPr>
        <w:t>Amostras na represa Jaguari (linha contínua). Amostras na represa Atibainha (linha pontilhada).</w:t>
      </w:r>
    </w:p>
    <w:p w:rsidR="007211F1" w:rsidRPr="00D138DB" w:rsidRDefault="007211F1" w:rsidP="007211F1">
      <w:pPr>
        <w:spacing w:after="0"/>
        <w:ind w:firstLine="709"/>
        <w:rPr>
          <w:rFonts w:cs="Arial"/>
        </w:rPr>
      </w:pPr>
    </w:p>
    <w:p w:rsidR="007211F1" w:rsidRDefault="007211F1" w:rsidP="007F55AF">
      <w:r w:rsidRPr="00D138DB">
        <w:t>Avaliando os descritores ecológicos, observa</w:t>
      </w:r>
      <w:r w:rsidR="004749D6">
        <w:t>-se</w:t>
      </w:r>
      <w:r w:rsidRPr="00D138DB">
        <w:t xml:space="preserve"> que a represa Atibainha apresenta valores superiores de riqueza, abundância, diversidade e equabilidade (</w:t>
      </w:r>
      <w:r w:rsidRPr="001B2E1C">
        <w:rPr>
          <w:b/>
        </w:rPr>
        <w:t xml:space="preserve">Tabela </w:t>
      </w:r>
      <w:r w:rsidR="002A16A7">
        <w:rPr>
          <w:b/>
        </w:rPr>
        <w:t>6.4.5-1</w:t>
      </w:r>
      <w:r w:rsidR="00330B1C">
        <w:rPr>
          <w:b/>
        </w:rPr>
        <w:t>5</w:t>
      </w:r>
      <w:r w:rsidRPr="00D138DB">
        <w:t xml:space="preserve">). Essa diferença se torna ainda mais expressiva quando </w:t>
      </w:r>
      <w:r w:rsidR="004749D6">
        <w:t xml:space="preserve">se </w:t>
      </w:r>
      <w:r w:rsidRPr="00D138DB">
        <w:t>considera que na represa Atibainha f</w:t>
      </w:r>
      <w:r>
        <w:t>oi amostrado</w:t>
      </w:r>
      <w:r w:rsidRPr="00D138DB">
        <w:t xml:space="preserve"> apenas um ponto e na represa Jaguari dois, ou seja, o dobro do esforço amostral. De forma geral, os valores obtidos são baixos quando </w:t>
      </w:r>
      <w:r w:rsidR="004749D6">
        <w:t xml:space="preserve">se </w:t>
      </w:r>
      <w:r w:rsidRPr="00D138DB">
        <w:t>considera que as duas bacias hidrográficas possuem elevada riqueza de espécies, conforme apresentado no levantamento de dados secundários, e tal fato é atribuído à descaracterização do ambiente natural, visto que o sistema passou de lótico (rio) para lêntico (represa).</w:t>
      </w:r>
    </w:p>
    <w:p w:rsidR="007211F1" w:rsidRPr="001B2E1C" w:rsidRDefault="007211F1" w:rsidP="006B3855">
      <w:pPr>
        <w:pStyle w:val="Quadro"/>
      </w:pPr>
      <w:r w:rsidRPr="001B2E1C">
        <w:t xml:space="preserve">Tabela </w:t>
      </w:r>
      <w:r w:rsidR="002A16A7">
        <w:t>6.4.5-1</w:t>
      </w:r>
      <w:r w:rsidR="00330B1C">
        <w:t>5</w:t>
      </w:r>
      <w:r w:rsidRPr="001B2E1C">
        <w:t xml:space="preserve">. Riqueza, número de indivíduos, índices de </w:t>
      </w:r>
      <w:r w:rsidRPr="001B2E1C">
        <w:rPr>
          <w:i/>
        </w:rPr>
        <w:t>Shannon</w:t>
      </w:r>
      <w:r w:rsidRPr="001B2E1C">
        <w:t xml:space="preserve"> (diversidade), </w:t>
      </w:r>
      <w:r w:rsidRPr="001B2E1C">
        <w:rPr>
          <w:i/>
        </w:rPr>
        <w:t>Margalef</w:t>
      </w:r>
      <w:r w:rsidRPr="001B2E1C">
        <w:t xml:space="preserve"> (riqueza) e </w:t>
      </w:r>
      <w:r w:rsidRPr="001B2E1C">
        <w:rPr>
          <w:i/>
        </w:rPr>
        <w:t>Pielou</w:t>
      </w:r>
      <w:r w:rsidRPr="001B2E1C">
        <w:t xml:space="preserve"> (equabilidade), </w:t>
      </w:r>
      <w:r w:rsidR="002A16A7">
        <w:t xml:space="preserve">na amostragem </w:t>
      </w:r>
      <w:r w:rsidR="00502D8C">
        <w:t xml:space="preserve">de ictiofauna </w:t>
      </w:r>
      <w:r w:rsidRPr="001B2E1C">
        <w:t>nas represas Jaguari e Atibainha.</w:t>
      </w:r>
    </w:p>
    <w:tbl>
      <w:tblPr>
        <w:tblW w:w="5000" w:type="pct"/>
        <w:tblCellMar>
          <w:left w:w="70" w:type="dxa"/>
          <w:right w:w="70" w:type="dxa"/>
        </w:tblCellMar>
        <w:tblLook w:val="04A0" w:firstRow="1" w:lastRow="0" w:firstColumn="1" w:lastColumn="0" w:noHBand="0" w:noVBand="1"/>
      </w:tblPr>
      <w:tblGrid>
        <w:gridCol w:w="4586"/>
        <w:gridCol w:w="2385"/>
        <w:gridCol w:w="2383"/>
      </w:tblGrid>
      <w:tr w:rsidR="007211F1" w:rsidRPr="006B3855" w:rsidTr="0014492A">
        <w:trPr>
          <w:trHeight w:val="300"/>
        </w:trPr>
        <w:tc>
          <w:tcPr>
            <w:tcW w:w="2451" w:type="pct"/>
            <w:tcBorders>
              <w:top w:val="single" w:sz="4" w:space="0" w:color="auto"/>
              <w:left w:val="nil"/>
              <w:bottom w:val="single" w:sz="4" w:space="0" w:color="auto"/>
              <w:right w:val="nil"/>
            </w:tcBorders>
            <w:shd w:val="clear" w:color="auto" w:fill="D9D9D9" w:themeFill="background1" w:themeFillShade="D9"/>
            <w:noWrap/>
            <w:vAlign w:val="bottom"/>
            <w:hideMark/>
          </w:tcPr>
          <w:p w:rsidR="007211F1" w:rsidRPr="006B3855" w:rsidRDefault="007211F1" w:rsidP="0014492A">
            <w:pPr>
              <w:spacing w:after="0"/>
              <w:jc w:val="left"/>
              <w:rPr>
                <w:rFonts w:cs="Arial"/>
                <w:b/>
                <w:bCs/>
                <w:color w:val="000000"/>
                <w:sz w:val="20"/>
                <w:szCs w:val="20"/>
              </w:rPr>
            </w:pPr>
            <w:r w:rsidRPr="006B3855">
              <w:rPr>
                <w:rFonts w:cs="Arial"/>
                <w:b/>
                <w:bCs/>
                <w:color w:val="000000"/>
                <w:sz w:val="20"/>
                <w:szCs w:val="20"/>
              </w:rPr>
              <w:t>Índices</w:t>
            </w:r>
          </w:p>
        </w:tc>
        <w:tc>
          <w:tcPr>
            <w:tcW w:w="1275" w:type="pct"/>
            <w:tcBorders>
              <w:top w:val="single" w:sz="4" w:space="0" w:color="auto"/>
              <w:left w:val="nil"/>
              <w:bottom w:val="single" w:sz="4" w:space="0" w:color="auto"/>
              <w:right w:val="nil"/>
            </w:tcBorders>
            <w:shd w:val="clear" w:color="auto" w:fill="D9D9D9" w:themeFill="background1" w:themeFillShade="D9"/>
            <w:noWrap/>
            <w:vAlign w:val="bottom"/>
            <w:hideMark/>
          </w:tcPr>
          <w:p w:rsidR="007211F1" w:rsidRPr="006B3855" w:rsidRDefault="007211F1" w:rsidP="0014492A">
            <w:pPr>
              <w:spacing w:after="0"/>
              <w:jc w:val="center"/>
              <w:rPr>
                <w:rFonts w:cs="Arial"/>
                <w:b/>
                <w:bCs/>
                <w:color w:val="000000"/>
                <w:sz w:val="20"/>
                <w:szCs w:val="20"/>
              </w:rPr>
            </w:pPr>
            <w:r w:rsidRPr="006B3855">
              <w:rPr>
                <w:rFonts w:cs="Arial"/>
                <w:b/>
                <w:bCs/>
                <w:color w:val="000000"/>
                <w:sz w:val="20"/>
                <w:szCs w:val="20"/>
              </w:rPr>
              <w:t>Jaguari</w:t>
            </w:r>
          </w:p>
        </w:tc>
        <w:tc>
          <w:tcPr>
            <w:tcW w:w="1274" w:type="pct"/>
            <w:tcBorders>
              <w:top w:val="single" w:sz="4" w:space="0" w:color="auto"/>
              <w:left w:val="nil"/>
              <w:bottom w:val="single" w:sz="4" w:space="0" w:color="auto"/>
              <w:right w:val="nil"/>
            </w:tcBorders>
            <w:shd w:val="clear" w:color="auto" w:fill="D9D9D9" w:themeFill="background1" w:themeFillShade="D9"/>
            <w:noWrap/>
            <w:vAlign w:val="bottom"/>
            <w:hideMark/>
          </w:tcPr>
          <w:p w:rsidR="007211F1" w:rsidRPr="006B3855" w:rsidRDefault="007211F1" w:rsidP="0014492A">
            <w:pPr>
              <w:spacing w:after="0"/>
              <w:jc w:val="center"/>
              <w:rPr>
                <w:rFonts w:cs="Arial"/>
                <w:b/>
                <w:bCs/>
                <w:color w:val="000000"/>
                <w:sz w:val="20"/>
                <w:szCs w:val="20"/>
              </w:rPr>
            </w:pPr>
            <w:r w:rsidRPr="006B3855">
              <w:rPr>
                <w:rFonts w:cs="Arial"/>
                <w:b/>
                <w:bCs/>
                <w:color w:val="000000"/>
                <w:sz w:val="20"/>
                <w:szCs w:val="20"/>
              </w:rPr>
              <w:t>Atibainha</w:t>
            </w:r>
          </w:p>
        </w:tc>
      </w:tr>
      <w:tr w:rsidR="007211F1" w:rsidRPr="006B3855" w:rsidTr="0014492A">
        <w:trPr>
          <w:trHeight w:val="300"/>
        </w:trPr>
        <w:tc>
          <w:tcPr>
            <w:tcW w:w="2451" w:type="pct"/>
            <w:tcBorders>
              <w:top w:val="nil"/>
              <w:left w:val="nil"/>
              <w:bottom w:val="nil"/>
              <w:right w:val="nil"/>
            </w:tcBorders>
            <w:shd w:val="clear" w:color="auto" w:fill="auto"/>
            <w:noWrap/>
            <w:vAlign w:val="bottom"/>
            <w:hideMark/>
          </w:tcPr>
          <w:p w:rsidR="007211F1" w:rsidRPr="006B3855" w:rsidRDefault="007211F1" w:rsidP="0014492A">
            <w:pPr>
              <w:spacing w:after="0"/>
              <w:jc w:val="left"/>
              <w:rPr>
                <w:rFonts w:cs="Arial"/>
                <w:b/>
                <w:bCs/>
                <w:color w:val="000000"/>
                <w:sz w:val="20"/>
                <w:szCs w:val="20"/>
              </w:rPr>
            </w:pPr>
            <w:r w:rsidRPr="006B3855">
              <w:rPr>
                <w:rFonts w:cs="Arial"/>
                <w:b/>
                <w:bCs/>
                <w:color w:val="000000"/>
                <w:sz w:val="20"/>
                <w:szCs w:val="20"/>
              </w:rPr>
              <w:t>Riqueza</w:t>
            </w:r>
          </w:p>
        </w:tc>
        <w:tc>
          <w:tcPr>
            <w:tcW w:w="1275" w:type="pct"/>
            <w:tcBorders>
              <w:top w:val="nil"/>
              <w:left w:val="nil"/>
              <w:bottom w:val="nil"/>
              <w:right w:val="nil"/>
            </w:tcBorders>
            <w:shd w:val="clear" w:color="auto" w:fill="auto"/>
            <w:noWrap/>
            <w:vAlign w:val="bottom"/>
            <w:hideMark/>
          </w:tcPr>
          <w:p w:rsidR="007211F1" w:rsidRPr="006B3855" w:rsidRDefault="007211F1" w:rsidP="0014492A">
            <w:pPr>
              <w:spacing w:after="0"/>
              <w:jc w:val="center"/>
              <w:rPr>
                <w:rFonts w:cs="Arial"/>
                <w:color w:val="000000"/>
                <w:sz w:val="20"/>
                <w:szCs w:val="20"/>
              </w:rPr>
            </w:pPr>
            <w:r w:rsidRPr="006B3855">
              <w:rPr>
                <w:rFonts w:cs="Arial"/>
                <w:color w:val="000000"/>
                <w:sz w:val="20"/>
                <w:szCs w:val="20"/>
              </w:rPr>
              <w:t>4</w:t>
            </w:r>
          </w:p>
        </w:tc>
        <w:tc>
          <w:tcPr>
            <w:tcW w:w="1274" w:type="pct"/>
            <w:tcBorders>
              <w:top w:val="nil"/>
              <w:left w:val="nil"/>
              <w:bottom w:val="nil"/>
              <w:right w:val="nil"/>
            </w:tcBorders>
            <w:shd w:val="clear" w:color="auto" w:fill="auto"/>
            <w:noWrap/>
            <w:vAlign w:val="bottom"/>
            <w:hideMark/>
          </w:tcPr>
          <w:p w:rsidR="007211F1" w:rsidRPr="006B3855" w:rsidRDefault="007211F1" w:rsidP="0014492A">
            <w:pPr>
              <w:spacing w:after="0"/>
              <w:jc w:val="center"/>
              <w:rPr>
                <w:rFonts w:cs="Arial"/>
                <w:color w:val="000000"/>
                <w:sz w:val="20"/>
                <w:szCs w:val="20"/>
              </w:rPr>
            </w:pPr>
            <w:r w:rsidRPr="006B3855">
              <w:rPr>
                <w:rFonts w:cs="Arial"/>
                <w:color w:val="000000"/>
                <w:sz w:val="20"/>
                <w:szCs w:val="20"/>
              </w:rPr>
              <w:t>6</w:t>
            </w:r>
          </w:p>
        </w:tc>
      </w:tr>
      <w:tr w:rsidR="007211F1" w:rsidRPr="006B3855" w:rsidTr="0014492A">
        <w:trPr>
          <w:trHeight w:val="300"/>
        </w:trPr>
        <w:tc>
          <w:tcPr>
            <w:tcW w:w="2451" w:type="pct"/>
            <w:tcBorders>
              <w:top w:val="nil"/>
              <w:left w:val="nil"/>
              <w:bottom w:val="nil"/>
              <w:right w:val="nil"/>
            </w:tcBorders>
            <w:shd w:val="clear" w:color="auto" w:fill="auto"/>
            <w:noWrap/>
            <w:vAlign w:val="bottom"/>
            <w:hideMark/>
          </w:tcPr>
          <w:p w:rsidR="007211F1" w:rsidRPr="006B3855" w:rsidRDefault="007211F1" w:rsidP="0014492A">
            <w:pPr>
              <w:spacing w:after="0"/>
              <w:jc w:val="left"/>
              <w:rPr>
                <w:rFonts w:cs="Arial"/>
                <w:b/>
                <w:bCs/>
                <w:color w:val="000000"/>
                <w:sz w:val="20"/>
                <w:szCs w:val="20"/>
              </w:rPr>
            </w:pPr>
            <w:r w:rsidRPr="006B3855">
              <w:rPr>
                <w:rFonts w:cs="Arial"/>
                <w:b/>
                <w:bCs/>
                <w:color w:val="000000"/>
                <w:sz w:val="20"/>
                <w:szCs w:val="20"/>
              </w:rPr>
              <w:t>Número de indivíduos</w:t>
            </w:r>
          </w:p>
        </w:tc>
        <w:tc>
          <w:tcPr>
            <w:tcW w:w="1275" w:type="pct"/>
            <w:tcBorders>
              <w:top w:val="nil"/>
              <w:left w:val="nil"/>
              <w:bottom w:val="nil"/>
              <w:right w:val="nil"/>
            </w:tcBorders>
            <w:shd w:val="clear" w:color="auto" w:fill="auto"/>
            <w:noWrap/>
            <w:vAlign w:val="bottom"/>
            <w:hideMark/>
          </w:tcPr>
          <w:p w:rsidR="007211F1" w:rsidRPr="006B3855" w:rsidRDefault="007211F1" w:rsidP="0014492A">
            <w:pPr>
              <w:spacing w:after="0"/>
              <w:jc w:val="center"/>
              <w:rPr>
                <w:rFonts w:cs="Arial"/>
                <w:color w:val="000000"/>
                <w:sz w:val="20"/>
                <w:szCs w:val="20"/>
              </w:rPr>
            </w:pPr>
            <w:r w:rsidRPr="006B3855">
              <w:rPr>
                <w:rFonts w:cs="Arial"/>
                <w:color w:val="000000"/>
                <w:sz w:val="20"/>
                <w:szCs w:val="20"/>
              </w:rPr>
              <w:t>97</w:t>
            </w:r>
          </w:p>
        </w:tc>
        <w:tc>
          <w:tcPr>
            <w:tcW w:w="1274" w:type="pct"/>
            <w:tcBorders>
              <w:top w:val="nil"/>
              <w:left w:val="nil"/>
              <w:bottom w:val="nil"/>
              <w:right w:val="nil"/>
            </w:tcBorders>
            <w:shd w:val="clear" w:color="auto" w:fill="auto"/>
            <w:noWrap/>
            <w:vAlign w:val="bottom"/>
            <w:hideMark/>
          </w:tcPr>
          <w:p w:rsidR="007211F1" w:rsidRPr="006B3855" w:rsidRDefault="007211F1" w:rsidP="0014492A">
            <w:pPr>
              <w:spacing w:after="0"/>
              <w:jc w:val="center"/>
              <w:rPr>
                <w:rFonts w:cs="Arial"/>
                <w:color w:val="000000"/>
                <w:sz w:val="20"/>
                <w:szCs w:val="20"/>
              </w:rPr>
            </w:pPr>
            <w:r w:rsidRPr="006B3855">
              <w:rPr>
                <w:rFonts w:cs="Arial"/>
                <w:color w:val="000000"/>
                <w:sz w:val="20"/>
                <w:szCs w:val="20"/>
              </w:rPr>
              <w:t>132</w:t>
            </w:r>
          </w:p>
        </w:tc>
      </w:tr>
      <w:tr w:rsidR="007211F1" w:rsidRPr="006B3855" w:rsidTr="0014492A">
        <w:trPr>
          <w:trHeight w:val="300"/>
        </w:trPr>
        <w:tc>
          <w:tcPr>
            <w:tcW w:w="2451" w:type="pct"/>
            <w:tcBorders>
              <w:top w:val="nil"/>
              <w:left w:val="nil"/>
              <w:bottom w:val="nil"/>
              <w:right w:val="nil"/>
            </w:tcBorders>
            <w:shd w:val="clear" w:color="auto" w:fill="auto"/>
            <w:noWrap/>
            <w:vAlign w:val="bottom"/>
            <w:hideMark/>
          </w:tcPr>
          <w:p w:rsidR="007211F1" w:rsidRPr="006B3855" w:rsidRDefault="007211F1" w:rsidP="0014492A">
            <w:pPr>
              <w:spacing w:after="0"/>
              <w:jc w:val="left"/>
              <w:rPr>
                <w:rFonts w:cs="Arial"/>
                <w:b/>
                <w:bCs/>
                <w:color w:val="000000"/>
                <w:sz w:val="20"/>
                <w:szCs w:val="20"/>
              </w:rPr>
            </w:pPr>
            <w:r w:rsidRPr="006B3855">
              <w:rPr>
                <w:rFonts w:cs="Arial"/>
                <w:b/>
                <w:bCs/>
                <w:color w:val="000000"/>
                <w:sz w:val="20"/>
                <w:szCs w:val="20"/>
              </w:rPr>
              <w:t xml:space="preserve">Índice de </w:t>
            </w:r>
            <w:r w:rsidRPr="006B3855">
              <w:rPr>
                <w:rFonts w:cs="Arial"/>
                <w:b/>
                <w:bCs/>
                <w:i/>
                <w:color w:val="000000"/>
                <w:sz w:val="20"/>
                <w:szCs w:val="20"/>
              </w:rPr>
              <w:t>Shannon</w:t>
            </w:r>
          </w:p>
        </w:tc>
        <w:tc>
          <w:tcPr>
            <w:tcW w:w="1275" w:type="pct"/>
            <w:tcBorders>
              <w:top w:val="nil"/>
              <w:left w:val="nil"/>
              <w:bottom w:val="nil"/>
              <w:right w:val="nil"/>
            </w:tcBorders>
            <w:shd w:val="clear" w:color="auto" w:fill="auto"/>
            <w:noWrap/>
            <w:vAlign w:val="bottom"/>
            <w:hideMark/>
          </w:tcPr>
          <w:p w:rsidR="007211F1" w:rsidRPr="006B3855" w:rsidRDefault="007211F1" w:rsidP="0014492A">
            <w:pPr>
              <w:spacing w:after="0"/>
              <w:jc w:val="center"/>
              <w:rPr>
                <w:rFonts w:cs="Arial"/>
                <w:color w:val="000000"/>
                <w:sz w:val="20"/>
                <w:szCs w:val="20"/>
              </w:rPr>
            </w:pPr>
            <w:r w:rsidRPr="006B3855">
              <w:rPr>
                <w:rFonts w:cs="Arial"/>
                <w:color w:val="000000"/>
                <w:sz w:val="20"/>
                <w:szCs w:val="20"/>
              </w:rPr>
              <w:t>0,93</w:t>
            </w:r>
          </w:p>
        </w:tc>
        <w:tc>
          <w:tcPr>
            <w:tcW w:w="1274" w:type="pct"/>
            <w:tcBorders>
              <w:top w:val="nil"/>
              <w:left w:val="nil"/>
              <w:bottom w:val="nil"/>
              <w:right w:val="nil"/>
            </w:tcBorders>
            <w:shd w:val="clear" w:color="auto" w:fill="auto"/>
            <w:noWrap/>
            <w:vAlign w:val="bottom"/>
            <w:hideMark/>
          </w:tcPr>
          <w:p w:rsidR="007211F1" w:rsidRPr="006B3855" w:rsidRDefault="007211F1" w:rsidP="0014492A">
            <w:pPr>
              <w:spacing w:after="0"/>
              <w:jc w:val="center"/>
              <w:rPr>
                <w:rFonts w:cs="Arial"/>
                <w:color w:val="000000"/>
                <w:sz w:val="20"/>
                <w:szCs w:val="20"/>
              </w:rPr>
            </w:pPr>
            <w:r w:rsidRPr="006B3855">
              <w:rPr>
                <w:rFonts w:cs="Arial"/>
                <w:color w:val="000000"/>
                <w:sz w:val="20"/>
                <w:szCs w:val="20"/>
              </w:rPr>
              <w:t>1,37</w:t>
            </w:r>
          </w:p>
        </w:tc>
      </w:tr>
      <w:tr w:rsidR="007211F1" w:rsidRPr="006B3855" w:rsidTr="0014492A">
        <w:trPr>
          <w:trHeight w:val="300"/>
        </w:trPr>
        <w:tc>
          <w:tcPr>
            <w:tcW w:w="2451" w:type="pct"/>
            <w:tcBorders>
              <w:top w:val="nil"/>
              <w:left w:val="nil"/>
              <w:bottom w:val="nil"/>
              <w:right w:val="nil"/>
            </w:tcBorders>
            <w:shd w:val="clear" w:color="auto" w:fill="auto"/>
            <w:noWrap/>
            <w:vAlign w:val="bottom"/>
            <w:hideMark/>
          </w:tcPr>
          <w:p w:rsidR="007211F1" w:rsidRPr="006B3855" w:rsidRDefault="007211F1" w:rsidP="0014492A">
            <w:pPr>
              <w:spacing w:after="0"/>
              <w:jc w:val="left"/>
              <w:rPr>
                <w:rFonts w:cs="Arial"/>
                <w:b/>
                <w:bCs/>
                <w:color w:val="000000"/>
                <w:sz w:val="20"/>
                <w:szCs w:val="20"/>
              </w:rPr>
            </w:pPr>
            <w:r w:rsidRPr="006B3855">
              <w:rPr>
                <w:rFonts w:cs="Arial"/>
                <w:b/>
                <w:bCs/>
                <w:color w:val="000000"/>
                <w:sz w:val="20"/>
                <w:szCs w:val="20"/>
              </w:rPr>
              <w:t xml:space="preserve">Índice de </w:t>
            </w:r>
            <w:r w:rsidRPr="006B3855">
              <w:rPr>
                <w:rFonts w:cs="Arial"/>
                <w:b/>
                <w:bCs/>
                <w:i/>
                <w:color w:val="000000"/>
                <w:sz w:val="20"/>
                <w:szCs w:val="20"/>
              </w:rPr>
              <w:t>Margalef</w:t>
            </w:r>
          </w:p>
        </w:tc>
        <w:tc>
          <w:tcPr>
            <w:tcW w:w="1275" w:type="pct"/>
            <w:tcBorders>
              <w:top w:val="nil"/>
              <w:left w:val="nil"/>
              <w:bottom w:val="nil"/>
              <w:right w:val="nil"/>
            </w:tcBorders>
            <w:shd w:val="clear" w:color="auto" w:fill="auto"/>
            <w:noWrap/>
            <w:vAlign w:val="bottom"/>
            <w:hideMark/>
          </w:tcPr>
          <w:p w:rsidR="007211F1" w:rsidRPr="006B3855" w:rsidRDefault="007211F1" w:rsidP="0014492A">
            <w:pPr>
              <w:spacing w:after="0"/>
              <w:jc w:val="center"/>
              <w:rPr>
                <w:rFonts w:cs="Arial"/>
                <w:color w:val="000000"/>
                <w:sz w:val="20"/>
                <w:szCs w:val="20"/>
              </w:rPr>
            </w:pPr>
            <w:r w:rsidRPr="006B3855">
              <w:rPr>
                <w:rFonts w:cs="Arial"/>
                <w:color w:val="000000"/>
                <w:sz w:val="20"/>
                <w:szCs w:val="20"/>
              </w:rPr>
              <w:t>0,66</w:t>
            </w:r>
          </w:p>
        </w:tc>
        <w:tc>
          <w:tcPr>
            <w:tcW w:w="1274" w:type="pct"/>
            <w:tcBorders>
              <w:top w:val="nil"/>
              <w:left w:val="nil"/>
              <w:bottom w:val="nil"/>
              <w:right w:val="nil"/>
            </w:tcBorders>
            <w:shd w:val="clear" w:color="auto" w:fill="auto"/>
            <w:noWrap/>
            <w:vAlign w:val="bottom"/>
            <w:hideMark/>
          </w:tcPr>
          <w:p w:rsidR="007211F1" w:rsidRPr="006B3855" w:rsidRDefault="007211F1" w:rsidP="0014492A">
            <w:pPr>
              <w:spacing w:after="0"/>
              <w:jc w:val="center"/>
              <w:rPr>
                <w:rFonts w:cs="Arial"/>
                <w:color w:val="000000"/>
                <w:sz w:val="20"/>
                <w:szCs w:val="20"/>
              </w:rPr>
            </w:pPr>
            <w:r w:rsidRPr="006B3855">
              <w:rPr>
                <w:rFonts w:cs="Arial"/>
                <w:color w:val="000000"/>
                <w:sz w:val="20"/>
                <w:szCs w:val="20"/>
              </w:rPr>
              <w:t>1,02</w:t>
            </w:r>
          </w:p>
        </w:tc>
      </w:tr>
      <w:tr w:rsidR="007211F1" w:rsidRPr="006B3855" w:rsidTr="0014492A">
        <w:trPr>
          <w:trHeight w:val="300"/>
        </w:trPr>
        <w:tc>
          <w:tcPr>
            <w:tcW w:w="2451" w:type="pct"/>
            <w:tcBorders>
              <w:top w:val="nil"/>
              <w:left w:val="nil"/>
              <w:bottom w:val="single" w:sz="4" w:space="0" w:color="auto"/>
              <w:right w:val="nil"/>
            </w:tcBorders>
            <w:shd w:val="clear" w:color="auto" w:fill="auto"/>
            <w:noWrap/>
            <w:vAlign w:val="bottom"/>
            <w:hideMark/>
          </w:tcPr>
          <w:p w:rsidR="007211F1" w:rsidRPr="006B3855" w:rsidRDefault="007211F1" w:rsidP="0014492A">
            <w:pPr>
              <w:spacing w:after="0"/>
              <w:jc w:val="left"/>
              <w:rPr>
                <w:rFonts w:cs="Arial"/>
                <w:b/>
                <w:bCs/>
                <w:color w:val="000000"/>
                <w:sz w:val="20"/>
                <w:szCs w:val="20"/>
              </w:rPr>
            </w:pPr>
            <w:r w:rsidRPr="006B3855">
              <w:rPr>
                <w:rFonts w:cs="Arial"/>
                <w:b/>
                <w:bCs/>
                <w:color w:val="000000"/>
                <w:sz w:val="20"/>
                <w:szCs w:val="20"/>
              </w:rPr>
              <w:t xml:space="preserve">Índice de </w:t>
            </w:r>
            <w:r w:rsidRPr="006B3855">
              <w:rPr>
                <w:rFonts w:cs="Arial"/>
                <w:b/>
                <w:bCs/>
                <w:i/>
                <w:color w:val="000000"/>
                <w:sz w:val="20"/>
                <w:szCs w:val="20"/>
              </w:rPr>
              <w:t>Equabilidade</w:t>
            </w:r>
          </w:p>
        </w:tc>
        <w:tc>
          <w:tcPr>
            <w:tcW w:w="1275" w:type="pct"/>
            <w:tcBorders>
              <w:top w:val="nil"/>
              <w:left w:val="nil"/>
              <w:bottom w:val="single" w:sz="4" w:space="0" w:color="auto"/>
              <w:right w:val="nil"/>
            </w:tcBorders>
            <w:shd w:val="clear" w:color="auto" w:fill="auto"/>
            <w:noWrap/>
            <w:vAlign w:val="bottom"/>
            <w:hideMark/>
          </w:tcPr>
          <w:p w:rsidR="007211F1" w:rsidRPr="006B3855" w:rsidRDefault="007211F1" w:rsidP="0014492A">
            <w:pPr>
              <w:spacing w:after="0"/>
              <w:jc w:val="center"/>
              <w:rPr>
                <w:rFonts w:cs="Arial"/>
                <w:color w:val="000000"/>
                <w:sz w:val="20"/>
                <w:szCs w:val="20"/>
              </w:rPr>
            </w:pPr>
            <w:r w:rsidRPr="006B3855">
              <w:rPr>
                <w:rFonts w:cs="Arial"/>
                <w:color w:val="000000"/>
                <w:sz w:val="20"/>
                <w:szCs w:val="20"/>
              </w:rPr>
              <w:t>0,67</w:t>
            </w:r>
          </w:p>
        </w:tc>
        <w:tc>
          <w:tcPr>
            <w:tcW w:w="1274" w:type="pct"/>
            <w:tcBorders>
              <w:top w:val="nil"/>
              <w:left w:val="nil"/>
              <w:bottom w:val="single" w:sz="4" w:space="0" w:color="auto"/>
              <w:right w:val="nil"/>
            </w:tcBorders>
            <w:shd w:val="clear" w:color="auto" w:fill="auto"/>
            <w:noWrap/>
            <w:vAlign w:val="bottom"/>
            <w:hideMark/>
          </w:tcPr>
          <w:p w:rsidR="007211F1" w:rsidRPr="006B3855" w:rsidRDefault="007211F1" w:rsidP="0014492A">
            <w:pPr>
              <w:spacing w:after="0"/>
              <w:jc w:val="center"/>
              <w:rPr>
                <w:rFonts w:cs="Arial"/>
                <w:color w:val="000000"/>
                <w:sz w:val="20"/>
                <w:szCs w:val="20"/>
              </w:rPr>
            </w:pPr>
            <w:r w:rsidRPr="006B3855">
              <w:rPr>
                <w:rFonts w:cs="Arial"/>
                <w:color w:val="000000"/>
                <w:sz w:val="20"/>
                <w:szCs w:val="20"/>
              </w:rPr>
              <w:t>0,77</w:t>
            </w:r>
          </w:p>
        </w:tc>
      </w:tr>
    </w:tbl>
    <w:p w:rsidR="007211F1" w:rsidRPr="00D138DB" w:rsidRDefault="007211F1" w:rsidP="007211F1">
      <w:pPr>
        <w:spacing w:after="0"/>
        <w:ind w:firstLine="709"/>
        <w:rPr>
          <w:rFonts w:cs="Arial"/>
        </w:rPr>
      </w:pPr>
    </w:p>
    <w:p w:rsidR="007211F1" w:rsidRDefault="007211F1" w:rsidP="007F55AF">
      <w:r w:rsidRPr="00D138DB">
        <w:t>A análise de agrupamento evidenciou a diferença na composição da ictiofauna presente nos dois reservatórios estudados, visto que a análise discriminou os dois pontos localizados na represa Jaguari do ponto amostrado na represa Atibainha</w:t>
      </w:r>
      <w:r>
        <w:t>, sendo baixa a similaridade entre os dois sistemas.</w:t>
      </w:r>
      <w:r w:rsidRPr="00D138DB">
        <w:t xml:space="preserve"> (</w:t>
      </w:r>
      <w:r w:rsidRPr="007F55AF">
        <w:rPr>
          <w:b/>
        </w:rPr>
        <w:t xml:space="preserve">Figura </w:t>
      </w:r>
      <w:r w:rsidR="00EE38E1">
        <w:rPr>
          <w:b/>
        </w:rPr>
        <w:t>6.4.5-23</w:t>
      </w:r>
      <w:r w:rsidRPr="00D138DB">
        <w:t>).</w:t>
      </w:r>
    </w:p>
    <w:p w:rsidR="006B3855" w:rsidRPr="00D138DB" w:rsidRDefault="00EE38E1" w:rsidP="006B3855">
      <w:pPr>
        <w:pStyle w:val="Quadro"/>
      </w:pPr>
      <w:r>
        <w:lastRenderedPageBreak/>
        <w:t>Figura 6.4.5-23</w:t>
      </w:r>
      <w:r w:rsidR="006B3855" w:rsidRPr="001B2E1C">
        <w:t xml:space="preserve">. </w:t>
      </w:r>
      <w:r w:rsidR="000F2964" w:rsidRPr="00467CF4">
        <w:t>Ictiofauna</w:t>
      </w:r>
      <w:r w:rsidR="000F2964">
        <w:t>.</w:t>
      </w:r>
      <w:r w:rsidR="000F2964" w:rsidRPr="00467CF4">
        <w:t xml:space="preserve"> </w:t>
      </w:r>
      <w:r w:rsidR="006B3855" w:rsidRPr="001B2E1C">
        <w:t>Análise de agrupamento</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7211F1" w:rsidRPr="00D138DB" w:rsidTr="0014492A">
        <w:tc>
          <w:tcPr>
            <w:tcW w:w="9494" w:type="dxa"/>
          </w:tcPr>
          <w:p w:rsidR="007211F1" w:rsidRPr="00CE699B" w:rsidRDefault="007211F1" w:rsidP="0014492A">
            <w:pPr>
              <w:spacing w:after="0"/>
              <w:rPr>
                <w:rFonts w:cs="Arial"/>
                <w:sz w:val="22"/>
                <w:szCs w:val="22"/>
                <w:lang w:eastAsia="en-US"/>
              </w:rPr>
            </w:pPr>
            <w:r w:rsidRPr="00CE699B">
              <w:rPr>
                <w:rFonts w:cs="Arial"/>
                <w:noProof/>
              </w:rPr>
              <w:drawing>
                <wp:inline distT="0" distB="0" distL="0" distR="0" wp14:anchorId="2D458304" wp14:editId="5EC00E30">
                  <wp:extent cx="5925185" cy="3364865"/>
                  <wp:effectExtent l="1905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8" cstate="print"/>
                          <a:srcRect/>
                          <a:stretch>
                            <a:fillRect/>
                          </a:stretch>
                        </pic:blipFill>
                        <pic:spPr bwMode="auto">
                          <a:xfrm>
                            <a:off x="0" y="0"/>
                            <a:ext cx="5925185" cy="3364865"/>
                          </a:xfrm>
                          <a:prstGeom prst="rect">
                            <a:avLst/>
                          </a:prstGeom>
                          <a:noFill/>
                          <a:ln w="9525">
                            <a:noFill/>
                            <a:miter lim="800000"/>
                            <a:headEnd/>
                            <a:tailEnd/>
                          </a:ln>
                        </pic:spPr>
                      </pic:pic>
                    </a:graphicData>
                  </a:graphic>
                </wp:inline>
              </w:drawing>
            </w:r>
          </w:p>
        </w:tc>
      </w:tr>
    </w:tbl>
    <w:p w:rsidR="006B3855" w:rsidRPr="006B3855" w:rsidRDefault="006B3855" w:rsidP="006B3855">
      <w:pPr>
        <w:spacing w:after="0"/>
        <w:rPr>
          <w:rFonts w:cs="Arial"/>
          <w:sz w:val="18"/>
          <w:szCs w:val="18"/>
        </w:rPr>
      </w:pPr>
      <w:r w:rsidRPr="006B3855">
        <w:rPr>
          <w:rFonts w:cs="Arial"/>
          <w:sz w:val="18"/>
          <w:szCs w:val="18"/>
        </w:rPr>
        <w:t>Nota: Consideram-se separadamente as três amostras realizadas: represa Atibainha (RAIN_00500) e represa Jaguari (JAGJ_00700 e JAGJ_00400).</w:t>
      </w:r>
    </w:p>
    <w:p w:rsidR="007211F1" w:rsidRPr="007F55AF" w:rsidRDefault="00002429" w:rsidP="00002429">
      <w:pPr>
        <w:pStyle w:val="Ttulo5"/>
        <w:numPr>
          <w:ilvl w:val="0"/>
          <w:numId w:val="25"/>
        </w:numPr>
      </w:pPr>
      <w:bookmarkStart w:id="149" w:name="_Toc372036974"/>
      <w:r w:rsidRPr="007F55AF">
        <w:t>Considerações Finais</w:t>
      </w:r>
      <w:bookmarkEnd w:id="149"/>
      <w:r w:rsidR="00625EAA">
        <w:t>. Ictiofauna</w:t>
      </w:r>
    </w:p>
    <w:p w:rsidR="007211F1" w:rsidRPr="00D138DB" w:rsidRDefault="007211F1" w:rsidP="007F55AF">
      <w:r>
        <w:t xml:space="preserve">O levantamento de dados em campo, realizado em dezembro de 2014, registrou a presença de </w:t>
      </w:r>
      <w:r w:rsidRPr="00D138DB">
        <w:t>229 indivíduos pertencentes</w:t>
      </w:r>
      <w:r>
        <w:t xml:space="preserve"> a</w:t>
      </w:r>
      <w:r w:rsidRPr="00D138DB">
        <w:t xml:space="preserve"> </w:t>
      </w:r>
      <w:r>
        <w:t>nove espécies. No reservatório Atibainha</w:t>
      </w:r>
      <w:r w:rsidRPr="00D138DB">
        <w:t xml:space="preserve"> foram registrados 132 indivíduos distribuídos em seis espécies</w:t>
      </w:r>
      <w:r>
        <w:t>,</w:t>
      </w:r>
      <w:r w:rsidRPr="00D138DB">
        <w:t xml:space="preserve"> ao passo que no reservatório Jaguari foram capturados 97 indivíduos </w:t>
      </w:r>
      <w:r>
        <w:t>pertencentes a quatro espécies.</w:t>
      </w:r>
      <w:r w:rsidRPr="00D138DB">
        <w:t xml:space="preserve"> </w:t>
      </w:r>
    </w:p>
    <w:p w:rsidR="007211F1" w:rsidRDefault="007211F1" w:rsidP="007F55AF">
      <w:pPr>
        <w:rPr>
          <w:iCs/>
          <w:color w:val="000000"/>
        </w:rPr>
      </w:pPr>
      <w:r w:rsidRPr="00D138DB">
        <w:t xml:space="preserve">Dentre as espécies capturadas, três são exóticas, sendo que duas ocorreram no reservatório Atibainha, </w:t>
      </w:r>
      <w:r w:rsidRPr="00D138DB">
        <w:rPr>
          <w:i/>
          <w:iCs/>
          <w:color w:val="000000"/>
        </w:rPr>
        <w:t xml:space="preserve">Cichla kelberi </w:t>
      </w:r>
      <w:r w:rsidRPr="00D138DB">
        <w:rPr>
          <w:iCs/>
          <w:color w:val="000000"/>
        </w:rPr>
        <w:t>(tucunaré) e</w:t>
      </w:r>
      <w:r w:rsidRPr="00D138DB">
        <w:rPr>
          <w:i/>
          <w:iCs/>
          <w:color w:val="000000"/>
        </w:rPr>
        <w:t xml:space="preserve"> Tilapia rendalli </w:t>
      </w:r>
      <w:r w:rsidRPr="00D138DB">
        <w:rPr>
          <w:iCs/>
          <w:color w:val="000000"/>
        </w:rPr>
        <w:t>(tilápia)</w:t>
      </w:r>
      <w:r>
        <w:rPr>
          <w:iCs/>
          <w:color w:val="000000"/>
        </w:rPr>
        <w:t>,</w:t>
      </w:r>
      <w:r w:rsidRPr="00D138DB">
        <w:rPr>
          <w:iCs/>
          <w:color w:val="000000"/>
        </w:rPr>
        <w:t xml:space="preserve"> e uma no reservatório Jaguari, </w:t>
      </w:r>
      <w:r w:rsidRPr="00D138DB">
        <w:rPr>
          <w:i/>
          <w:iCs/>
          <w:color w:val="000000"/>
        </w:rPr>
        <w:t>Plagioscion squamosissimus</w:t>
      </w:r>
      <w:r w:rsidRPr="00D138DB">
        <w:rPr>
          <w:iCs/>
          <w:color w:val="000000"/>
        </w:rPr>
        <w:t xml:space="preserve"> (curvina). </w:t>
      </w:r>
      <w:r>
        <w:rPr>
          <w:iCs/>
          <w:color w:val="000000"/>
        </w:rPr>
        <w:t>As demais espécies são comumente encontradas e não constam nas listas de animais ameaçados.</w:t>
      </w:r>
    </w:p>
    <w:p w:rsidR="007211F1" w:rsidRDefault="007211F1" w:rsidP="007F55AF">
      <w:r w:rsidRPr="00D138DB">
        <w:t>O levantamento revelou um reduzido número de espécies,</w:t>
      </w:r>
      <w:r>
        <w:t xml:space="preserve"> fato evidente quando comparado aos dados secundários apresentados para ambas às bacias. Isso já era esperado, visto que os ambientes foram completamente alterados para formação dos reservatórios, sendo as espécies encontradas típicas de</w:t>
      </w:r>
      <w:r w:rsidRPr="00D138DB">
        <w:t xml:space="preserve"> ambientes represados</w:t>
      </w:r>
      <w:r>
        <w:t>.</w:t>
      </w:r>
    </w:p>
    <w:p w:rsidR="007211F1" w:rsidRPr="00D138DB" w:rsidRDefault="007211F1" w:rsidP="007F55AF">
      <w:r w:rsidRPr="00D138DB">
        <w:t>Durante o período de amostragem, ambos os reservatórios apresentavam reduzido volume de água, com elevado índice de assoreamento provocado pela instabilidade das margens, fato que pode ter colaborado para a baixa riqueza en</w:t>
      </w:r>
      <w:r>
        <w:t>contrada nos trechos amostrados, bem como a ausência de espécies da ordem Siluriformes que habitam o fundo de rios, represas e lagos.</w:t>
      </w:r>
    </w:p>
    <w:p w:rsidR="007211F1" w:rsidRDefault="007211F1" w:rsidP="007F55AF">
      <w:r w:rsidRPr="00D138DB">
        <w:t xml:space="preserve">O </w:t>
      </w:r>
      <w:r>
        <w:t xml:space="preserve">esforço empregado no levantamento foi adequado e os resultados </w:t>
      </w:r>
      <w:r w:rsidRPr="00D138DB">
        <w:t>considerado</w:t>
      </w:r>
      <w:r>
        <w:t>s</w:t>
      </w:r>
      <w:r w:rsidRPr="00D138DB">
        <w:t xml:space="preserve"> representativo</w:t>
      </w:r>
      <w:r>
        <w:t>s</w:t>
      </w:r>
      <w:r w:rsidRPr="00D138DB">
        <w:t>,</w:t>
      </w:r>
      <w:r>
        <w:t xml:space="preserve"> visto que </w:t>
      </w:r>
      <w:r w:rsidRPr="00D138DB">
        <w:t>a curva de rarefação apresentou tendência à estabilidade,</w:t>
      </w:r>
      <w:r>
        <w:t xml:space="preserve"> e </w:t>
      </w:r>
      <w:r w:rsidRPr="00D138DB">
        <w:t xml:space="preserve">o </w:t>
      </w:r>
      <w:r>
        <w:t>valor do estimador de riqueza</w:t>
      </w:r>
      <w:r w:rsidRPr="00D138DB">
        <w:t xml:space="preserve"> ficou muito próximo </w:t>
      </w:r>
      <w:r>
        <w:t>à riqueza observada</w:t>
      </w:r>
      <w:r w:rsidRPr="00D138DB">
        <w:t>.</w:t>
      </w:r>
      <w:r>
        <w:t xml:space="preserve"> Cabe re</w:t>
      </w:r>
      <w:r w:rsidR="005559AF">
        <w:t>s</w:t>
      </w:r>
      <w:r>
        <w:t>saltar que os resultados representam apenas os trechos amostrados, visto que os reservatórios possuem grande extensão além de trechos de transição reservatório/rio, que possuem maior riqueza de espécies.</w:t>
      </w:r>
    </w:p>
    <w:p w:rsidR="00E551CF" w:rsidRDefault="00E551CF" w:rsidP="00625EAA">
      <w:pPr>
        <w:pStyle w:val="Ttulo4"/>
      </w:pPr>
      <w:bookmarkStart w:id="150" w:name="_Toc411871214"/>
      <w:r>
        <w:t>Comunidades Bentônicas</w:t>
      </w:r>
      <w:bookmarkEnd w:id="150"/>
    </w:p>
    <w:p w:rsidR="00E551CF" w:rsidRPr="00E551CF" w:rsidRDefault="00E551CF" w:rsidP="00E551CF">
      <w:r w:rsidRPr="00E551CF">
        <w:t xml:space="preserve">A comunidade bentônica corresponde ao conjunto de organismos que vive todo ou parte de seu ciclo de vida no substrato de fundo de ambientes aquáticos. Das comunidades que habitam os sistemas aquáticos é uma das mais diversificadas. Em ecossistemas de água doce englobam espécies de Insecta, Annelida (principalmente Oligochaeta e Hirudinea), Nemertinea, Crustacea </w:t>
      </w:r>
      <w:r w:rsidRPr="00E551CF">
        <w:lastRenderedPageBreak/>
        <w:t>(Decapoda, Amphipoda e Isopoda), Mollusca (Bivalvia e Gastropoda) e alguns Turbellaria e Bryozoa. Colonizam o substrato de fundo dos ambientes aquáticos (bentos), onde podem viver na água de fundo (hiperbentos), sobre o substrato (epifauna), se enterrar em sedimento mais fino (infauna) ou ocupar os espaços entre os grãos de areia (fauna intersticial) (CETESB, 2012a).</w:t>
      </w:r>
    </w:p>
    <w:p w:rsidR="00E551CF" w:rsidRPr="00E551CF" w:rsidRDefault="00E551CF" w:rsidP="00E551CF">
      <w:r w:rsidRPr="00E551CF">
        <w:t>Em geral se situam numa posição intermediária na cadeia alimentar, tendo como principal alimentação detritos orgânicos, algas e microorganismos, sendo os peixes e outros vertebrados seus principais predadores (SILVEIRA, 2004).</w:t>
      </w:r>
    </w:p>
    <w:p w:rsidR="00E551CF" w:rsidRPr="00E551CF" w:rsidRDefault="00E551CF" w:rsidP="00E551CF">
      <w:r w:rsidRPr="00E551CF">
        <w:t>O bentos é componente essencial para o funcionamento dos ecossistemas aquáticos, atuando nos processos ecológicos de transferência de energia e de ciclagem de nutrientes. Além disso, tem papel na movimentação de contaminantes e nutrientes dos sedimentos por: 1) biorrevolvimento ou bioturbação, alteração física e química dos sedimentos promovido pelas populações que se enterram; 2) bioacumulação, em que a concentração corpórea de determinada substância tende a aumentar com o tempo de contato do organismo a ela; 3) transferência trófica ou biomagnificação, quando a concentração aumenta com o nível trófico; 4) biodegradação, quando há transformação, após ingestão, da substância pelo bentos; e 5) migração, quando o contaminante é transportado para outro sistema ou trecho do mesmo ambiente como, por exemplo, na emergência de insetos cujas larvas são aquáticas (CETESB, 2012a).</w:t>
      </w:r>
    </w:p>
    <w:p w:rsidR="00E551CF" w:rsidRPr="00E551CF" w:rsidRDefault="00E551CF" w:rsidP="00E551CF">
      <w:r w:rsidRPr="00E551CF">
        <w:t xml:space="preserve">Ocorrem em todo tipo de ecossistema aquático, exibem ampla variedade de tolerâncias a vários graus e tipos de poluição, têm baixa motilidade e estão continuamente sujeitos às alterações de qualidade do ambiente aquático. </w:t>
      </w:r>
    </w:p>
    <w:p w:rsidR="00E551CF" w:rsidRPr="00E551CF" w:rsidRDefault="00E551CF" w:rsidP="00E551CF">
      <w:r w:rsidRPr="00E551CF">
        <w:t>A composição da comunidade bentônica varia muito de acordo com as condições do fundo, tanto na mesma profundidade como em diferentes profundidades. Essa composição está sujeita às condições de fatores abióticos como temperatura, substâncias dissolvidas, como gases, nutrientes e contaminantes, velocidade da correnteza e natureza do substrato (HYNES, 1970). Fatores bióticos também têm importância na ocorrência das espécies, como a presença de vegetação ripária e adjacente, predação, patógenos e competição (FIDALGO, 2007).</w:t>
      </w:r>
    </w:p>
    <w:p w:rsidR="00E551CF" w:rsidRPr="00E551CF" w:rsidRDefault="00E551CF" w:rsidP="00E551CF">
      <w:r w:rsidRPr="00E551CF">
        <w:t>Segundo vários autores (BEGHELL et al.,2012), os macroinvertebrados bentônicos são considerados excelentes bioindicadores porque podem ser encontrados em vários compartimentos do meio aquático, apresentam uma elevada riqueza, são sedentários ou tem baixa mobilidade, o que permite que as perturbações ambientais possam ser facilmente localizadas. Além disso, por estarem no sedimento e possuírem um ciclo de vida longo quando comparados com outros bioindicadores, como organismos de plâncton, os macroinvertebrados podem indicar condições ambientais através do tempo, ou seja, fornecem registros de longo período. São capazes de reagir tanto à coluna de água quanto aos impactos no sedimento, o que que amplifica a resposta ao espectro de condições ambientais (CAREW et al., 2007).</w:t>
      </w:r>
    </w:p>
    <w:p w:rsidR="00E551CF" w:rsidRPr="00E551CF" w:rsidRDefault="00E551CF" w:rsidP="00E551CF">
      <w:r w:rsidRPr="00E551CF">
        <w:t>Por esse motivo os macroinvertebrados têm sido usados na tipologia de lagos e rios e na avaliação biológica da qualidade da água, em projetos de diagnose e de monitoramento ambiental.</w:t>
      </w:r>
    </w:p>
    <w:p w:rsidR="00E551CF" w:rsidRPr="00E551CF" w:rsidRDefault="00E551CF" w:rsidP="00E551CF">
      <w:r w:rsidRPr="00E551CF">
        <w:t>Para o licenciamento ambiental o levantamento de informações, a partir de dados primários e secundários, da composição da fauna bentônica deve consistir, segundo CETESB (2012a), no inventário dos componentes da biota, ou seja, a amostragem deve ser exploratória e buscar capturar exemplares de todas as populações existentes no trecho em estudo, e a identificação taxonômica deverá atingir o nível mais fino possível para que questões sobre a ocorrência de espécies pertencentes às listas (federal e/ou estadual) de ameaçadas de extinção, espécies exóticas invasoras ou com potencial de bioinvasão, espécies ou grupos endêmicos, espécies ou grupos sensíveis ao impacto previsto, espécies ou grupos indicadores, que possam inclusive ser apontados para um plano de monitoramento, sejam contempladas na discussão dos resultados.</w:t>
      </w:r>
    </w:p>
    <w:p w:rsidR="00E551CF" w:rsidRPr="00E551CF" w:rsidRDefault="00E551CF" w:rsidP="00E551CF">
      <w:r w:rsidRPr="00E551CF">
        <w:t xml:space="preserve">Algumas características da comunidade bentônica, no entanto, dificultam seu uso como bioindicadora, como o padrão de distribuição agregado das espécies, o que implica na necessidade de um grande número de amostras na caracterização de um ambiente, variações </w:t>
      </w:r>
      <w:r w:rsidRPr="00E551CF">
        <w:lastRenderedPageBreak/>
        <w:t>sazonais de abundância e atividade dos organismos e dificuldade de identificação taxonômica dos organismos, dada a alta diversidade (ESTEVES, 1988).</w:t>
      </w:r>
    </w:p>
    <w:p w:rsidR="00E551CF" w:rsidRPr="00E551CF" w:rsidRDefault="00E551CF" w:rsidP="00E551CF">
      <w:r w:rsidRPr="00E551CF">
        <w:t>Medidas de avaliação rápida podem amenizar a problemática relacionada à identificação e amostragem, como por exemplo a identificação taxonômica até o nível de família e subamostragem, viabilizando o uso do zoobentos para fins de avaliação ambiental (FIDALGO, 2007).</w:t>
      </w:r>
    </w:p>
    <w:p w:rsidR="00E551CF" w:rsidRPr="00E551CF" w:rsidRDefault="00E551CF" w:rsidP="00E551CF">
      <w:r w:rsidRPr="00E551CF">
        <w:t>A CETESB, na linha de abordagem citada acima, calcula, para alguns pontos de sua rede de monitoramento da qualidade da água, o Índice da Comunidade Bentônica (ICB).</w:t>
      </w:r>
    </w:p>
    <w:p w:rsidR="00E551CF" w:rsidRPr="00E551CF" w:rsidRDefault="00E551CF" w:rsidP="00E551CF">
      <w:r w:rsidRPr="00E551CF">
        <w:t>Para amostras dos rios, os organismos bentônicos são identificados até família, para a maioria dos taxa, exceto para Chironomidae, em que se atinge o nível de sub-famílias e tribos. Para reservatórios, Chironomidae e Oligochaeta são identificados até gênero/espécie. São calculados os seguintes índices descritores da estrutura das comunidades bentônicas:</w:t>
      </w:r>
    </w:p>
    <w:p w:rsidR="00E551CF" w:rsidRPr="00E551CF" w:rsidRDefault="00E551CF" w:rsidP="003629B9">
      <w:pPr>
        <w:pStyle w:val="PargrafodaLista"/>
        <w:numPr>
          <w:ilvl w:val="0"/>
          <w:numId w:val="33"/>
        </w:numPr>
      </w:pPr>
      <w:r w:rsidRPr="003629B9">
        <w:rPr>
          <w:bCs/>
        </w:rPr>
        <w:t>Riqueza (S)</w:t>
      </w:r>
      <w:r w:rsidRPr="00E551CF">
        <w:t>, sendo a soma das categorias taxonômicas encontradas na amostra.</w:t>
      </w:r>
    </w:p>
    <w:p w:rsidR="00E551CF" w:rsidRPr="00E551CF" w:rsidRDefault="00E551CF" w:rsidP="003629B9">
      <w:pPr>
        <w:pStyle w:val="PargrafodaLista"/>
        <w:numPr>
          <w:ilvl w:val="0"/>
          <w:numId w:val="33"/>
        </w:numPr>
      </w:pPr>
      <w:r w:rsidRPr="003629B9">
        <w:rPr>
          <w:bCs/>
        </w:rPr>
        <w:t>Índice de Diversidade de Shannon-Wiener (H’)</w:t>
      </w:r>
      <w:r w:rsidRPr="00E551CF">
        <w:t>.</w:t>
      </w:r>
    </w:p>
    <w:p w:rsidR="00E551CF" w:rsidRPr="00E551CF" w:rsidRDefault="00E551CF" w:rsidP="003629B9">
      <w:pPr>
        <w:pStyle w:val="PargrafodaLista"/>
        <w:numPr>
          <w:ilvl w:val="0"/>
          <w:numId w:val="33"/>
        </w:numPr>
      </w:pPr>
      <w:r w:rsidRPr="003629B9">
        <w:rPr>
          <w:bCs/>
        </w:rPr>
        <w:t xml:space="preserve">Índice de Comparação Sequencial (ICS) </w:t>
      </w:r>
    </w:p>
    <w:p w:rsidR="00E551CF" w:rsidRPr="00E551CF" w:rsidRDefault="00E551CF" w:rsidP="003629B9">
      <w:pPr>
        <w:pStyle w:val="PargrafodaLista"/>
        <w:numPr>
          <w:ilvl w:val="0"/>
          <w:numId w:val="33"/>
        </w:numPr>
      </w:pPr>
      <w:r w:rsidRPr="003629B9">
        <w:rPr>
          <w:bCs/>
        </w:rPr>
        <w:t>Razão Tanytarsini/Chironomidae (Tt/Chi)</w:t>
      </w:r>
      <w:r w:rsidRPr="00E551CF">
        <w:t>.</w:t>
      </w:r>
    </w:p>
    <w:p w:rsidR="00E551CF" w:rsidRPr="00E551CF" w:rsidRDefault="00E551CF" w:rsidP="003629B9">
      <w:pPr>
        <w:pStyle w:val="PargrafodaLista"/>
        <w:numPr>
          <w:ilvl w:val="0"/>
          <w:numId w:val="33"/>
        </w:numPr>
      </w:pPr>
      <w:r w:rsidRPr="003629B9">
        <w:rPr>
          <w:bCs/>
        </w:rPr>
        <w:t xml:space="preserve">Riqueza de taxa sensíveis (Ssens), </w:t>
      </w:r>
      <w:r w:rsidRPr="00E551CF">
        <w:t xml:space="preserve">em que foram considerados sensíveis as famílias de Ephemeroptera, Plecoptera, Trichoptera e o gênero </w:t>
      </w:r>
      <w:r w:rsidRPr="003629B9">
        <w:rPr>
          <w:i/>
          <w:iCs/>
        </w:rPr>
        <w:t xml:space="preserve">Stempellina </w:t>
      </w:r>
      <w:r w:rsidRPr="00E551CF">
        <w:t xml:space="preserve">de Chironomidae-Tanytarsini em rios e as famílias de Ephemeroptera, Odonata, Trichoptera e o gênero </w:t>
      </w:r>
      <w:r w:rsidRPr="003629B9">
        <w:rPr>
          <w:i/>
          <w:iCs/>
        </w:rPr>
        <w:t xml:space="preserve">Stempellina </w:t>
      </w:r>
      <w:r w:rsidRPr="00E551CF">
        <w:t>de Chironomidae-Tanytarsini em reservatórios.</w:t>
      </w:r>
    </w:p>
    <w:p w:rsidR="00E551CF" w:rsidRPr="00E551CF" w:rsidRDefault="00E551CF" w:rsidP="003629B9">
      <w:pPr>
        <w:pStyle w:val="PargrafodaLista"/>
        <w:numPr>
          <w:ilvl w:val="0"/>
          <w:numId w:val="33"/>
        </w:numPr>
      </w:pPr>
      <w:r w:rsidRPr="003629B9">
        <w:rPr>
          <w:bCs/>
        </w:rPr>
        <w:t xml:space="preserve">Dominância de grupos tolerantes (T/DT), </w:t>
      </w:r>
      <w:r w:rsidRPr="00E551CF">
        <w:t xml:space="preserve">tendo sido considerados tolerantes, Tubificidae sem queta capilar, Naididae e </w:t>
      </w:r>
      <w:r w:rsidRPr="003629B9">
        <w:rPr>
          <w:i/>
          <w:iCs/>
        </w:rPr>
        <w:t>Chironomus</w:t>
      </w:r>
      <w:r w:rsidRPr="00E551CF">
        <w:t xml:space="preserve">, em rios e </w:t>
      </w:r>
      <w:r w:rsidRPr="003629B9">
        <w:rPr>
          <w:i/>
          <w:iCs/>
        </w:rPr>
        <w:t>Limnodrilus hoffmeisteri</w:t>
      </w:r>
      <w:r w:rsidRPr="00E551CF">
        <w:t xml:space="preserve">, </w:t>
      </w:r>
      <w:r w:rsidRPr="003629B9">
        <w:rPr>
          <w:i/>
          <w:iCs/>
        </w:rPr>
        <w:t>Dero</w:t>
      </w:r>
      <w:r w:rsidRPr="00E551CF">
        <w:t xml:space="preserve">, </w:t>
      </w:r>
      <w:r w:rsidRPr="003629B9">
        <w:rPr>
          <w:i/>
          <w:iCs/>
        </w:rPr>
        <w:t>Pristina</w:t>
      </w:r>
      <w:r w:rsidRPr="00E551CF">
        <w:t xml:space="preserve">, </w:t>
      </w:r>
      <w:r w:rsidRPr="003629B9">
        <w:rPr>
          <w:i/>
          <w:iCs/>
        </w:rPr>
        <w:t xml:space="preserve">Pristinella </w:t>
      </w:r>
      <w:r w:rsidRPr="00E551CF">
        <w:t xml:space="preserve">e </w:t>
      </w:r>
      <w:r w:rsidRPr="003629B9">
        <w:rPr>
          <w:i/>
          <w:iCs/>
        </w:rPr>
        <w:t>Chironomus</w:t>
      </w:r>
      <w:r w:rsidRPr="00E551CF">
        <w:t>, em reservatórios.</w:t>
      </w:r>
    </w:p>
    <w:p w:rsidR="00E551CF" w:rsidRDefault="00E551CF" w:rsidP="00E551CF">
      <w:r w:rsidRPr="00E551CF">
        <w:t>Para o diagnóstico, estes descritores são fundidos em índices multimétricos, adequados a cada tipo de ambiente, ou seja, zona sublitoral de reservatórios, zona profundal de reservatórios e rios.</w:t>
      </w:r>
    </w:p>
    <w:p w:rsidR="00330B1C" w:rsidRDefault="00330B1C" w:rsidP="00B16BC7">
      <w:pPr>
        <w:pStyle w:val="Quadro"/>
      </w:pPr>
      <w:r>
        <w:t xml:space="preserve">Tabela 6.4.5-16. Índice da Comunidade Bentônica para </w:t>
      </w:r>
      <w:r w:rsidR="00B16BC7">
        <w:t xml:space="preserve">zona sublitoral de reservatórios </w:t>
      </w:r>
      <w:r w:rsidR="000C6B88">
        <w:t>(ICB</w:t>
      </w:r>
      <w:r w:rsidR="000C6B88" w:rsidRPr="000C6B88">
        <w:rPr>
          <w:vertAlign w:val="subscript"/>
        </w:rPr>
        <w:t>RES-SL</w:t>
      </w:r>
      <w:r w:rsidR="000C6B88">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3629B9" w:rsidTr="00B16BC7">
        <w:tc>
          <w:tcPr>
            <w:tcW w:w="9494" w:type="dxa"/>
          </w:tcPr>
          <w:p w:rsidR="003629B9" w:rsidRDefault="003629B9" w:rsidP="003629B9">
            <w:pPr>
              <w:spacing w:after="0"/>
              <w:jc w:val="center"/>
            </w:pPr>
            <w:r w:rsidRPr="00E551CF">
              <w:rPr>
                <w:noProof/>
              </w:rPr>
              <w:drawing>
                <wp:inline distT="0" distB="0" distL="0" distR="0" wp14:anchorId="08ED2A32" wp14:editId="0D788314">
                  <wp:extent cx="5405755" cy="2008505"/>
                  <wp:effectExtent l="0" t="0" r="0" b="0"/>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3"/>
                          <pic:cNvPicPr>
                            <a:picLocks noChangeAspect="1" noChangeArrowheads="1"/>
                          </pic:cNvPicPr>
                        </pic:nvPicPr>
                        <pic:blipFill rotWithShape="1">
                          <a:blip r:embed="rId219" cstate="print">
                            <a:extLst>
                              <a:ext uri="{28A0092B-C50C-407E-A947-70E740481C1C}">
                                <a14:useLocalDpi xmlns:a14="http://schemas.microsoft.com/office/drawing/2010/main" val="0"/>
                              </a:ext>
                            </a:extLst>
                          </a:blip>
                          <a:srcRect t="17694"/>
                          <a:stretch/>
                        </pic:blipFill>
                        <pic:spPr bwMode="auto">
                          <a:xfrm>
                            <a:off x="0" y="0"/>
                            <a:ext cx="5405755" cy="2008505"/>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3629B9" w:rsidRPr="00E551CF" w:rsidRDefault="003629B9" w:rsidP="00E551CF"/>
    <w:p w:rsidR="00B16BC7" w:rsidRDefault="00B16BC7" w:rsidP="00B16BC7">
      <w:pPr>
        <w:pStyle w:val="Quadro"/>
      </w:pPr>
      <w:r>
        <w:lastRenderedPageBreak/>
        <w:t>Tabela 6.4.5-17. Índice da Comunidade Bentônica para zona profundal de reservatórios (ICB</w:t>
      </w:r>
      <w:r w:rsidRPr="000C6B88">
        <w:rPr>
          <w:vertAlign w:val="subscript"/>
        </w:rPr>
        <w:t>RES-</w:t>
      </w:r>
      <w:r>
        <w:rPr>
          <w:vertAlign w:val="subscript"/>
        </w:rPr>
        <w:t>P</w:t>
      </w:r>
      <w: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3629B9" w:rsidTr="00B16BC7">
        <w:tc>
          <w:tcPr>
            <w:tcW w:w="9494" w:type="dxa"/>
          </w:tcPr>
          <w:p w:rsidR="003629B9" w:rsidRDefault="003629B9" w:rsidP="00B16BC7">
            <w:pPr>
              <w:jc w:val="center"/>
            </w:pPr>
            <w:r w:rsidRPr="00E551CF">
              <w:rPr>
                <w:noProof/>
              </w:rPr>
              <w:drawing>
                <wp:inline distT="0" distB="0" distL="0" distR="0" wp14:anchorId="6349519B" wp14:editId="0ECCA21F">
                  <wp:extent cx="5399405" cy="1924462"/>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0" cstate="print">
                            <a:extLst>
                              <a:ext uri="{28A0092B-C50C-407E-A947-70E740481C1C}">
                                <a14:useLocalDpi xmlns:a14="http://schemas.microsoft.com/office/drawing/2010/main" val="0"/>
                              </a:ext>
                            </a:extLst>
                          </a:blip>
                          <a:srcRect t="13177"/>
                          <a:stretch/>
                        </pic:blipFill>
                        <pic:spPr bwMode="auto">
                          <a:xfrm>
                            <a:off x="0" y="0"/>
                            <a:ext cx="5400040" cy="1924688"/>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B16BC7" w:rsidRDefault="00B16BC7" w:rsidP="00B16BC7">
      <w:pPr>
        <w:pStyle w:val="Quadro"/>
      </w:pPr>
      <w:r>
        <w:t>Tabela 6.4.5-18. Índice da Comunidade Bentônica para rios (ICB</w:t>
      </w:r>
      <w:r w:rsidRPr="000C6B88">
        <w:rPr>
          <w:vertAlign w:val="subscript"/>
        </w:rPr>
        <w:t>R</w:t>
      </w:r>
      <w:r>
        <w:rPr>
          <w:vertAlign w:val="subscript"/>
        </w:rPr>
        <w:t>IO</w:t>
      </w:r>
      <w: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A3404A" w:rsidTr="00B16BC7">
        <w:tc>
          <w:tcPr>
            <w:tcW w:w="9494" w:type="dxa"/>
          </w:tcPr>
          <w:p w:rsidR="00A3404A" w:rsidRDefault="00A3404A" w:rsidP="00B16BC7">
            <w:pPr>
              <w:jc w:val="center"/>
            </w:pPr>
            <w:r w:rsidRPr="00E551CF">
              <w:rPr>
                <w:noProof/>
              </w:rPr>
              <w:drawing>
                <wp:inline distT="0" distB="0" distL="0" distR="0" wp14:anchorId="5B742792" wp14:editId="121F019B">
                  <wp:extent cx="5399835" cy="2074545"/>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1" cstate="print">
                            <a:extLst>
                              <a:ext uri="{28A0092B-C50C-407E-A947-70E740481C1C}">
                                <a14:useLocalDpi xmlns:a14="http://schemas.microsoft.com/office/drawing/2010/main" val="0"/>
                              </a:ext>
                            </a:extLst>
                          </a:blip>
                          <a:srcRect t="14410"/>
                          <a:stretch/>
                        </pic:blipFill>
                        <pic:spPr bwMode="auto">
                          <a:xfrm>
                            <a:off x="0" y="0"/>
                            <a:ext cx="5400040" cy="2074624"/>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E551CF" w:rsidRPr="00B16BC7" w:rsidRDefault="00E551CF" w:rsidP="00E551CF">
      <w:pPr>
        <w:rPr>
          <w:sz w:val="18"/>
          <w:szCs w:val="18"/>
        </w:rPr>
      </w:pPr>
      <w:r w:rsidRPr="00B16BC7">
        <w:rPr>
          <w:sz w:val="18"/>
          <w:szCs w:val="18"/>
        </w:rPr>
        <w:t>Fonte: CETESB (2006)</w:t>
      </w:r>
    </w:p>
    <w:p w:rsidR="00E551CF" w:rsidRPr="00E551CF" w:rsidRDefault="00E551CF" w:rsidP="00E551CF">
      <w:r w:rsidRPr="00E551CF">
        <w:t>Para o cálculo do Índice da Comunidade Bentônica apenas um dos índices de diversidade (H’ ou ICS) é considerado, dando-se preferência ao ICS. O valor final, que gera o diagnóstico ou a classificação final da qualidade do habitat, será simplesmente a média aritmética do ranking dos índices parciais.</w:t>
      </w:r>
    </w:p>
    <w:p w:rsidR="00E551CF" w:rsidRPr="00E551CF" w:rsidRDefault="00E551CF" w:rsidP="00E551CF">
      <w:r w:rsidRPr="00E551CF">
        <w:t>São relativamente escassas as informações sobre a comunidade bentônica dos ambientes de interesse no presente estudo.</w:t>
      </w:r>
    </w:p>
    <w:p w:rsidR="00E551CF" w:rsidRPr="00F479AB" w:rsidRDefault="00E551CF" w:rsidP="00F479AB">
      <w:pPr>
        <w:pStyle w:val="Ttulo5"/>
        <w:numPr>
          <w:ilvl w:val="0"/>
          <w:numId w:val="36"/>
        </w:numPr>
      </w:pPr>
      <w:r w:rsidRPr="00F479AB">
        <w:t>Sistema Cantareira</w:t>
      </w:r>
    </w:p>
    <w:p w:rsidR="00E551CF" w:rsidRPr="00E551CF" w:rsidRDefault="00E551CF" w:rsidP="00E551CF">
      <w:r w:rsidRPr="00E551CF">
        <w:rPr>
          <w:bCs/>
        </w:rPr>
        <w:t xml:space="preserve">Schiavone et al. (2012) fizeram o </w:t>
      </w:r>
      <w:r w:rsidRPr="00E551CF">
        <w:t>levantamento da comunidade de macroinvertebrados bentônicos em dois reservatórios pertencentes ao sistema Cantareira, Jacareí e Jaguari (SP), em agosto de 2012. A composição taxonômica, abundância absoluta e relativ</w:t>
      </w:r>
      <w:r w:rsidR="00B16BC7">
        <w:t>a (%) e densidade numérica (ind/</w:t>
      </w:r>
      <w:r w:rsidRPr="00E551CF">
        <w:t>m</w:t>
      </w:r>
      <w:r w:rsidRPr="00B16BC7">
        <w:rPr>
          <w:vertAlign w:val="superscript"/>
        </w:rPr>
        <w:t>2</w:t>
      </w:r>
      <w:r w:rsidRPr="00E551CF">
        <w:t>) obtidas, respectivamente, nos reservatórios do Jaguari e Jacareí, são apresentadas nas tabelas a seguir</w:t>
      </w:r>
    </w:p>
    <w:p w:rsidR="00E551CF" w:rsidRPr="00E551CF" w:rsidRDefault="00B16BC7" w:rsidP="00B16BC7">
      <w:pPr>
        <w:pStyle w:val="Quadro"/>
      </w:pPr>
      <w:r>
        <w:lastRenderedPageBreak/>
        <w:t>Tabela 6.4.5-19. Macroinvertebrados Bentônicos no reservatório Jaguari (Cantareira)</w:t>
      </w:r>
    </w:p>
    <w:p w:rsidR="00E551CF" w:rsidRPr="00E551CF" w:rsidRDefault="00E551CF" w:rsidP="003629B9">
      <w:pPr>
        <w:jc w:val="center"/>
      </w:pPr>
      <w:r w:rsidRPr="00E551CF">
        <w:rPr>
          <w:noProof/>
          <w:lang w:eastAsia="pt-BR"/>
        </w:rPr>
        <w:drawing>
          <wp:inline distT="0" distB="0" distL="0" distR="0" wp14:anchorId="4A8D4A8F" wp14:editId="29723315">
            <wp:extent cx="5400040" cy="2539934"/>
            <wp:effectExtent l="0" t="0" r="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5400040" cy="2539934"/>
                    </a:xfrm>
                    <a:prstGeom prst="rect">
                      <a:avLst/>
                    </a:prstGeom>
                    <a:noFill/>
                    <a:ln>
                      <a:noFill/>
                    </a:ln>
                  </pic:spPr>
                </pic:pic>
              </a:graphicData>
            </a:graphic>
          </wp:inline>
        </w:drawing>
      </w:r>
    </w:p>
    <w:p w:rsidR="00E4778B" w:rsidRPr="00E551CF" w:rsidRDefault="00E4778B" w:rsidP="00E4778B">
      <w:pPr>
        <w:pStyle w:val="Quadro"/>
      </w:pPr>
      <w:r>
        <w:t>Tabela 6.4.5-20. Macroinvertebrados Bentônicos no reservatório Jacareí (Cantareira)</w:t>
      </w:r>
    </w:p>
    <w:p w:rsidR="00E551CF" w:rsidRPr="00E551CF" w:rsidRDefault="00E551CF" w:rsidP="003629B9">
      <w:pPr>
        <w:jc w:val="center"/>
      </w:pPr>
      <w:r w:rsidRPr="00E551CF">
        <w:rPr>
          <w:noProof/>
          <w:lang w:eastAsia="pt-BR"/>
        </w:rPr>
        <w:drawing>
          <wp:inline distT="0" distB="0" distL="0" distR="0" wp14:anchorId="1D1E6C05" wp14:editId="3322C8EB">
            <wp:extent cx="5400040" cy="3149990"/>
            <wp:effectExtent l="0" t="0" r="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5400040" cy="3149990"/>
                    </a:xfrm>
                    <a:prstGeom prst="rect">
                      <a:avLst/>
                    </a:prstGeom>
                    <a:noFill/>
                    <a:ln>
                      <a:noFill/>
                    </a:ln>
                  </pic:spPr>
                </pic:pic>
              </a:graphicData>
            </a:graphic>
          </wp:inline>
        </w:drawing>
      </w:r>
    </w:p>
    <w:p w:rsidR="00E551CF" w:rsidRPr="00E551CF" w:rsidRDefault="00E551CF" w:rsidP="00E551CF">
      <w:r w:rsidRPr="00E551CF">
        <w:t xml:space="preserve">Os resultados mostraram que Oligochaeta foi o táxon numericamente dominante no reservatório de Jaguari e Chironomidae no reservatório de Jacareí. Outro aspecto de interesse foi o registro da ocorrência do molusco exótico </w:t>
      </w:r>
      <w:r w:rsidRPr="00E551CF">
        <w:rPr>
          <w:i/>
          <w:iCs/>
        </w:rPr>
        <w:t xml:space="preserve">Corbicula flumínea </w:t>
      </w:r>
      <w:r w:rsidRPr="00E551CF">
        <w:t>(Muller, 1774) nos pontos JA-01 (Jaguari) e JC-01 (Jacareí) sendo essa espécie causadora de impactos na estrutura da composição dos macroinvertebrados bentônicos.</w:t>
      </w:r>
    </w:p>
    <w:p w:rsidR="00E551CF" w:rsidRPr="00E551CF" w:rsidRDefault="00E551CF" w:rsidP="00E551CF">
      <w:r w:rsidRPr="00E551CF">
        <w:t>Estudos da comunidade bentônica foram também realizados na bacia do Rio Atibainha e Cachoeira (SHIMIZU et al, 2002; IMBIMBO, 2006; FIDALGO, 2007; WATANABE, 2007). Estes estudos amostraram apenas os rios, a montante e a jusante dos reservatórios Atibainha e Cachoeira, com o objetivo de verificar os impactos antrópicos existentes nessas bacias usando os organismos bentônicos como indicadores e de desenvolver e testar metodologias para uso de bioindicadores.</w:t>
      </w:r>
    </w:p>
    <w:p w:rsidR="00E551CF" w:rsidRPr="00E551CF" w:rsidRDefault="00E551CF" w:rsidP="00E551CF">
      <w:r w:rsidRPr="00E551CF">
        <w:t>O monitoramento de qualidade de água da CETESB apresenta dados mais recentes, no que se refere ao zoobentos, para os reservatórios do Cantareira, apenas para o reservatório de Jaguari (UGRHI 5).</w:t>
      </w:r>
    </w:p>
    <w:p w:rsidR="00E551CF" w:rsidRPr="00E551CF" w:rsidRDefault="00E551CF" w:rsidP="00E551CF">
      <w:r w:rsidRPr="00E551CF">
        <w:lastRenderedPageBreak/>
        <w:t>Em 2009 o reservatório Jaguari/Jacareí apresentou qualidade Boa de suas águas pelos dados do bentos sublitoral, mas Regular dos sedimentos, segundo sua comunidade profundal (Figura abaixo).</w:t>
      </w:r>
    </w:p>
    <w:p w:rsidR="00E551CF" w:rsidRPr="00E551CF" w:rsidRDefault="00F479AB" w:rsidP="00F479AB">
      <w:pPr>
        <w:pStyle w:val="Quadro"/>
      </w:pPr>
      <w:r>
        <w:t>Figura 6.4.5-24. Bentos no reservatório Jaguari-Jacareí (Cantareira). 2009</w:t>
      </w:r>
    </w:p>
    <w:p w:rsidR="00E551CF" w:rsidRPr="00E551CF" w:rsidRDefault="00E551CF" w:rsidP="00E551CF">
      <w:r w:rsidRPr="00E551CF">
        <w:rPr>
          <w:noProof/>
          <w:lang w:eastAsia="pt-BR"/>
        </w:rPr>
        <w:drawing>
          <wp:inline distT="0" distB="0" distL="0" distR="0" wp14:anchorId="5882B5B0" wp14:editId="2981045E">
            <wp:extent cx="5400040" cy="1232535"/>
            <wp:effectExtent l="0" t="0" r="0" b="5715"/>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400040" cy="1232535"/>
                    </a:xfrm>
                    <a:prstGeom prst="rect">
                      <a:avLst/>
                    </a:prstGeom>
                    <a:noFill/>
                    <a:ln>
                      <a:noFill/>
                    </a:ln>
                  </pic:spPr>
                </pic:pic>
              </a:graphicData>
            </a:graphic>
          </wp:inline>
        </w:drawing>
      </w:r>
    </w:p>
    <w:p w:rsidR="00A3404A" w:rsidRDefault="00E551CF" w:rsidP="00E551CF">
      <w:r w:rsidRPr="00E551CF">
        <w:rPr>
          <w:noProof/>
          <w:lang w:eastAsia="pt-BR"/>
        </w:rPr>
        <w:drawing>
          <wp:inline distT="0" distB="0" distL="0" distR="0" wp14:anchorId="55916569" wp14:editId="45EC5020">
            <wp:extent cx="2211676" cy="4295619"/>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213189" cy="4298558"/>
                    </a:xfrm>
                    <a:prstGeom prst="rect">
                      <a:avLst/>
                    </a:prstGeom>
                    <a:noFill/>
                    <a:ln>
                      <a:noFill/>
                    </a:ln>
                  </pic:spPr>
                </pic:pic>
              </a:graphicData>
            </a:graphic>
          </wp:inline>
        </w:drawing>
      </w:r>
    </w:p>
    <w:p w:rsidR="00E551CF" w:rsidRPr="00A3404A" w:rsidRDefault="00E551CF" w:rsidP="00E551CF">
      <w:pPr>
        <w:rPr>
          <w:sz w:val="18"/>
          <w:szCs w:val="18"/>
        </w:rPr>
      </w:pPr>
      <w:r w:rsidRPr="00A3404A">
        <w:rPr>
          <w:sz w:val="18"/>
          <w:szCs w:val="18"/>
        </w:rPr>
        <w:t>Fonte: CETESB (2010)</w:t>
      </w:r>
    </w:p>
    <w:p w:rsidR="00E551CF" w:rsidRDefault="00E551CF" w:rsidP="00E551CF">
      <w:r w:rsidRPr="00E551CF">
        <w:t>Em 2010 o Reservatório do Jaguari (JARI 00800), repetiu a condição boa para a comunidade bentônica sublitoral e regular para o profundal, mas a alta profundidade (43m) pode ter restringido a colonização.</w:t>
      </w:r>
    </w:p>
    <w:p w:rsidR="00F479AB" w:rsidRPr="00E551CF" w:rsidRDefault="00F479AB" w:rsidP="00287F88">
      <w:pPr>
        <w:pStyle w:val="Quadro"/>
      </w:pPr>
      <w:r>
        <w:t>Figura 6.4.5-25. Bentos no reservatório Jaguari-Jacareí (Cantareira). 2010</w:t>
      </w:r>
    </w:p>
    <w:p w:rsidR="00E551CF" w:rsidRPr="00E551CF" w:rsidRDefault="00E551CF" w:rsidP="00E551CF">
      <w:r w:rsidRPr="00E551CF">
        <w:rPr>
          <w:noProof/>
          <w:lang w:eastAsia="pt-BR"/>
        </w:rPr>
        <w:drawing>
          <wp:inline distT="0" distB="0" distL="0" distR="0" wp14:anchorId="15CAB372" wp14:editId="1C52CB66">
            <wp:extent cx="5247261" cy="1307805"/>
            <wp:effectExtent l="0" t="0" r="0" b="698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6" cstate="print">
                      <a:extLst>
                        <a:ext uri="{28A0092B-C50C-407E-A947-70E740481C1C}">
                          <a14:useLocalDpi xmlns:a14="http://schemas.microsoft.com/office/drawing/2010/main" val="0"/>
                        </a:ext>
                      </a:extLst>
                    </a:blip>
                    <a:srcRect r="25223"/>
                    <a:stretch/>
                  </pic:blipFill>
                  <pic:spPr bwMode="auto">
                    <a:xfrm>
                      <a:off x="0" y="0"/>
                      <a:ext cx="5265172" cy="1312269"/>
                    </a:xfrm>
                    <a:prstGeom prst="rect">
                      <a:avLst/>
                    </a:prstGeom>
                    <a:noFill/>
                    <a:ln>
                      <a:noFill/>
                    </a:ln>
                    <a:extLst>
                      <a:ext uri="{53640926-AAD7-44D8-BBD7-CCE9431645EC}">
                        <a14:shadowObscured xmlns:a14="http://schemas.microsoft.com/office/drawing/2010/main"/>
                      </a:ext>
                    </a:extLst>
                  </pic:spPr>
                </pic:pic>
              </a:graphicData>
            </a:graphic>
          </wp:inline>
        </w:drawing>
      </w:r>
    </w:p>
    <w:p w:rsidR="00E551CF" w:rsidRPr="00A3404A" w:rsidRDefault="00E551CF" w:rsidP="00E551CF">
      <w:pPr>
        <w:rPr>
          <w:sz w:val="18"/>
          <w:szCs w:val="18"/>
        </w:rPr>
      </w:pPr>
      <w:r w:rsidRPr="00A3404A">
        <w:rPr>
          <w:sz w:val="18"/>
          <w:szCs w:val="18"/>
        </w:rPr>
        <w:lastRenderedPageBreak/>
        <w:t>Fonte: CETESB (2011)</w:t>
      </w:r>
    </w:p>
    <w:p w:rsidR="00E551CF" w:rsidRDefault="00E551CF" w:rsidP="00E551CF">
      <w:pPr>
        <w:rPr>
          <w:color w:val="000000"/>
        </w:rPr>
      </w:pPr>
      <w:r w:rsidRPr="00E551CF">
        <w:t>Em 2011 n</w:t>
      </w:r>
      <w:r w:rsidRPr="00E551CF">
        <w:rPr>
          <w:color w:val="000000"/>
        </w:rPr>
        <w:t xml:space="preserve">a região sublitoral do reservatório do rio Jaguari (UGRHI 5) o zoobentos apresentou um índice bom, com comunidade dominada por formas semi-tolerantes. No entanto, é um sistema pobre em grupos sensíveis, apenas dois: Stempellina e Gomphidae foram registrados, mas ocorreram em baixa densidade. Além disso, houve grande variabilidade na biota entre réplicas, uma das quais, coletada no fundo de uma baía que exibia odor característico de efluentes domésticos, apresentou dominância de organismos tolerantes. Ou seja, embora a massa d’água ainda apresente condição Boa para a biodiversidade local, há evidências de introdução pontual de esgotos domésticos no reservatório. A região profundal, de qualidade Regular pelo ICB, foi dominada por organismo semi-tolerante (o tubificíneo </w:t>
      </w:r>
      <w:r w:rsidRPr="00E551CF">
        <w:rPr>
          <w:i/>
          <w:color w:val="000000"/>
        </w:rPr>
        <w:t>Branchiura sowerbyi</w:t>
      </w:r>
      <w:r w:rsidRPr="00E551CF">
        <w:rPr>
          <w:color w:val="000000"/>
        </w:rPr>
        <w:t>) e a ausência de larvas de Tanytarsini mostram que a região deve exibir baixas concentrações de oxigênio dissolvido (hipóxia). A grande profundidade de coleta (27 m) e o acúmulo de matéria orgânica nos sedimentos desta região podem provocar esta condição. Tanto os diagnósticos da região sublitoral quanto da profundal deste reservatório não se alteraram no triênio 2009-2011.</w:t>
      </w:r>
    </w:p>
    <w:p w:rsidR="00287F88" w:rsidRPr="00E551CF" w:rsidRDefault="00287F88" w:rsidP="00136188">
      <w:pPr>
        <w:pStyle w:val="Quadro"/>
        <w:rPr>
          <w:color w:val="000000"/>
        </w:rPr>
      </w:pPr>
      <w:r>
        <w:t>Figura 6.4.5-26. Bentos no reservatório Jaguari-Jacareí (Cantareira). 2011</w:t>
      </w:r>
    </w:p>
    <w:p w:rsidR="00E551CF" w:rsidRPr="00E551CF" w:rsidRDefault="00E551CF" w:rsidP="00E551CF">
      <w:r w:rsidRPr="00E551CF">
        <w:rPr>
          <w:noProof/>
          <w:lang w:eastAsia="pt-BR"/>
        </w:rPr>
        <w:drawing>
          <wp:inline distT="0" distB="0" distL="0" distR="0" wp14:anchorId="2F51B743" wp14:editId="6CF04972">
            <wp:extent cx="5397969" cy="988827"/>
            <wp:effectExtent l="0" t="0" r="0" b="1905"/>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7" cstate="print">
                      <a:extLst>
                        <a:ext uri="{28A0092B-C50C-407E-A947-70E740481C1C}">
                          <a14:useLocalDpi xmlns:a14="http://schemas.microsoft.com/office/drawing/2010/main" val="0"/>
                        </a:ext>
                      </a:extLst>
                    </a:blip>
                    <a:srcRect l="1" r="28746"/>
                    <a:stretch/>
                  </pic:blipFill>
                  <pic:spPr bwMode="auto">
                    <a:xfrm>
                      <a:off x="0" y="0"/>
                      <a:ext cx="5563207" cy="1019096"/>
                    </a:xfrm>
                    <a:prstGeom prst="rect">
                      <a:avLst/>
                    </a:prstGeom>
                    <a:noFill/>
                    <a:ln>
                      <a:noFill/>
                    </a:ln>
                    <a:extLst>
                      <a:ext uri="{53640926-AAD7-44D8-BBD7-CCE9431645EC}">
                        <a14:shadowObscured xmlns:a14="http://schemas.microsoft.com/office/drawing/2010/main"/>
                      </a:ext>
                    </a:extLst>
                  </pic:spPr>
                </pic:pic>
              </a:graphicData>
            </a:graphic>
          </wp:inline>
        </w:drawing>
      </w:r>
    </w:p>
    <w:p w:rsidR="00E551CF" w:rsidRPr="00E551CF" w:rsidRDefault="00E551CF" w:rsidP="00136188">
      <w:pPr>
        <w:jc w:val="center"/>
      </w:pPr>
      <w:r w:rsidRPr="00E551CF">
        <w:rPr>
          <w:noProof/>
          <w:lang w:eastAsia="pt-BR"/>
        </w:rPr>
        <w:lastRenderedPageBreak/>
        <w:drawing>
          <wp:inline distT="0" distB="0" distL="0" distR="0" wp14:anchorId="593E9EE3" wp14:editId="526249B3">
            <wp:extent cx="4306186" cy="5688855"/>
            <wp:effectExtent l="0" t="0" r="0" b="762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8" cstate="print">
                      <a:extLst>
                        <a:ext uri="{28A0092B-C50C-407E-A947-70E740481C1C}">
                          <a14:useLocalDpi xmlns:a14="http://schemas.microsoft.com/office/drawing/2010/main" val="0"/>
                        </a:ext>
                      </a:extLst>
                    </a:blip>
                    <a:srcRect l="15555" r="14544" b="10771"/>
                    <a:stretch/>
                  </pic:blipFill>
                  <pic:spPr bwMode="auto">
                    <a:xfrm>
                      <a:off x="0" y="0"/>
                      <a:ext cx="4309932" cy="5693804"/>
                    </a:xfrm>
                    <a:prstGeom prst="rect">
                      <a:avLst/>
                    </a:prstGeom>
                    <a:noFill/>
                    <a:ln>
                      <a:noFill/>
                    </a:ln>
                    <a:extLst>
                      <a:ext uri="{53640926-AAD7-44D8-BBD7-CCE9431645EC}">
                        <a14:shadowObscured xmlns:a14="http://schemas.microsoft.com/office/drawing/2010/main"/>
                      </a:ext>
                    </a:extLst>
                  </pic:spPr>
                </pic:pic>
              </a:graphicData>
            </a:graphic>
          </wp:inline>
        </w:drawing>
      </w:r>
    </w:p>
    <w:p w:rsidR="00E551CF" w:rsidRPr="00A3404A" w:rsidRDefault="00E551CF" w:rsidP="00E551CF">
      <w:pPr>
        <w:rPr>
          <w:sz w:val="20"/>
          <w:szCs w:val="20"/>
        </w:rPr>
      </w:pPr>
      <w:r w:rsidRPr="00A3404A">
        <w:rPr>
          <w:sz w:val="20"/>
          <w:szCs w:val="20"/>
        </w:rPr>
        <w:t>Fonte: CETESB (2012b)</w:t>
      </w:r>
    </w:p>
    <w:p w:rsidR="00E551CF" w:rsidRPr="00E551CF" w:rsidRDefault="00E551CF" w:rsidP="00F479AB">
      <w:pPr>
        <w:pStyle w:val="Ttulo5"/>
        <w:numPr>
          <w:ilvl w:val="0"/>
          <w:numId w:val="36"/>
        </w:numPr>
      </w:pPr>
      <w:r w:rsidRPr="00E551CF">
        <w:t>Jaguari - CESP</w:t>
      </w:r>
    </w:p>
    <w:p w:rsidR="00E551CF" w:rsidRPr="00E551CF" w:rsidRDefault="00E551CF" w:rsidP="00E551CF">
      <w:r w:rsidRPr="00E551CF">
        <w:t>Em 2012 e 2013 a comunidade bentônica do reservatório Jaguari-CESP foi analisada dentro do plano de monitoramento da CETESB num estudo comparativo entre ambientes situados em bacias com usos do solo predominante diferenciados. Foi um dos locais estudados dentro de bacias industrializadas.</w:t>
      </w:r>
    </w:p>
    <w:p w:rsidR="00E551CF" w:rsidRPr="00E551CF" w:rsidRDefault="00E551CF" w:rsidP="00E551CF">
      <w:r w:rsidRPr="00E551CF">
        <w:t>Em 2012 (CETESB, 2013) foram registradas densidades muito elevadas de organismos do bentos, refletindo o enriquecimento orgânico do reservatório, particularmente na região profunda, cujas comunidades exibiram dominância por organismos tolerantes. O baixo teor de Oxigênio Dissolvido próximo ao fundo (4,7 mg/L) já seria suficiente para o empobrecimento faunístico observado.</w:t>
      </w:r>
    </w:p>
    <w:p w:rsidR="00E551CF" w:rsidRPr="00E551CF" w:rsidRDefault="00E551CF" w:rsidP="00E551CF">
      <w:r w:rsidRPr="00E551CF">
        <w:t>O diagnóstico de qualidade obtido no Reservatório do Jaguari (Ótima na sublitoral e Boa na profundal) decorreu do enriquecimento de habitats promovido pelo processo de eutrofização (IET</w:t>
      </w:r>
      <w:r w:rsidRPr="00E551CF">
        <w:rPr>
          <w:vertAlign w:val="superscript"/>
        </w:rPr>
        <w:t xml:space="preserve">CL-PT </w:t>
      </w:r>
      <w:r w:rsidRPr="00E551CF">
        <w:t>= Mesotrófico). Ressalte-se que, na continuidade deste processo, a tendência é o desenvolvimento de um ambiente com escassez de Oxigênio Dissolvido, pela decomposição do excesso de matéria orgânica, e consequente empobrecimento da comunidade com dominância de organismos tolerantes, fato este já observado na região profundal.</w:t>
      </w:r>
    </w:p>
    <w:p w:rsidR="00E551CF" w:rsidRDefault="00E551CF" w:rsidP="00E551CF">
      <w:r w:rsidRPr="00E551CF">
        <w:lastRenderedPageBreak/>
        <w:t>No reservatório do Jaguari foi observada uma espécie exótica invasora (</w:t>
      </w:r>
      <w:r w:rsidRPr="00E551CF">
        <w:rPr>
          <w:i/>
        </w:rPr>
        <w:t>Melanoides tuberculatum</w:t>
      </w:r>
      <w:r w:rsidRPr="00E551CF">
        <w:t>), que predominou sobre as nativas, podendo estar exercendo pressão negativa sobre aquelas espécies.</w:t>
      </w:r>
    </w:p>
    <w:p w:rsidR="00136188" w:rsidRPr="00E551CF" w:rsidRDefault="00136188" w:rsidP="00136188">
      <w:pPr>
        <w:pStyle w:val="Quadro"/>
        <w:rPr>
          <w:color w:val="000000"/>
        </w:rPr>
      </w:pPr>
      <w:r>
        <w:t>Figura 6.4.5-27. Bentos no reservatório Jaguari (CESP). 2012</w:t>
      </w:r>
    </w:p>
    <w:p w:rsidR="00A3404A" w:rsidRDefault="00E551CF" w:rsidP="00136188">
      <w:pPr>
        <w:jc w:val="center"/>
      </w:pPr>
      <w:r w:rsidRPr="00E551CF">
        <w:rPr>
          <w:noProof/>
          <w:lang w:eastAsia="pt-BR"/>
        </w:rPr>
        <w:drawing>
          <wp:inline distT="0" distB="0" distL="0" distR="0" wp14:anchorId="1FB22CB3" wp14:editId="11698C3F">
            <wp:extent cx="5337091" cy="1109980"/>
            <wp:effectExtent l="0" t="0" r="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9" cstate="print">
                      <a:extLst>
                        <a:ext uri="{28A0092B-C50C-407E-A947-70E740481C1C}">
                          <a14:useLocalDpi xmlns:a14="http://schemas.microsoft.com/office/drawing/2010/main" val="0"/>
                        </a:ext>
                      </a:extLst>
                    </a:blip>
                    <a:srcRect t="18999" r="28920"/>
                    <a:stretch/>
                  </pic:blipFill>
                  <pic:spPr bwMode="auto">
                    <a:xfrm>
                      <a:off x="0" y="0"/>
                      <a:ext cx="5363575" cy="1115488"/>
                    </a:xfrm>
                    <a:prstGeom prst="rect">
                      <a:avLst/>
                    </a:prstGeom>
                    <a:noFill/>
                    <a:ln>
                      <a:noFill/>
                    </a:ln>
                    <a:extLst>
                      <a:ext uri="{53640926-AAD7-44D8-BBD7-CCE9431645EC}">
                        <a14:shadowObscured xmlns:a14="http://schemas.microsoft.com/office/drawing/2010/main"/>
                      </a:ext>
                    </a:extLst>
                  </pic:spPr>
                </pic:pic>
              </a:graphicData>
            </a:graphic>
          </wp:inline>
        </w:drawing>
      </w:r>
    </w:p>
    <w:p w:rsidR="00E551CF" w:rsidRPr="00A3404A" w:rsidRDefault="00E551CF" w:rsidP="00E551CF">
      <w:pPr>
        <w:rPr>
          <w:sz w:val="18"/>
          <w:szCs w:val="18"/>
        </w:rPr>
      </w:pPr>
      <w:r w:rsidRPr="00E551CF">
        <w:t xml:space="preserve">Fonte: </w:t>
      </w:r>
      <w:r w:rsidRPr="00A3404A">
        <w:rPr>
          <w:sz w:val="18"/>
          <w:szCs w:val="18"/>
        </w:rPr>
        <w:t>CETESB (2013)</w:t>
      </w:r>
    </w:p>
    <w:p w:rsidR="00E551CF" w:rsidRDefault="00E551CF" w:rsidP="00E551CF">
      <w:pPr>
        <w:rPr>
          <w:color w:val="000000"/>
        </w:rPr>
      </w:pPr>
      <w:r w:rsidRPr="00E551CF">
        <w:t>Em 2013 (CETESB, 2014),</w:t>
      </w:r>
      <w:r w:rsidRPr="00E551CF">
        <w:rPr>
          <w:color w:val="000000"/>
        </w:rPr>
        <w:t xml:space="preserve"> a região sublitoral obteve classificação ÓTIMA. A comunidade apresentou dominância de organismos semi-tolerantes, elevadas riqueza e diversidade e foram observados, no local, organismos de maior sensibilidade à degradação. A alta densi</w:t>
      </w:r>
      <w:r w:rsidRPr="00E551CF">
        <w:rPr>
          <w:color w:val="000000"/>
        </w:rPr>
        <w:softHyphen/>
        <w:t>dade de organismos observada na região profundal (superior a 3,0 x 10</w:t>
      </w:r>
      <w:r w:rsidRPr="00E551CF">
        <w:rPr>
          <w:rStyle w:val="A12"/>
          <w:rFonts w:cs="Arial"/>
          <w:sz w:val="22"/>
          <w:szCs w:val="22"/>
          <w:vertAlign w:val="superscript"/>
        </w:rPr>
        <w:t>4</w:t>
      </w:r>
      <w:r w:rsidRPr="00E551CF">
        <w:rPr>
          <w:rStyle w:val="A12"/>
          <w:rFonts w:cs="Arial"/>
          <w:sz w:val="22"/>
          <w:szCs w:val="22"/>
        </w:rPr>
        <w:t xml:space="preserve"> </w:t>
      </w:r>
      <w:r w:rsidRPr="00E551CF">
        <w:rPr>
          <w:color w:val="000000"/>
        </w:rPr>
        <w:t>org.m</w:t>
      </w:r>
      <w:r w:rsidRPr="00E551CF">
        <w:rPr>
          <w:rStyle w:val="A12"/>
          <w:rFonts w:cs="Arial"/>
          <w:sz w:val="22"/>
          <w:szCs w:val="22"/>
          <w:vertAlign w:val="superscript"/>
        </w:rPr>
        <w:t>-2</w:t>
      </w:r>
      <w:r w:rsidRPr="00E551CF">
        <w:rPr>
          <w:color w:val="000000"/>
        </w:rPr>
        <w:t>) mostra ser este ambiente altamente produtivo e/ou acumulador de matéria orgânica. No entanto, riqueza e diversidade relativamente altas (considerando-se que se trata de região profundal de reservatório), associadas a baixa dominância de espécies tolerantes, contribuíram para que a região profundal fosse classificada como BOA. Em 2012 o Reservatório Jaguari apresentou a mesma classificação para as regiões sublitoral e profundal, contudo em local di</w:t>
      </w:r>
      <w:r w:rsidR="00136188">
        <w:rPr>
          <w:color w:val="000000"/>
        </w:rPr>
        <w:t>ferente deste coletado em 2013.</w:t>
      </w:r>
    </w:p>
    <w:p w:rsidR="00136188" w:rsidRPr="00E551CF" w:rsidRDefault="00136188" w:rsidP="00136188">
      <w:pPr>
        <w:pStyle w:val="Quadro"/>
        <w:rPr>
          <w:color w:val="000000"/>
        </w:rPr>
      </w:pPr>
      <w:r>
        <w:t>Figura 6.4.5-28. Bentos no reservatório Jaguari (CESP). 2013</w:t>
      </w:r>
    </w:p>
    <w:p w:rsidR="00A3404A" w:rsidRDefault="00E551CF" w:rsidP="00136188">
      <w:pPr>
        <w:jc w:val="center"/>
      </w:pPr>
      <w:r w:rsidRPr="00E551CF">
        <w:rPr>
          <w:noProof/>
          <w:lang w:eastAsia="pt-BR"/>
        </w:rPr>
        <w:drawing>
          <wp:inline distT="0" distB="0" distL="0" distR="0" wp14:anchorId="19360FBA" wp14:editId="4A0606F2">
            <wp:extent cx="5286831" cy="988828"/>
            <wp:effectExtent l="0" t="0" r="0" b="1905"/>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0" cstate="print">
                      <a:extLst>
                        <a:ext uri="{28A0092B-C50C-407E-A947-70E740481C1C}">
                          <a14:useLocalDpi xmlns:a14="http://schemas.microsoft.com/office/drawing/2010/main" val="0"/>
                        </a:ext>
                      </a:extLst>
                    </a:blip>
                    <a:srcRect l="6306" t="34908" r="24982"/>
                    <a:stretch/>
                  </pic:blipFill>
                  <pic:spPr bwMode="auto">
                    <a:xfrm>
                      <a:off x="0" y="0"/>
                      <a:ext cx="5313145" cy="993750"/>
                    </a:xfrm>
                    <a:prstGeom prst="rect">
                      <a:avLst/>
                    </a:prstGeom>
                    <a:noFill/>
                    <a:ln>
                      <a:noFill/>
                    </a:ln>
                    <a:extLst>
                      <a:ext uri="{53640926-AAD7-44D8-BBD7-CCE9431645EC}">
                        <a14:shadowObscured xmlns:a14="http://schemas.microsoft.com/office/drawing/2010/main"/>
                      </a:ext>
                    </a:extLst>
                  </pic:spPr>
                </pic:pic>
              </a:graphicData>
            </a:graphic>
          </wp:inline>
        </w:drawing>
      </w:r>
    </w:p>
    <w:p w:rsidR="00E551CF" w:rsidRPr="00A3404A" w:rsidRDefault="00E551CF" w:rsidP="00E551CF">
      <w:pPr>
        <w:rPr>
          <w:sz w:val="18"/>
          <w:szCs w:val="18"/>
        </w:rPr>
      </w:pPr>
      <w:r w:rsidRPr="00A3404A">
        <w:rPr>
          <w:sz w:val="18"/>
          <w:szCs w:val="18"/>
        </w:rPr>
        <w:t>Fonte: CETESB (2014)</w:t>
      </w:r>
    </w:p>
    <w:p w:rsidR="00E8585F" w:rsidRDefault="00E8585F" w:rsidP="00E8585F">
      <w:r w:rsidRPr="0057278C">
        <w:t xml:space="preserve">A comunidade </w:t>
      </w:r>
      <w:r w:rsidRPr="00E551CF">
        <w:t xml:space="preserve">de macroinvertebrados bentônicos </w:t>
      </w:r>
      <w:r w:rsidRPr="0057278C">
        <w:t xml:space="preserve">do </w:t>
      </w:r>
      <w:r>
        <w:t>r</w:t>
      </w:r>
      <w:r w:rsidRPr="0057278C">
        <w:t xml:space="preserve">eservatório Jaguari/CESP foi </w:t>
      </w:r>
      <w:r>
        <w:t xml:space="preserve">amostrada </w:t>
      </w:r>
      <w:r w:rsidRPr="0057278C">
        <w:t xml:space="preserve">no ponto IG-101A </w:t>
      </w:r>
      <w:r>
        <w:t xml:space="preserve">(altura da captação prevista) </w:t>
      </w:r>
      <w:r w:rsidRPr="0057278C">
        <w:t>em coleta</w:t>
      </w:r>
      <w:r>
        <w:t xml:space="preserve"> realizada</w:t>
      </w:r>
      <w:r w:rsidRPr="0057278C">
        <w:t xml:space="preserve"> em 07/</w:t>
      </w:r>
      <w:r>
        <w:t>01</w:t>
      </w:r>
      <w:r w:rsidRPr="0057278C">
        <w:t xml:space="preserve">/2015. </w:t>
      </w:r>
      <w:r w:rsidRPr="00E551CF">
        <w:rPr>
          <w:spacing w:val="-1"/>
        </w:rPr>
        <w:t>Foram amostrados 3 locais próximos nesse ponto, constituindo, por conseguinte, tréplica.</w:t>
      </w:r>
    </w:p>
    <w:p w:rsidR="00E8585F" w:rsidRDefault="00E8585F" w:rsidP="00E8585F">
      <w:r w:rsidRPr="00B30587">
        <w:t xml:space="preserve">A análise indicou a </w:t>
      </w:r>
      <w:r w:rsidRPr="0057278C">
        <w:t>presença</w:t>
      </w:r>
      <w:r w:rsidR="00E4778B">
        <w:t xml:space="preserve"> de duas espécies:</w:t>
      </w:r>
      <w:r w:rsidRPr="00B30587">
        <w:t xml:space="preserve"> o molusco </w:t>
      </w:r>
      <w:r w:rsidRPr="0057278C">
        <w:rPr>
          <w:i/>
          <w:u w:val="single"/>
        </w:rPr>
        <w:t>Melanoides tuberculatus sp</w:t>
      </w:r>
      <w:r>
        <w:rPr>
          <w:u w:val="single"/>
        </w:rPr>
        <w:t xml:space="preserve"> com </w:t>
      </w:r>
      <w:r w:rsidRPr="0057278C">
        <w:rPr>
          <w:u w:val="single"/>
        </w:rPr>
        <w:t>densidade média de 30,</w:t>
      </w:r>
      <w:r w:rsidR="00330B1C">
        <w:rPr>
          <w:u w:val="single"/>
        </w:rPr>
        <w:t>5</w:t>
      </w:r>
      <w:r w:rsidRPr="0057278C">
        <w:rPr>
          <w:u w:val="single"/>
        </w:rPr>
        <w:t xml:space="preserve"> org/m</w:t>
      </w:r>
      <w:r w:rsidRPr="0057278C">
        <w:rPr>
          <w:u w:val="single"/>
          <w:vertAlign w:val="superscript"/>
        </w:rPr>
        <w:t>2</w:t>
      </w:r>
      <w:r w:rsidRPr="0057278C">
        <w:rPr>
          <w:u w:val="single"/>
        </w:rPr>
        <w:t xml:space="preserve"> e </w:t>
      </w:r>
      <w:r>
        <w:rPr>
          <w:u w:val="single"/>
        </w:rPr>
        <w:t xml:space="preserve">um inseto hemíptero </w:t>
      </w:r>
      <w:r w:rsidRPr="00E4284F">
        <w:rPr>
          <w:u w:val="single"/>
        </w:rPr>
        <w:t>corixida</w:t>
      </w:r>
      <w:r>
        <w:rPr>
          <w:u w:val="single"/>
        </w:rPr>
        <w:t xml:space="preserve">, </w:t>
      </w:r>
      <w:r w:rsidRPr="00E4284F">
        <w:rPr>
          <w:u w:val="single"/>
        </w:rPr>
        <w:t>com</w:t>
      </w:r>
      <w:r>
        <w:rPr>
          <w:u w:val="single"/>
        </w:rPr>
        <w:t xml:space="preserve"> densidade de 15,</w:t>
      </w:r>
      <w:r w:rsidRPr="0057278C">
        <w:rPr>
          <w:u w:val="single"/>
        </w:rPr>
        <w:t>2 org/m</w:t>
      </w:r>
      <w:r w:rsidRPr="0057278C">
        <w:rPr>
          <w:u w:val="single"/>
          <w:vertAlign w:val="superscript"/>
        </w:rPr>
        <w:t>2</w:t>
      </w:r>
      <w:r w:rsidRPr="00B22B5F">
        <w:rPr>
          <w:i/>
        </w:rPr>
        <w:t>.</w:t>
      </w:r>
      <w:r w:rsidR="00330B1C">
        <w:t xml:space="preserve"> </w:t>
      </w:r>
      <w:r>
        <w:t xml:space="preserve">Os resultados obtidos estão na </w:t>
      </w:r>
      <w:r w:rsidRPr="00E4284F">
        <w:rPr>
          <w:b/>
        </w:rPr>
        <w:t>Tabela 6.4.5-</w:t>
      </w:r>
      <w:r w:rsidR="00E4778B">
        <w:rPr>
          <w:b/>
        </w:rPr>
        <w:t>2</w:t>
      </w:r>
      <w:r w:rsidRPr="00E4284F">
        <w:rPr>
          <w:b/>
        </w:rPr>
        <w:t>1</w:t>
      </w:r>
      <w:r>
        <w:t>, a seguir:</w:t>
      </w:r>
    </w:p>
    <w:p w:rsidR="00E8585F" w:rsidRDefault="00E8585F" w:rsidP="00E8585F">
      <w:pPr>
        <w:pStyle w:val="Quadro"/>
      </w:pPr>
      <w:r>
        <w:t>Tabela 6.4.5-</w:t>
      </w:r>
      <w:r w:rsidR="00E4778B">
        <w:t>2</w:t>
      </w:r>
      <w:r>
        <w:t>1. Macroinvertebrados Bentônicos. Reservatório Jaguari</w:t>
      </w:r>
      <w:r w:rsidR="00E4778B">
        <w:t xml:space="preserve"> (PS)</w:t>
      </w:r>
      <w:r>
        <w:t>. IG-101A</w:t>
      </w:r>
    </w:p>
    <w:tbl>
      <w:tblPr>
        <w:tblW w:w="8080"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253"/>
        <w:gridCol w:w="1276"/>
        <w:gridCol w:w="1275"/>
        <w:gridCol w:w="1276"/>
      </w:tblGrid>
      <w:tr w:rsidR="00E8585F" w:rsidRPr="00B22B5F" w:rsidTr="00011143">
        <w:trPr>
          <w:cantSplit/>
          <w:trHeight w:val="255"/>
          <w:tblHeader/>
          <w:jc w:val="center"/>
        </w:trPr>
        <w:tc>
          <w:tcPr>
            <w:tcW w:w="8080" w:type="dxa"/>
            <w:gridSpan w:val="4"/>
            <w:shd w:val="clear" w:color="auto" w:fill="BFBFBF" w:themeFill="background1" w:themeFillShade="BF"/>
            <w:noWrap/>
            <w:vAlign w:val="center"/>
            <w:hideMark/>
          </w:tcPr>
          <w:p w:rsidR="00E8585F" w:rsidRPr="00B22B5F" w:rsidRDefault="00E8585F" w:rsidP="00045D13">
            <w:pPr>
              <w:spacing w:after="0"/>
              <w:jc w:val="center"/>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ANÁLISE QUANTITAVA</w:t>
            </w:r>
          </w:p>
        </w:tc>
      </w:tr>
      <w:tr w:rsidR="00E8585F" w:rsidRPr="00B22B5F" w:rsidTr="00011143">
        <w:trPr>
          <w:cantSplit/>
          <w:trHeight w:val="255"/>
          <w:tblHeader/>
          <w:jc w:val="center"/>
        </w:trPr>
        <w:tc>
          <w:tcPr>
            <w:tcW w:w="4253" w:type="dxa"/>
            <w:shd w:val="clear" w:color="auto" w:fill="BFBFBF" w:themeFill="background1" w:themeFillShade="BF"/>
            <w:vAlign w:val="center"/>
            <w:hideMark/>
          </w:tcPr>
          <w:p w:rsidR="00E8585F" w:rsidRPr="00B22B5F" w:rsidRDefault="00E8585F" w:rsidP="00045D13">
            <w:pPr>
              <w:spacing w:after="0"/>
              <w:ind w:firstLineChars="300" w:firstLine="482"/>
              <w:jc w:val="left"/>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Identificação</w:t>
            </w:r>
          </w:p>
        </w:tc>
        <w:tc>
          <w:tcPr>
            <w:tcW w:w="1276" w:type="dxa"/>
            <w:shd w:val="clear" w:color="auto" w:fill="BFBFBF" w:themeFill="background1" w:themeFillShade="BF"/>
            <w:vAlign w:val="center"/>
            <w:hideMark/>
          </w:tcPr>
          <w:p w:rsidR="00E8585F" w:rsidRPr="00B22B5F" w:rsidRDefault="00E8585F" w:rsidP="00045D13">
            <w:pPr>
              <w:spacing w:after="0"/>
              <w:jc w:val="center"/>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P-R1</w:t>
            </w:r>
          </w:p>
        </w:tc>
        <w:tc>
          <w:tcPr>
            <w:tcW w:w="1275" w:type="dxa"/>
            <w:shd w:val="clear" w:color="auto" w:fill="BFBFBF" w:themeFill="background1" w:themeFillShade="BF"/>
            <w:vAlign w:val="center"/>
            <w:hideMark/>
          </w:tcPr>
          <w:p w:rsidR="00E8585F" w:rsidRPr="00B22B5F" w:rsidRDefault="00E8585F" w:rsidP="00045D13">
            <w:pPr>
              <w:spacing w:after="0"/>
              <w:jc w:val="center"/>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P-R2</w:t>
            </w:r>
          </w:p>
        </w:tc>
        <w:tc>
          <w:tcPr>
            <w:tcW w:w="1276" w:type="dxa"/>
            <w:shd w:val="clear" w:color="auto" w:fill="BFBFBF" w:themeFill="background1" w:themeFillShade="BF"/>
            <w:vAlign w:val="center"/>
            <w:hideMark/>
          </w:tcPr>
          <w:p w:rsidR="00E8585F" w:rsidRPr="00B22B5F" w:rsidRDefault="00E8585F" w:rsidP="00045D13">
            <w:pPr>
              <w:spacing w:after="0"/>
              <w:jc w:val="center"/>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P-R3</w:t>
            </w:r>
          </w:p>
        </w:tc>
      </w:tr>
      <w:tr w:rsidR="00E8585F" w:rsidRPr="00B22B5F" w:rsidTr="00045D13">
        <w:trPr>
          <w:cantSplit/>
          <w:trHeight w:val="255"/>
          <w:jc w:val="center"/>
        </w:trPr>
        <w:tc>
          <w:tcPr>
            <w:tcW w:w="4253" w:type="dxa"/>
            <w:shd w:val="clear" w:color="auto" w:fill="auto"/>
            <w:vAlign w:val="center"/>
            <w:hideMark/>
          </w:tcPr>
          <w:p w:rsidR="00E8585F" w:rsidRPr="00B22B5F" w:rsidRDefault="00E8585F" w:rsidP="00045D13">
            <w:pPr>
              <w:spacing w:after="0"/>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MOLLUSCA</w:t>
            </w:r>
          </w:p>
        </w:tc>
        <w:tc>
          <w:tcPr>
            <w:tcW w:w="1276"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val="en-US" w:eastAsia="pt-BR"/>
              </w:rPr>
              <w:t> </w:t>
            </w:r>
          </w:p>
        </w:tc>
        <w:tc>
          <w:tcPr>
            <w:tcW w:w="1275"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pacing w:val="-1"/>
                <w:sz w:val="16"/>
                <w:szCs w:val="16"/>
                <w:lang w:val="en-US" w:eastAsia="pt-BR"/>
              </w:rPr>
              <w:t> </w:t>
            </w:r>
          </w:p>
        </w:tc>
        <w:tc>
          <w:tcPr>
            <w:tcW w:w="1276"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 </w:t>
            </w:r>
          </w:p>
        </w:tc>
      </w:tr>
      <w:tr w:rsidR="00E8585F" w:rsidRPr="00B22B5F" w:rsidTr="00045D13">
        <w:trPr>
          <w:cantSplit/>
          <w:trHeight w:val="255"/>
          <w:jc w:val="center"/>
        </w:trPr>
        <w:tc>
          <w:tcPr>
            <w:tcW w:w="4253" w:type="dxa"/>
            <w:shd w:val="clear" w:color="auto" w:fill="auto"/>
            <w:vAlign w:val="center"/>
            <w:hideMark/>
          </w:tcPr>
          <w:p w:rsidR="00E8585F" w:rsidRPr="00B22B5F" w:rsidRDefault="00E8585F" w:rsidP="00045D13">
            <w:pPr>
              <w:spacing w:after="0"/>
              <w:ind w:firstLineChars="300" w:firstLine="482"/>
              <w:jc w:val="left"/>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Classe Gastropoda</w:t>
            </w:r>
          </w:p>
        </w:tc>
        <w:tc>
          <w:tcPr>
            <w:tcW w:w="1276"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 </w:t>
            </w:r>
          </w:p>
        </w:tc>
        <w:tc>
          <w:tcPr>
            <w:tcW w:w="1275"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 </w:t>
            </w:r>
          </w:p>
        </w:tc>
        <w:tc>
          <w:tcPr>
            <w:tcW w:w="1276"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 </w:t>
            </w:r>
          </w:p>
        </w:tc>
      </w:tr>
      <w:tr w:rsidR="00E8585F" w:rsidRPr="00B22B5F" w:rsidTr="00045D13">
        <w:trPr>
          <w:cantSplit/>
          <w:trHeight w:val="255"/>
          <w:jc w:val="center"/>
        </w:trPr>
        <w:tc>
          <w:tcPr>
            <w:tcW w:w="4253" w:type="dxa"/>
            <w:shd w:val="clear" w:color="auto" w:fill="auto"/>
            <w:vAlign w:val="center"/>
            <w:hideMark/>
          </w:tcPr>
          <w:p w:rsidR="00E8585F" w:rsidRPr="00B22B5F" w:rsidRDefault="00E8585F" w:rsidP="00045D13">
            <w:pPr>
              <w:spacing w:after="0"/>
              <w:ind w:firstLineChars="400" w:firstLine="640"/>
              <w:jc w:val="left"/>
              <w:rPr>
                <w:rFonts w:eastAsia="Times New Roman" w:cs="Arial"/>
                <w:color w:val="000000"/>
                <w:sz w:val="16"/>
                <w:szCs w:val="16"/>
                <w:lang w:eastAsia="pt-BR"/>
              </w:rPr>
            </w:pPr>
            <w:r w:rsidRPr="00B22B5F">
              <w:rPr>
                <w:rFonts w:eastAsia="Times New Roman" w:cs="Arial"/>
                <w:color w:val="000000"/>
                <w:sz w:val="16"/>
                <w:szCs w:val="16"/>
                <w:lang w:val="en-US" w:eastAsia="pt-BR"/>
              </w:rPr>
              <w:t>Ordem Thiaridae</w:t>
            </w:r>
          </w:p>
        </w:tc>
        <w:tc>
          <w:tcPr>
            <w:tcW w:w="1276"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 </w:t>
            </w:r>
          </w:p>
        </w:tc>
        <w:tc>
          <w:tcPr>
            <w:tcW w:w="1275"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 </w:t>
            </w:r>
          </w:p>
        </w:tc>
        <w:tc>
          <w:tcPr>
            <w:tcW w:w="1276"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 </w:t>
            </w:r>
          </w:p>
        </w:tc>
      </w:tr>
      <w:tr w:rsidR="00E8585F" w:rsidRPr="00B22B5F" w:rsidTr="00045D13">
        <w:trPr>
          <w:cantSplit/>
          <w:trHeight w:val="255"/>
          <w:jc w:val="center"/>
        </w:trPr>
        <w:tc>
          <w:tcPr>
            <w:tcW w:w="4253"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val="en-US" w:eastAsia="pt-BR"/>
              </w:rPr>
              <w:t>Melanoides tuberculatus</w:t>
            </w:r>
          </w:p>
        </w:tc>
        <w:tc>
          <w:tcPr>
            <w:tcW w:w="1276"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pacing w:val="-1"/>
                <w:sz w:val="16"/>
                <w:szCs w:val="16"/>
                <w:lang w:val="en-US" w:eastAsia="pt-BR"/>
              </w:rPr>
              <w:t>45,73</w:t>
            </w:r>
          </w:p>
        </w:tc>
        <w:tc>
          <w:tcPr>
            <w:tcW w:w="1275"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15,24</w:t>
            </w:r>
          </w:p>
        </w:tc>
        <w:tc>
          <w:tcPr>
            <w:tcW w:w="1276"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30,48</w:t>
            </w:r>
          </w:p>
        </w:tc>
      </w:tr>
      <w:tr w:rsidR="00E8585F" w:rsidRPr="00B22B5F" w:rsidTr="00045D13">
        <w:trPr>
          <w:cantSplit/>
          <w:trHeight w:val="255"/>
          <w:jc w:val="center"/>
        </w:trPr>
        <w:tc>
          <w:tcPr>
            <w:tcW w:w="4253" w:type="dxa"/>
            <w:shd w:val="clear" w:color="auto" w:fill="auto"/>
            <w:vAlign w:val="center"/>
            <w:hideMark/>
          </w:tcPr>
          <w:p w:rsidR="00E8585F" w:rsidRPr="00B22B5F" w:rsidRDefault="00E8585F" w:rsidP="00045D13">
            <w:pPr>
              <w:spacing w:after="0"/>
              <w:jc w:val="left"/>
              <w:rPr>
                <w:rFonts w:eastAsia="Times New Roman" w:cs="Arial"/>
                <w:b/>
                <w:bCs/>
                <w:color w:val="000000"/>
                <w:sz w:val="16"/>
                <w:szCs w:val="16"/>
                <w:lang w:eastAsia="pt-BR"/>
              </w:rPr>
            </w:pPr>
            <w:r w:rsidRPr="00B22B5F">
              <w:rPr>
                <w:rFonts w:eastAsia="Times New Roman" w:cs="Arial"/>
                <w:b/>
                <w:bCs/>
                <w:color w:val="000000"/>
                <w:sz w:val="16"/>
                <w:szCs w:val="16"/>
                <w:lang w:eastAsia="pt-BR"/>
              </w:rPr>
              <w:t>ARTHROPODA</w:t>
            </w:r>
          </w:p>
        </w:tc>
        <w:tc>
          <w:tcPr>
            <w:tcW w:w="1276"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 </w:t>
            </w:r>
          </w:p>
        </w:tc>
        <w:tc>
          <w:tcPr>
            <w:tcW w:w="1275"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 </w:t>
            </w:r>
          </w:p>
        </w:tc>
        <w:tc>
          <w:tcPr>
            <w:tcW w:w="1276"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 </w:t>
            </w:r>
          </w:p>
        </w:tc>
      </w:tr>
      <w:tr w:rsidR="00E8585F" w:rsidRPr="00B22B5F" w:rsidTr="00045D13">
        <w:trPr>
          <w:cantSplit/>
          <w:trHeight w:val="255"/>
          <w:jc w:val="center"/>
        </w:trPr>
        <w:tc>
          <w:tcPr>
            <w:tcW w:w="4253" w:type="dxa"/>
            <w:shd w:val="clear" w:color="auto" w:fill="auto"/>
            <w:vAlign w:val="center"/>
            <w:hideMark/>
          </w:tcPr>
          <w:p w:rsidR="00E8585F" w:rsidRPr="00B22B5F" w:rsidRDefault="00E8585F" w:rsidP="00045D13">
            <w:pPr>
              <w:spacing w:after="0"/>
              <w:ind w:firstLineChars="400" w:firstLine="643"/>
              <w:jc w:val="left"/>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Classe Insecta</w:t>
            </w:r>
          </w:p>
        </w:tc>
        <w:tc>
          <w:tcPr>
            <w:tcW w:w="1276"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 </w:t>
            </w:r>
          </w:p>
        </w:tc>
        <w:tc>
          <w:tcPr>
            <w:tcW w:w="1275"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 </w:t>
            </w:r>
          </w:p>
        </w:tc>
        <w:tc>
          <w:tcPr>
            <w:tcW w:w="1276"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 </w:t>
            </w:r>
          </w:p>
        </w:tc>
      </w:tr>
      <w:tr w:rsidR="00E8585F" w:rsidRPr="00B22B5F" w:rsidTr="00045D13">
        <w:trPr>
          <w:cantSplit/>
          <w:trHeight w:val="255"/>
          <w:jc w:val="center"/>
        </w:trPr>
        <w:tc>
          <w:tcPr>
            <w:tcW w:w="4253" w:type="dxa"/>
            <w:shd w:val="clear" w:color="auto" w:fill="auto"/>
            <w:vAlign w:val="center"/>
            <w:hideMark/>
          </w:tcPr>
          <w:p w:rsidR="00E8585F" w:rsidRPr="00B22B5F" w:rsidRDefault="00E8585F" w:rsidP="00045D13">
            <w:pPr>
              <w:spacing w:after="0"/>
              <w:ind w:firstLineChars="300" w:firstLine="477"/>
              <w:jc w:val="left"/>
              <w:rPr>
                <w:rFonts w:eastAsia="Times New Roman" w:cs="Arial"/>
                <w:color w:val="000000"/>
                <w:sz w:val="16"/>
                <w:szCs w:val="16"/>
                <w:lang w:eastAsia="pt-BR"/>
              </w:rPr>
            </w:pPr>
            <w:r w:rsidRPr="00B22B5F">
              <w:rPr>
                <w:rFonts w:eastAsia="Times New Roman" w:cs="Arial"/>
                <w:color w:val="000000"/>
                <w:spacing w:val="-1"/>
                <w:sz w:val="16"/>
                <w:szCs w:val="16"/>
                <w:lang w:val="en-US" w:eastAsia="pt-BR"/>
              </w:rPr>
              <w:t>Ordem Hemiptera</w:t>
            </w:r>
          </w:p>
        </w:tc>
        <w:tc>
          <w:tcPr>
            <w:tcW w:w="1276"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 </w:t>
            </w:r>
          </w:p>
        </w:tc>
        <w:tc>
          <w:tcPr>
            <w:tcW w:w="1275"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 </w:t>
            </w:r>
          </w:p>
        </w:tc>
        <w:tc>
          <w:tcPr>
            <w:tcW w:w="1276" w:type="dxa"/>
            <w:shd w:val="clear" w:color="auto" w:fill="auto"/>
            <w:noWrap/>
            <w:vAlign w:val="bottom"/>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eastAsia="pt-BR"/>
              </w:rPr>
              <w:t> </w:t>
            </w:r>
          </w:p>
        </w:tc>
      </w:tr>
      <w:tr w:rsidR="00E8585F" w:rsidRPr="00B22B5F" w:rsidTr="00045D13">
        <w:trPr>
          <w:cantSplit/>
          <w:trHeight w:val="255"/>
          <w:jc w:val="center"/>
        </w:trPr>
        <w:tc>
          <w:tcPr>
            <w:tcW w:w="4253" w:type="dxa"/>
            <w:shd w:val="clear" w:color="auto" w:fill="auto"/>
            <w:vAlign w:val="center"/>
            <w:hideMark/>
          </w:tcPr>
          <w:p w:rsidR="00E8585F" w:rsidRPr="00B22B5F" w:rsidRDefault="00E8585F" w:rsidP="00045D13">
            <w:pPr>
              <w:spacing w:after="0"/>
              <w:ind w:firstLineChars="400" w:firstLine="640"/>
              <w:jc w:val="left"/>
              <w:rPr>
                <w:rFonts w:eastAsia="Times New Roman" w:cs="Arial"/>
                <w:color w:val="000000"/>
                <w:sz w:val="16"/>
                <w:szCs w:val="16"/>
                <w:lang w:eastAsia="pt-BR"/>
              </w:rPr>
            </w:pPr>
            <w:r w:rsidRPr="00B22B5F">
              <w:rPr>
                <w:rFonts w:eastAsia="Times New Roman" w:cs="Arial"/>
                <w:color w:val="000000"/>
                <w:sz w:val="16"/>
                <w:szCs w:val="16"/>
                <w:lang w:val="en-US" w:eastAsia="pt-BR"/>
              </w:rPr>
              <w:t>Família Corixidae</w:t>
            </w:r>
          </w:p>
        </w:tc>
        <w:tc>
          <w:tcPr>
            <w:tcW w:w="1276" w:type="dxa"/>
            <w:shd w:val="clear" w:color="auto" w:fill="auto"/>
            <w:vAlign w:val="center"/>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val="en-US" w:eastAsia="pt-BR"/>
              </w:rPr>
              <w:t>-</w:t>
            </w:r>
          </w:p>
        </w:tc>
        <w:tc>
          <w:tcPr>
            <w:tcW w:w="1275" w:type="dxa"/>
            <w:shd w:val="clear" w:color="auto" w:fill="auto"/>
            <w:vAlign w:val="center"/>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val="en-US" w:eastAsia="pt-BR"/>
              </w:rPr>
              <w:t>15,24</w:t>
            </w:r>
          </w:p>
        </w:tc>
        <w:tc>
          <w:tcPr>
            <w:tcW w:w="1276" w:type="dxa"/>
            <w:shd w:val="clear" w:color="auto" w:fill="auto"/>
            <w:vAlign w:val="center"/>
            <w:hideMark/>
          </w:tcPr>
          <w:p w:rsidR="00E8585F" w:rsidRPr="00B22B5F" w:rsidRDefault="00E8585F" w:rsidP="00045D13">
            <w:pPr>
              <w:spacing w:after="0"/>
              <w:jc w:val="center"/>
              <w:rPr>
                <w:rFonts w:eastAsia="Times New Roman" w:cs="Arial"/>
                <w:color w:val="000000"/>
                <w:sz w:val="16"/>
                <w:szCs w:val="16"/>
                <w:lang w:eastAsia="pt-BR"/>
              </w:rPr>
            </w:pPr>
            <w:r w:rsidRPr="00B22B5F">
              <w:rPr>
                <w:rFonts w:eastAsia="Times New Roman" w:cs="Arial"/>
                <w:color w:val="000000"/>
                <w:sz w:val="16"/>
                <w:szCs w:val="16"/>
                <w:lang w:val="en-US" w:eastAsia="pt-BR"/>
              </w:rPr>
              <w:t>-</w:t>
            </w:r>
          </w:p>
        </w:tc>
      </w:tr>
      <w:tr w:rsidR="00E8585F" w:rsidRPr="00B22B5F" w:rsidTr="00045D13">
        <w:trPr>
          <w:cantSplit/>
          <w:trHeight w:val="255"/>
          <w:jc w:val="center"/>
        </w:trPr>
        <w:tc>
          <w:tcPr>
            <w:tcW w:w="4253" w:type="dxa"/>
            <w:shd w:val="clear" w:color="auto" w:fill="auto"/>
            <w:vAlign w:val="center"/>
            <w:hideMark/>
          </w:tcPr>
          <w:p w:rsidR="00E8585F" w:rsidRPr="00B22B5F" w:rsidRDefault="00E8585F" w:rsidP="00045D13">
            <w:pPr>
              <w:spacing w:after="0"/>
              <w:jc w:val="left"/>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Densidade total (org.m-²)</w:t>
            </w:r>
          </w:p>
        </w:tc>
        <w:tc>
          <w:tcPr>
            <w:tcW w:w="1276" w:type="dxa"/>
            <w:shd w:val="clear" w:color="auto" w:fill="auto"/>
            <w:vAlign w:val="center"/>
            <w:hideMark/>
          </w:tcPr>
          <w:p w:rsidR="00E8585F" w:rsidRPr="00B22B5F" w:rsidRDefault="00E8585F" w:rsidP="00045D13">
            <w:pPr>
              <w:spacing w:after="0"/>
              <w:jc w:val="center"/>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45,73</w:t>
            </w:r>
          </w:p>
        </w:tc>
        <w:tc>
          <w:tcPr>
            <w:tcW w:w="1275" w:type="dxa"/>
            <w:shd w:val="clear" w:color="auto" w:fill="auto"/>
            <w:vAlign w:val="center"/>
            <w:hideMark/>
          </w:tcPr>
          <w:p w:rsidR="00E8585F" w:rsidRPr="00B22B5F" w:rsidRDefault="00E8585F" w:rsidP="00045D13">
            <w:pPr>
              <w:spacing w:after="0"/>
              <w:jc w:val="center"/>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30,48</w:t>
            </w:r>
          </w:p>
        </w:tc>
        <w:tc>
          <w:tcPr>
            <w:tcW w:w="1276" w:type="dxa"/>
            <w:shd w:val="clear" w:color="auto" w:fill="auto"/>
            <w:vAlign w:val="center"/>
            <w:hideMark/>
          </w:tcPr>
          <w:p w:rsidR="00E8585F" w:rsidRPr="00B22B5F" w:rsidRDefault="00E8585F" w:rsidP="00045D13">
            <w:pPr>
              <w:spacing w:after="0"/>
              <w:jc w:val="center"/>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30,48</w:t>
            </w:r>
          </w:p>
        </w:tc>
      </w:tr>
      <w:tr w:rsidR="00E8585F" w:rsidRPr="00B22B5F" w:rsidTr="00045D13">
        <w:trPr>
          <w:cantSplit/>
          <w:trHeight w:val="255"/>
          <w:jc w:val="center"/>
        </w:trPr>
        <w:tc>
          <w:tcPr>
            <w:tcW w:w="4253" w:type="dxa"/>
            <w:shd w:val="clear" w:color="auto" w:fill="auto"/>
            <w:vAlign w:val="center"/>
            <w:hideMark/>
          </w:tcPr>
          <w:p w:rsidR="00E8585F" w:rsidRPr="00B22B5F" w:rsidRDefault="00E8585F" w:rsidP="00045D13">
            <w:pPr>
              <w:spacing w:after="0"/>
              <w:jc w:val="left"/>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Riqueza de Margalef (d)</w:t>
            </w:r>
          </w:p>
        </w:tc>
        <w:tc>
          <w:tcPr>
            <w:tcW w:w="1276" w:type="dxa"/>
            <w:shd w:val="clear" w:color="auto" w:fill="auto"/>
            <w:vAlign w:val="center"/>
            <w:hideMark/>
          </w:tcPr>
          <w:p w:rsidR="00E8585F" w:rsidRPr="00B22B5F" w:rsidRDefault="00E8585F" w:rsidP="00045D13">
            <w:pPr>
              <w:spacing w:after="0"/>
              <w:jc w:val="center"/>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0</w:t>
            </w:r>
          </w:p>
        </w:tc>
        <w:tc>
          <w:tcPr>
            <w:tcW w:w="1275" w:type="dxa"/>
            <w:shd w:val="clear" w:color="auto" w:fill="auto"/>
            <w:vAlign w:val="center"/>
            <w:hideMark/>
          </w:tcPr>
          <w:p w:rsidR="00E8585F" w:rsidRPr="00B22B5F" w:rsidRDefault="00E8585F" w:rsidP="00045D13">
            <w:pPr>
              <w:spacing w:after="0"/>
              <w:jc w:val="center"/>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1,44</w:t>
            </w:r>
          </w:p>
        </w:tc>
        <w:tc>
          <w:tcPr>
            <w:tcW w:w="1276" w:type="dxa"/>
            <w:shd w:val="clear" w:color="auto" w:fill="auto"/>
            <w:vAlign w:val="center"/>
            <w:hideMark/>
          </w:tcPr>
          <w:p w:rsidR="00E8585F" w:rsidRPr="00B22B5F" w:rsidRDefault="00E8585F" w:rsidP="00045D13">
            <w:pPr>
              <w:spacing w:after="0"/>
              <w:jc w:val="center"/>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0</w:t>
            </w:r>
          </w:p>
        </w:tc>
      </w:tr>
      <w:tr w:rsidR="00E8585F" w:rsidRPr="00B22B5F" w:rsidTr="00045D13">
        <w:trPr>
          <w:cantSplit/>
          <w:trHeight w:val="255"/>
          <w:jc w:val="center"/>
        </w:trPr>
        <w:tc>
          <w:tcPr>
            <w:tcW w:w="4253" w:type="dxa"/>
            <w:shd w:val="clear" w:color="auto" w:fill="auto"/>
            <w:vAlign w:val="center"/>
            <w:hideMark/>
          </w:tcPr>
          <w:p w:rsidR="00E8585F" w:rsidRPr="00B22B5F" w:rsidRDefault="00E8585F" w:rsidP="00045D13">
            <w:pPr>
              <w:spacing w:after="0"/>
              <w:jc w:val="left"/>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lastRenderedPageBreak/>
              <w:t>Diversidade (H')</w:t>
            </w:r>
          </w:p>
        </w:tc>
        <w:tc>
          <w:tcPr>
            <w:tcW w:w="1276" w:type="dxa"/>
            <w:shd w:val="clear" w:color="auto" w:fill="auto"/>
            <w:vAlign w:val="center"/>
            <w:hideMark/>
          </w:tcPr>
          <w:p w:rsidR="00E8585F" w:rsidRPr="00B22B5F" w:rsidRDefault="00E8585F" w:rsidP="00045D13">
            <w:pPr>
              <w:spacing w:after="0"/>
              <w:jc w:val="center"/>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0</w:t>
            </w:r>
          </w:p>
        </w:tc>
        <w:tc>
          <w:tcPr>
            <w:tcW w:w="1275" w:type="dxa"/>
            <w:shd w:val="clear" w:color="auto" w:fill="auto"/>
            <w:vAlign w:val="center"/>
            <w:hideMark/>
          </w:tcPr>
          <w:p w:rsidR="00E8585F" w:rsidRPr="00B22B5F" w:rsidRDefault="00E8585F" w:rsidP="00045D13">
            <w:pPr>
              <w:spacing w:after="0"/>
              <w:jc w:val="center"/>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0,69</w:t>
            </w:r>
          </w:p>
        </w:tc>
        <w:tc>
          <w:tcPr>
            <w:tcW w:w="1276" w:type="dxa"/>
            <w:shd w:val="clear" w:color="auto" w:fill="auto"/>
            <w:vAlign w:val="center"/>
            <w:hideMark/>
          </w:tcPr>
          <w:p w:rsidR="00E8585F" w:rsidRPr="00B22B5F" w:rsidRDefault="00E8585F" w:rsidP="00045D13">
            <w:pPr>
              <w:spacing w:after="0"/>
              <w:jc w:val="center"/>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0</w:t>
            </w:r>
          </w:p>
        </w:tc>
      </w:tr>
      <w:tr w:rsidR="00E8585F" w:rsidRPr="00B22B5F" w:rsidTr="00045D13">
        <w:trPr>
          <w:cantSplit/>
          <w:trHeight w:val="255"/>
          <w:jc w:val="center"/>
        </w:trPr>
        <w:tc>
          <w:tcPr>
            <w:tcW w:w="4253" w:type="dxa"/>
            <w:shd w:val="clear" w:color="auto" w:fill="auto"/>
            <w:vAlign w:val="center"/>
            <w:hideMark/>
          </w:tcPr>
          <w:p w:rsidR="00E8585F" w:rsidRPr="00B22B5F" w:rsidRDefault="00E8585F" w:rsidP="00045D13">
            <w:pPr>
              <w:spacing w:after="0"/>
              <w:jc w:val="left"/>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Equitabilidade (J')</w:t>
            </w:r>
          </w:p>
        </w:tc>
        <w:tc>
          <w:tcPr>
            <w:tcW w:w="1276" w:type="dxa"/>
            <w:shd w:val="clear" w:color="auto" w:fill="auto"/>
            <w:vAlign w:val="center"/>
            <w:hideMark/>
          </w:tcPr>
          <w:p w:rsidR="00E8585F" w:rsidRPr="00B22B5F" w:rsidRDefault="00E8585F" w:rsidP="00045D13">
            <w:pPr>
              <w:spacing w:after="0"/>
              <w:jc w:val="center"/>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w:t>
            </w:r>
          </w:p>
        </w:tc>
        <w:tc>
          <w:tcPr>
            <w:tcW w:w="1275" w:type="dxa"/>
            <w:shd w:val="clear" w:color="auto" w:fill="auto"/>
            <w:vAlign w:val="center"/>
            <w:hideMark/>
          </w:tcPr>
          <w:p w:rsidR="00E8585F" w:rsidRPr="00B22B5F" w:rsidRDefault="00E8585F" w:rsidP="00045D13">
            <w:pPr>
              <w:spacing w:after="0"/>
              <w:jc w:val="center"/>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1</w:t>
            </w:r>
          </w:p>
        </w:tc>
        <w:tc>
          <w:tcPr>
            <w:tcW w:w="1276" w:type="dxa"/>
            <w:shd w:val="clear" w:color="auto" w:fill="auto"/>
            <w:vAlign w:val="center"/>
            <w:hideMark/>
          </w:tcPr>
          <w:p w:rsidR="00E8585F" w:rsidRPr="00B22B5F" w:rsidRDefault="00E8585F" w:rsidP="00045D13">
            <w:pPr>
              <w:spacing w:after="0"/>
              <w:jc w:val="center"/>
              <w:rPr>
                <w:rFonts w:eastAsia="Times New Roman" w:cs="Arial"/>
                <w:b/>
                <w:bCs/>
                <w:color w:val="000000"/>
                <w:sz w:val="16"/>
                <w:szCs w:val="16"/>
                <w:lang w:eastAsia="pt-BR"/>
              </w:rPr>
            </w:pPr>
            <w:r w:rsidRPr="00B22B5F">
              <w:rPr>
                <w:rFonts w:eastAsia="Times New Roman" w:cs="Arial"/>
                <w:b/>
                <w:bCs/>
                <w:color w:val="000000"/>
                <w:sz w:val="16"/>
                <w:szCs w:val="16"/>
                <w:lang w:val="en-US" w:eastAsia="pt-BR"/>
              </w:rPr>
              <w:t>-</w:t>
            </w:r>
          </w:p>
        </w:tc>
      </w:tr>
    </w:tbl>
    <w:p w:rsidR="00E8585F" w:rsidRDefault="00E8585F" w:rsidP="00E8585F"/>
    <w:p w:rsidR="00E551CF" w:rsidRPr="00E551CF" w:rsidRDefault="00E551CF" w:rsidP="00E551CF">
      <w:r w:rsidRPr="00E551CF">
        <w:t>Observou-se baixa diversidade e baixa densidade de organismos. A densidade de Melanoides tuberculatus pode atingir valores muito mais elevados que os observados, como por exemplo em reservatórios da bacia do Piranhas Açu, no Rio Grande do Norte, com valores de até 10.000 ind/m</w:t>
      </w:r>
      <w:r w:rsidRPr="00E551CF">
        <w:rPr>
          <w:vertAlign w:val="superscript"/>
        </w:rPr>
        <w:t>2</w:t>
      </w:r>
      <w:r w:rsidRPr="00E551CF">
        <w:t xml:space="preserve"> (SANTOS et al., 2010).</w:t>
      </w:r>
    </w:p>
    <w:p w:rsidR="00E551CF" w:rsidRPr="00E551CF" w:rsidRDefault="00E551CF" w:rsidP="00E551CF">
      <w:r w:rsidRPr="00E551CF">
        <w:t>A família Corixidae apresenta 6 subfamílias das quais 3 ocorrem na América do Sul, sendo relatadas a presença várias espécies nos ambientes aquáticos de Minas Gerais (MELO &amp; PEREIRA, 1996).</w:t>
      </w:r>
    </w:p>
    <w:p w:rsidR="00E551CF" w:rsidRPr="00E551CF" w:rsidRDefault="00E551CF" w:rsidP="00E551CF">
      <w:r w:rsidRPr="00E551CF">
        <w:t xml:space="preserve">O molusco gastrópode </w:t>
      </w:r>
      <w:r w:rsidRPr="00E551CF">
        <w:rPr>
          <w:i/>
        </w:rPr>
        <w:t>Melanoides tuberculatus</w:t>
      </w:r>
      <w:r w:rsidRPr="00E551CF">
        <w:t xml:space="preserve"> é uma espécie bioinvasora proveniente do nordeste da África e sudeste da Ásia. O primeiro registro de sua introdução no Brasil data de 1967 na cidade de Santos (SP), provavelmente introduzido nos corpos d'água através de soltura deliberada pela aquariofilia (VAZ </w:t>
      </w:r>
      <w:r w:rsidRPr="00E551CF">
        <w:rPr>
          <w:i/>
        </w:rPr>
        <w:t>et al</w:t>
      </w:r>
      <w:r w:rsidRPr="00E551CF">
        <w:t>., 1986). Atualmente, sua distribuição abrange 17 estados brasileiros (FERNANDEZ et al., 2003; ROSA et al., 2010), inclusive no Estado de São Paulo. A espécie foi registrada, por exemplo</w:t>
      </w:r>
      <w:r w:rsidR="005559AF">
        <w:t>,</w:t>
      </w:r>
      <w:r w:rsidRPr="00E551CF">
        <w:t xml:space="preserve"> em reservatórios do Tietê (Promissão, Nova Avanhandava e Três Irmãos – STEFANI, 2006; Barra Bonita, Bariri e Ibitinga – SURIANI, 2006), em Porto Primavera, no Rio Paraná (JORCIN </w:t>
      </w:r>
      <w:r w:rsidRPr="00E551CF">
        <w:rPr>
          <w:i/>
        </w:rPr>
        <w:t>et al</w:t>
      </w:r>
      <w:r w:rsidRPr="00E551CF">
        <w:t>., 2009) e na bacia do Rio Atibaia, no Reservatório de Salto Grande (DORNFELD, 2002).</w:t>
      </w:r>
    </w:p>
    <w:p w:rsidR="00E551CF" w:rsidRPr="00E551CF" w:rsidRDefault="00E551CF" w:rsidP="00E551CF">
      <w:r w:rsidRPr="00E551CF">
        <w:rPr>
          <w:i/>
        </w:rPr>
        <w:t>Melanoides tuberculatus</w:t>
      </w:r>
      <w:r w:rsidRPr="00E551CF">
        <w:t xml:space="preserve"> possui grande capacidade migratória, fácil adaptação a diferentes substratos, sendo encontrada em diferentes corpos d’água com diferentes graus de trofia, de oligotróficos a hipereutróficos. Suporta ainda um amplo espectro de salinidade e são tolerantes a baixas concentrações de oxigênio (SURIANI, 2006). Sua importância ecológica se deve ao fato de desalojar diversos moluscos nativos e por ser um bioinvasor de distribuição acelerada e crescente, sendo por isso monitorado mundialmente. </w:t>
      </w:r>
    </w:p>
    <w:p w:rsidR="00E551CF" w:rsidRPr="00E551CF" w:rsidRDefault="00E551CF" w:rsidP="00E551CF">
      <w:r w:rsidRPr="00E551CF">
        <w:t>Tem também importância do ponto de vista sanitário, por atuar como hospedeiro intermediário de vermes trematódeos parasitas do sistema respiratório (paragonimíase) e hepático (clonorquíase abdominal) em seres humanos. Por outo lado essa espécie tem sido utilizada como controle biológico de espécies de moluscos transmissoras da esquistossomose (FARANI, 2013).</w:t>
      </w:r>
    </w:p>
    <w:p w:rsidR="00E551CF" w:rsidRPr="00E551CF" w:rsidRDefault="00E551CF" w:rsidP="00E551CF">
      <w:r w:rsidRPr="00E551CF">
        <w:t xml:space="preserve">A paragonimíase é uma infecção pulmonar crônica causada pelo trematódeo do gênero </w:t>
      </w:r>
      <w:r w:rsidRPr="00E551CF">
        <w:rPr>
          <w:i/>
        </w:rPr>
        <w:t>Paragominus</w:t>
      </w:r>
      <w:r w:rsidRPr="00E551CF">
        <w:t xml:space="preserve">. </w:t>
      </w:r>
      <w:r w:rsidRPr="00E551CF">
        <w:rPr>
          <w:i/>
        </w:rPr>
        <w:t>Melonoides tuberculatus</w:t>
      </w:r>
      <w:r w:rsidRPr="00E551CF">
        <w:t xml:space="preserve"> é o primeiro hospedeiro intermediário e o segundo são crustáceos (caranguejos, camarão ou lagostim) de água doce que compartilham o mesmo habitat. Os hospedeiros definitivos são animais selvagens sendo o homem um hospedeiro acidental quando adquire as metacercárias, que são as formas infectantes do hospedeiro definitivo, pelo consumo cru ou mal cozido do segundo hospedeiro (SILVA, 2010). Os casos descritos no Brasil foram de pacientes que adquiriram a doença em outro país.</w:t>
      </w:r>
    </w:p>
    <w:p w:rsidR="00E551CF" w:rsidRPr="00E551CF" w:rsidRDefault="00E551CF" w:rsidP="00E551CF">
      <w:r w:rsidRPr="00E551CF">
        <w:t xml:space="preserve">A clonorquíase abdominal é causada por </w:t>
      </w:r>
      <w:r w:rsidRPr="00E551CF">
        <w:rPr>
          <w:i/>
        </w:rPr>
        <w:t>Clonorchis sinensis</w:t>
      </w:r>
      <w:r w:rsidRPr="00E551CF">
        <w:t xml:space="preserve"> que é um trematódeo hepático cujos segundos hospedeiros intermediários são cerca de 80 espécies de peixes, cujo consumo cru ou mal cozido pode infectar o homem (OKUMURA, 2006). Os casos detectados no Brasil corresponderam a pessoas procedentes de países asiáticos (SILVA, 2010).</w:t>
      </w:r>
    </w:p>
    <w:p w:rsidR="00E551CF" w:rsidRPr="00E551CF" w:rsidRDefault="00E551CF" w:rsidP="00E551CF">
      <w:r w:rsidRPr="00E551CF">
        <w:t xml:space="preserve">Estudo realizado na região metropolitana do Rio de Janeiro mostraram que 15,76% dos caramujos de </w:t>
      </w:r>
      <w:r w:rsidRPr="00E551CF">
        <w:rPr>
          <w:i/>
        </w:rPr>
        <w:t>Melanoides turbeculatus</w:t>
      </w:r>
      <w:r w:rsidRPr="00E551CF">
        <w:t xml:space="preserve"> coletados estavam infectados com o turbeláreo causador da clonorquíase (BOGÉA et al., 2005).</w:t>
      </w:r>
    </w:p>
    <w:p w:rsidR="00E551CF" w:rsidRPr="00E551CF" w:rsidRDefault="00E551CF" w:rsidP="00E551CF">
      <w:pPr>
        <w:rPr>
          <w:i/>
          <w:iCs/>
        </w:rPr>
      </w:pPr>
      <w:r w:rsidRPr="00E551CF">
        <w:t xml:space="preserve">ROCHA </w:t>
      </w:r>
      <w:r w:rsidRPr="00E551CF">
        <w:rPr>
          <w:i/>
        </w:rPr>
        <w:t>et al</w:t>
      </w:r>
      <w:r w:rsidRPr="00E551CF">
        <w:t xml:space="preserve">. (2011) ressaltam a preocupação, quanto aos macroinvertebrados aquáticos, da invasão em reservatórios dessa espécie e também do bivalve asiático, </w:t>
      </w:r>
      <w:r w:rsidRPr="00E551CF">
        <w:rPr>
          <w:i/>
          <w:iCs/>
        </w:rPr>
        <w:t xml:space="preserve">Corbicula flumínea </w:t>
      </w:r>
      <w:r w:rsidRPr="00E551CF">
        <w:rPr>
          <w:iCs/>
        </w:rPr>
        <w:t>e do</w:t>
      </w:r>
      <w:r w:rsidRPr="00E551CF">
        <w:rPr>
          <w:i/>
          <w:iCs/>
        </w:rPr>
        <w:t xml:space="preserve"> </w:t>
      </w:r>
      <w:r w:rsidRPr="00E551CF">
        <w:t xml:space="preserve">mexilhão dourado, </w:t>
      </w:r>
      <w:r w:rsidRPr="00E551CF">
        <w:rPr>
          <w:i/>
          <w:iCs/>
        </w:rPr>
        <w:t>Limnoperna fortunei.</w:t>
      </w:r>
    </w:p>
    <w:p w:rsidR="00625EAA" w:rsidRPr="00D138DB" w:rsidRDefault="00625EAA" w:rsidP="00625EAA">
      <w:pPr>
        <w:pStyle w:val="Ttulo4"/>
      </w:pPr>
      <w:bookmarkStart w:id="151" w:name="_Toc411871215"/>
      <w:r>
        <w:lastRenderedPageBreak/>
        <w:t>Considerações sobre a Transferência de Organismos entre Bacias</w:t>
      </w:r>
      <w:bookmarkEnd w:id="151"/>
    </w:p>
    <w:p w:rsidR="00625EAA" w:rsidRDefault="00B35FB3" w:rsidP="00B35FB3">
      <w:r>
        <w:t>A</w:t>
      </w:r>
      <w:r w:rsidR="00625EAA">
        <w:t xml:space="preserve"> transposição de águas de uma bacia hidrográfica para outra </w:t>
      </w:r>
      <w:r>
        <w:t>causa</w:t>
      </w:r>
      <w:r w:rsidR="00625EAA">
        <w:t xml:space="preserve"> a mistura de comunidades aquáticas anteriormente separadas fisicamente</w:t>
      </w:r>
      <w:r>
        <w:t>, o que tem</w:t>
      </w:r>
      <w:r w:rsidR="00625EAA">
        <w:t xml:space="preserve"> efeitos na composição futura da comunidade desses ambientes. No presente caso, o contato das águas dos reservatórios </w:t>
      </w:r>
      <w:r>
        <w:t xml:space="preserve">Jaguari-CESP (Paraíba do Sul) </w:t>
      </w:r>
      <w:r w:rsidR="00625EAA">
        <w:t xml:space="preserve">e Atibainha (Médio Tietê). </w:t>
      </w:r>
    </w:p>
    <w:p w:rsidR="00625EAA" w:rsidRDefault="00625EAA" w:rsidP="00B35FB3">
      <w:r>
        <w:t>A princípio</w:t>
      </w:r>
      <w:r w:rsidR="00B35FB3">
        <w:t>,</w:t>
      </w:r>
      <w:r>
        <w:t xml:space="preserve"> esse contato interfere na estrutura e funcionamento da comunidade. São bem conhecidos alguns casos de introdução de espécies de peixes ornamentais ou de interesse comercial, como a tilápia nos reservatórios de São Paulo e também a introdução de peix</w:t>
      </w:r>
      <w:r w:rsidR="00B35FB3">
        <w:t>es de outras bacias brasileiras, que</w:t>
      </w:r>
      <w:r>
        <w:t xml:space="preserve"> provocaram efeitos significativos n</w:t>
      </w:r>
      <w:r w:rsidR="00B35FB3">
        <w:t>a ictiofauna nativa.</w:t>
      </w:r>
    </w:p>
    <w:p w:rsidR="00625EAA" w:rsidRPr="00891229" w:rsidRDefault="00625EAA" w:rsidP="00B35FB3">
      <w:r>
        <w:t xml:space="preserve">Um dos casos pioneiros de impactos na ictiofauna por transposição entre bacias ocorreu </w:t>
      </w:r>
      <w:r w:rsidRPr="009637B6">
        <w:t>durante a construção do reservatório hidroelétrico de Furnas</w:t>
      </w:r>
      <w:r>
        <w:t>,</w:t>
      </w:r>
      <w:r w:rsidRPr="009637B6">
        <w:t xml:space="preserve"> na bacia do alto rio Paraná</w:t>
      </w:r>
      <w:r>
        <w:t>,</w:t>
      </w:r>
      <w:r w:rsidRPr="009637B6">
        <w:t xml:space="preserve"> no início da década de 1960</w:t>
      </w:r>
      <w:r>
        <w:t xml:space="preserve">. O rio Piumhi, tributário do Rio Grande, formador do rio Paraná, foi desviado para as cabeceiras do rio São Francisco. </w:t>
      </w:r>
      <w:r w:rsidRPr="00891229">
        <w:t>A transposição permitiu que toda a fauna de peixes do rio Piumhi e banhados, lagos e tributários associados se mesclasse com a fauna de peixes da bacia do rio São Francisco através do ribeirão Sujo, um tributário da margem direita do São Francisco. A transposição pode ter ocasionado grande impacto na atual composição da fauna de peixes da bacia do alto rio São Francisco</w:t>
      </w:r>
      <w:r>
        <w:t xml:space="preserve"> (Moreira Filho &amp; Buckup, 2005).</w:t>
      </w:r>
    </w:p>
    <w:p w:rsidR="00625EAA" w:rsidRDefault="00103511" w:rsidP="00B35FB3">
      <w:r>
        <w:t>No que se refere a outros grupos de organismos aquáticos, a</w:t>
      </w:r>
      <w:r w:rsidR="00625EAA">
        <w:t xml:space="preserve"> questão apresenta uma complexidade cujo status atual do conhecimento científico não permite respostas claras e objetivas. </w:t>
      </w:r>
      <w:r>
        <w:t>Assim</w:t>
      </w:r>
      <w:r w:rsidR="00625EAA">
        <w:t xml:space="preserve">, </w:t>
      </w:r>
      <w:r w:rsidR="00B35FB3">
        <w:t xml:space="preserve">apresentam-se </w:t>
      </w:r>
      <w:r w:rsidR="00625EAA">
        <w:t xml:space="preserve">algumas considerações </w:t>
      </w:r>
      <w:r w:rsidR="00B35FB3">
        <w:t xml:space="preserve">baseadas na </w:t>
      </w:r>
      <w:r w:rsidR="00625EAA">
        <w:t>literatura disponível.</w:t>
      </w:r>
    </w:p>
    <w:p w:rsidR="00625EAA" w:rsidRDefault="00625EAA" w:rsidP="00B35FB3">
      <w:r w:rsidRPr="006608EC">
        <w:t>Fitoplâncton é um grupo de micro</w:t>
      </w:r>
      <w:r w:rsidR="00AF7F17">
        <w:t>-</w:t>
      </w:r>
      <w:r w:rsidRPr="006608EC">
        <w:t xml:space="preserve">organismos fotossintetizantes (algas, cianobactérias e algumas poucas bactérias) adaptados a viverem parcial ou continuamente em águas abertas. Estima-se que exista cerca de quatro mil espécies de fitoplâncton de corpos de água continentais (Reynolds 2006). </w:t>
      </w:r>
    </w:p>
    <w:p w:rsidR="00625EAA" w:rsidRDefault="00625EAA" w:rsidP="00B35FB3">
      <w:r w:rsidRPr="006608EC">
        <w:t>A diversidade na forma e tamanho do fitoplâncton está relacionada claramente à cinética para utilização de recursos e à suscep</w:t>
      </w:r>
      <w:r>
        <w:t>tibilidade a processos de perda</w:t>
      </w:r>
      <w:r w:rsidRPr="006608EC">
        <w:t xml:space="preserve"> </w:t>
      </w:r>
      <w:r>
        <w:t xml:space="preserve">(Brasil &amp; Huszar, 2011). </w:t>
      </w:r>
      <w:r w:rsidRPr="006608EC">
        <w:t>Por serem facilmente dispersos, dados seu pequeno tamanho e elevada abundância é razoável assumir que as condições locais (estrutura física do sistema, disponibilidade de recursos, processos de escoamento hidráulico, sedimentação e herbivoria) determinarão quais espécies ocorrerão em um dado mome</w:t>
      </w:r>
      <w:r>
        <w:t>nto</w:t>
      </w:r>
      <w:r w:rsidRPr="006608EC">
        <w:t xml:space="preserve"> </w:t>
      </w:r>
      <w:r>
        <w:t>(</w:t>
      </w:r>
      <w:r w:rsidRPr="006608EC">
        <w:t xml:space="preserve">Beisner </w:t>
      </w:r>
      <w:r w:rsidRPr="006608EC">
        <w:rPr>
          <w:rFonts w:cs="TimesNewRomanPS-ItalicMT"/>
          <w:i/>
          <w:iCs/>
        </w:rPr>
        <w:t>et al</w:t>
      </w:r>
      <w:r w:rsidRPr="006608EC">
        <w:t>. 2006).</w:t>
      </w:r>
      <w:r>
        <w:t xml:space="preserve"> Dessa forma</w:t>
      </w:r>
      <w:r w:rsidRPr="006608EC">
        <w:t>, as condições ambientais locais devem atuar como filtros favorecendo grupos de espécies que compartilham características adaptativas similares</w:t>
      </w:r>
      <w:r>
        <w:t xml:space="preserve"> (</w:t>
      </w:r>
      <w:r w:rsidRPr="006608EC">
        <w:t xml:space="preserve">Webb </w:t>
      </w:r>
      <w:r w:rsidRPr="006608EC">
        <w:rPr>
          <w:rFonts w:cs="TimesNewRomanPS-ItalicMT"/>
          <w:i/>
          <w:iCs/>
        </w:rPr>
        <w:t>et al</w:t>
      </w:r>
      <w:r w:rsidRPr="006608EC">
        <w:t>. 2002</w:t>
      </w:r>
      <w:r>
        <w:t>).</w:t>
      </w:r>
    </w:p>
    <w:p w:rsidR="00625EAA" w:rsidRDefault="00625EAA" w:rsidP="00B35FB3">
      <w:r>
        <w:t>Por isso existe uma variação espacial da ocorrência dos organismos dentro de cada reservatório além de uma dinâmica sazonal que promove grandes e rápidas alterações na comunidade fitoplanctônica ao longo de um ciclo hidrológico e climático.</w:t>
      </w:r>
    </w:p>
    <w:p w:rsidR="00625EAA" w:rsidRDefault="00625EAA" w:rsidP="00B35FB3">
      <w:r>
        <w:t xml:space="preserve">Não há para os reservatórios </w:t>
      </w:r>
      <w:r w:rsidR="00103511">
        <w:t xml:space="preserve">em pauta </w:t>
      </w:r>
      <w:r>
        <w:t xml:space="preserve">dados sistemáticos disponíveis sobre a estrutura e composição da comunidade fitoplanctônica. </w:t>
      </w:r>
    </w:p>
    <w:p w:rsidR="00625EAA" w:rsidRDefault="00625EAA" w:rsidP="00B35FB3">
      <w:r>
        <w:t>Para o reservatório de Atibainha há o trabalho de Carvalho (2003) que identificou, em coletas trimestrais entre 1997 e 1998, 153 espécies, em densidades que variaram de 1120 a 8608 org/mL com domínio de cianofíceas. Na amostragem feita para o presente trabalho o número de espécie</w:t>
      </w:r>
      <w:r w:rsidR="00103511">
        <w:t>s</w:t>
      </w:r>
      <w:r>
        <w:t xml:space="preserve"> observada variou de 16 a 23 e as densidades entre 350 e 713 org/m</w:t>
      </w:r>
      <w:r w:rsidR="00103511">
        <w:t>L,</w:t>
      </w:r>
      <w:r>
        <w:t xml:space="preserve"> com domínio de crisofíceas, clorofíceas e dinoflagelados.</w:t>
      </w:r>
    </w:p>
    <w:p w:rsidR="00625EAA" w:rsidRDefault="00625EAA" w:rsidP="00B35FB3">
      <w:r>
        <w:t>Os dados que compõem o Índice da Comunidade Fitoplanctônica da CETESB não são obtidos para o reservatório de Atibainha.</w:t>
      </w:r>
    </w:p>
    <w:p w:rsidR="00625EAA" w:rsidRDefault="00625EAA" w:rsidP="00B35FB3">
      <w:r>
        <w:t>Para o reservatório Jaguari-CESP há os dados da CETESB (CETESB, 2014) referentes ao ICF, que em 2013 variou entre 1 (ótimo, baixa densidade de organismos</w:t>
      </w:r>
      <w:r w:rsidR="005559AF">
        <w:t>,</w:t>
      </w:r>
      <w:r>
        <w:t xml:space="preserve"> &lt;1000</w:t>
      </w:r>
      <w:r w:rsidR="005559AF">
        <w:t xml:space="preserve"> </w:t>
      </w:r>
      <w:r w:rsidR="00B35FB3">
        <w:t>org/mL, sem domínio de um grupo</w:t>
      </w:r>
      <w:r>
        <w:t>) a 3 (regular com densidades entre 5.000 e 10.000 org/mL, com domínio de clorofíceas ou dinoflagelados), o que mostra o caráter dinâmico desta comunidade.</w:t>
      </w:r>
    </w:p>
    <w:p w:rsidR="00625EAA" w:rsidRDefault="00625EAA" w:rsidP="00B35FB3">
      <w:r>
        <w:lastRenderedPageBreak/>
        <w:t>A comparação da lista de espécies entre as duas represas nas amostragens realizadas pelo presente estudo é apresentada na Tabela abaixo.</w:t>
      </w:r>
    </w:p>
    <w:p w:rsidR="00A52105" w:rsidRDefault="00A52105" w:rsidP="00A52105">
      <w:pPr>
        <w:pStyle w:val="Quadro"/>
      </w:pPr>
      <w:r>
        <w:t>Tabela 6.4.5-</w:t>
      </w:r>
      <w:r w:rsidR="00E4778B">
        <w:t>22</w:t>
      </w:r>
      <w:r>
        <w:t>. Comparativo da Comunidade Fitoplanctônica nos dois Reservatórios</w:t>
      </w:r>
    </w:p>
    <w:tbl>
      <w:tblPr>
        <w:tblW w:w="9639" w:type="dxa"/>
        <w:tblInd w:w="-4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001"/>
        <w:gridCol w:w="4638"/>
      </w:tblGrid>
      <w:tr w:rsidR="00A52105" w:rsidRPr="00A52105" w:rsidTr="00E42173">
        <w:trPr>
          <w:cantSplit/>
          <w:trHeight w:val="255"/>
          <w:tblHeader/>
        </w:trPr>
        <w:tc>
          <w:tcPr>
            <w:tcW w:w="5696" w:type="dxa"/>
            <w:shd w:val="clear" w:color="auto" w:fill="A6A6A6" w:themeFill="background1" w:themeFillShade="A6"/>
            <w:vAlign w:val="center"/>
          </w:tcPr>
          <w:p w:rsidR="00A52105" w:rsidRPr="00A52105" w:rsidRDefault="00A52105" w:rsidP="0098722C">
            <w:pPr>
              <w:autoSpaceDE w:val="0"/>
              <w:autoSpaceDN w:val="0"/>
              <w:adjustRightInd w:val="0"/>
              <w:spacing w:after="0"/>
              <w:jc w:val="center"/>
              <w:rPr>
                <w:rFonts w:cs="Arial"/>
                <w:b/>
                <w:sz w:val="18"/>
                <w:szCs w:val="18"/>
              </w:rPr>
            </w:pPr>
            <w:r w:rsidRPr="00A52105">
              <w:rPr>
                <w:rFonts w:cs="Arial"/>
                <w:b/>
                <w:sz w:val="18"/>
                <w:szCs w:val="18"/>
              </w:rPr>
              <w:t>Atibainha</w:t>
            </w:r>
          </w:p>
        </w:tc>
        <w:tc>
          <w:tcPr>
            <w:tcW w:w="5280" w:type="dxa"/>
            <w:shd w:val="clear" w:color="auto" w:fill="A6A6A6" w:themeFill="background1" w:themeFillShade="A6"/>
            <w:vAlign w:val="center"/>
          </w:tcPr>
          <w:p w:rsidR="00A52105" w:rsidRPr="00A52105" w:rsidRDefault="00A52105" w:rsidP="0098722C">
            <w:pPr>
              <w:autoSpaceDE w:val="0"/>
              <w:autoSpaceDN w:val="0"/>
              <w:adjustRightInd w:val="0"/>
              <w:spacing w:after="0"/>
              <w:jc w:val="center"/>
              <w:rPr>
                <w:rFonts w:cs="Arial"/>
                <w:b/>
                <w:sz w:val="18"/>
                <w:szCs w:val="18"/>
              </w:rPr>
            </w:pPr>
            <w:r w:rsidRPr="00A52105">
              <w:rPr>
                <w:rFonts w:cs="Arial"/>
                <w:b/>
                <w:sz w:val="18"/>
                <w:szCs w:val="18"/>
              </w:rPr>
              <w:t>Jaguari</w:t>
            </w:r>
          </w:p>
        </w:tc>
      </w:tr>
      <w:tr w:rsidR="00A52105" w:rsidRPr="00A52105" w:rsidTr="00E42173">
        <w:trPr>
          <w:cantSplit/>
          <w:trHeight w:val="255"/>
        </w:trPr>
        <w:tc>
          <w:tcPr>
            <w:tcW w:w="5696" w:type="dxa"/>
            <w:shd w:val="clear" w:color="auto" w:fill="auto"/>
            <w:vAlign w:val="center"/>
          </w:tcPr>
          <w:p w:rsidR="00A52105" w:rsidRPr="00A52105" w:rsidRDefault="00A52105" w:rsidP="00A52105">
            <w:pPr>
              <w:autoSpaceDE w:val="0"/>
              <w:autoSpaceDN w:val="0"/>
              <w:adjustRightInd w:val="0"/>
              <w:spacing w:after="0"/>
              <w:jc w:val="center"/>
              <w:rPr>
                <w:rFonts w:cs="Arial"/>
                <w:color w:val="000000"/>
                <w:sz w:val="18"/>
                <w:szCs w:val="18"/>
              </w:rPr>
            </w:pPr>
            <w:r w:rsidRPr="00A52105">
              <w:rPr>
                <w:rFonts w:cs="Arial"/>
                <w:color w:val="000000"/>
                <w:sz w:val="18"/>
                <w:szCs w:val="18"/>
              </w:rPr>
              <w:t>ANÁLISE QUALITATIVA</w:t>
            </w:r>
          </w:p>
        </w:tc>
        <w:tc>
          <w:tcPr>
            <w:tcW w:w="5280" w:type="dxa"/>
            <w:shd w:val="clear" w:color="auto" w:fill="auto"/>
            <w:vAlign w:val="center"/>
          </w:tcPr>
          <w:p w:rsidR="00A52105" w:rsidRPr="00A52105" w:rsidRDefault="00A52105" w:rsidP="0098722C">
            <w:pPr>
              <w:autoSpaceDE w:val="0"/>
              <w:autoSpaceDN w:val="0"/>
              <w:adjustRightInd w:val="0"/>
              <w:spacing w:after="0"/>
              <w:jc w:val="center"/>
              <w:rPr>
                <w:rFonts w:cs="Arial"/>
                <w:color w:val="000000"/>
                <w:sz w:val="18"/>
                <w:szCs w:val="18"/>
              </w:rPr>
            </w:pPr>
            <w:r w:rsidRPr="00A52105">
              <w:rPr>
                <w:rFonts w:cs="Arial"/>
                <w:color w:val="000000"/>
                <w:sz w:val="18"/>
                <w:szCs w:val="18"/>
              </w:rPr>
              <w:t>ANÁLISE QUALITATIVA</w:t>
            </w:r>
          </w:p>
        </w:tc>
      </w:tr>
      <w:tr w:rsidR="00A52105" w:rsidRPr="00A52105" w:rsidTr="00E42173">
        <w:trPr>
          <w:cantSplit/>
          <w:trHeight w:val="255"/>
        </w:trPr>
        <w:tc>
          <w:tcPr>
            <w:tcW w:w="5696" w:type="dxa"/>
            <w:shd w:val="clear" w:color="auto" w:fill="auto"/>
            <w:vAlign w:val="center"/>
          </w:tcPr>
          <w:p w:rsidR="00A52105" w:rsidRPr="00A52105" w:rsidRDefault="00A52105" w:rsidP="00A52105">
            <w:pPr>
              <w:autoSpaceDE w:val="0"/>
              <w:autoSpaceDN w:val="0"/>
              <w:adjustRightInd w:val="0"/>
              <w:spacing w:after="0"/>
              <w:jc w:val="center"/>
              <w:rPr>
                <w:rFonts w:cs="Arial"/>
                <w:color w:val="000000"/>
                <w:sz w:val="18"/>
                <w:szCs w:val="18"/>
              </w:rPr>
            </w:pPr>
            <w:r w:rsidRPr="00A52105">
              <w:rPr>
                <w:rFonts w:cs="Arial"/>
                <w:color w:val="000000"/>
                <w:sz w:val="18"/>
                <w:szCs w:val="18"/>
              </w:rPr>
              <w:t>Táxons encontrados</w:t>
            </w:r>
          </w:p>
        </w:tc>
        <w:tc>
          <w:tcPr>
            <w:tcW w:w="5280" w:type="dxa"/>
            <w:shd w:val="clear" w:color="auto" w:fill="auto"/>
            <w:vAlign w:val="center"/>
          </w:tcPr>
          <w:p w:rsidR="00A52105" w:rsidRPr="00A52105" w:rsidRDefault="00A52105" w:rsidP="00A52105">
            <w:pPr>
              <w:autoSpaceDE w:val="0"/>
              <w:autoSpaceDN w:val="0"/>
              <w:adjustRightInd w:val="0"/>
              <w:spacing w:after="0"/>
              <w:jc w:val="center"/>
              <w:rPr>
                <w:rFonts w:cs="Arial"/>
                <w:color w:val="000000"/>
                <w:sz w:val="18"/>
                <w:szCs w:val="18"/>
              </w:rPr>
            </w:pPr>
            <w:r w:rsidRPr="00A52105">
              <w:rPr>
                <w:rFonts w:cs="Arial"/>
                <w:color w:val="000000"/>
                <w:sz w:val="18"/>
                <w:szCs w:val="18"/>
              </w:rPr>
              <w:t>Táxons encontrados</w:t>
            </w:r>
          </w:p>
        </w:tc>
      </w:tr>
      <w:tr w:rsidR="00A52105" w:rsidRPr="00A52105" w:rsidTr="00E42173">
        <w:trPr>
          <w:cantSplit/>
          <w:trHeight w:val="255"/>
        </w:trPr>
        <w:tc>
          <w:tcPr>
            <w:tcW w:w="5696" w:type="dxa"/>
            <w:shd w:val="clear" w:color="auto" w:fill="D9D9D9" w:themeFill="background1" w:themeFillShade="D9"/>
            <w:vAlign w:val="center"/>
          </w:tcPr>
          <w:p w:rsidR="00A52105" w:rsidRPr="00A52105" w:rsidRDefault="00A52105" w:rsidP="0098722C">
            <w:pPr>
              <w:autoSpaceDE w:val="0"/>
              <w:autoSpaceDN w:val="0"/>
              <w:adjustRightInd w:val="0"/>
              <w:spacing w:after="0"/>
              <w:rPr>
                <w:rFonts w:cs="Arial"/>
                <w:b/>
                <w:bCs/>
                <w:color w:val="000000"/>
                <w:sz w:val="18"/>
                <w:szCs w:val="18"/>
              </w:rPr>
            </w:pPr>
            <w:r w:rsidRPr="00A52105">
              <w:rPr>
                <w:rFonts w:cs="Arial"/>
                <w:b/>
                <w:bCs/>
                <w:color w:val="000000"/>
                <w:sz w:val="18"/>
                <w:szCs w:val="18"/>
              </w:rPr>
              <w:t>CYANOBACTERIA</w:t>
            </w:r>
          </w:p>
        </w:tc>
        <w:tc>
          <w:tcPr>
            <w:tcW w:w="5280" w:type="dxa"/>
            <w:shd w:val="clear" w:color="auto" w:fill="D9D9D9" w:themeFill="background1" w:themeFillShade="D9"/>
            <w:vAlign w:val="center"/>
          </w:tcPr>
          <w:p w:rsidR="00A52105" w:rsidRPr="00A52105" w:rsidRDefault="00A52105" w:rsidP="0098722C">
            <w:pPr>
              <w:autoSpaceDE w:val="0"/>
              <w:autoSpaceDN w:val="0"/>
              <w:adjustRightInd w:val="0"/>
              <w:spacing w:after="0"/>
              <w:rPr>
                <w:rFonts w:cs="Arial"/>
                <w:b/>
                <w:bCs/>
                <w:color w:val="000000"/>
                <w:sz w:val="18"/>
                <w:szCs w:val="18"/>
              </w:rPr>
            </w:pPr>
            <w:r w:rsidRPr="00A52105">
              <w:rPr>
                <w:rFonts w:cs="Arial"/>
                <w:b/>
                <w:bCs/>
                <w:color w:val="000000"/>
                <w:sz w:val="18"/>
                <w:szCs w:val="18"/>
              </w:rPr>
              <w:t>CYANOBACTERIA</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Microcystis aeruginosa </w:t>
            </w:r>
            <w:r w:rsidRPr="00A52105">
              <w:rPr>
                <w:rFonts w:cs="Arial"/>
                <w:color w:val="000000"/>
                <w:sz w:val="18"/>
                <w:szCs w:val="18"/>
              </w:rPr>
              <w:t>(Kütz.) Kütz.</w:t>
            </w:r>
          </w:p>
        </w:tc>
        <w:tc>
          <w:tcPr>
            <w:tcW w:w="5280"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Oscillatoria </w:t>
            </w:r>
            <w:r w:rsidRPr="00A52105">
              <w:rPr>
                <w:rFonts w:cs="Arial"/>
                <w:color w:val="000000"/>
                <w:sz w:val="18"/>
                <w:szCs w:val="18"/>
              </w:rPr>
              <w:t>sp</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Oscillatoria sancta </w:t>
            </w:r>
            <w:r w:rsidRPr="00A52105">
              <w:rPr>
                <w:rFonts w:cs="Arial"/>
                <w:color w:val="000000"/>
                <w:sz w:val="18"/>
                <w:szCs w:val="18"/>
              </w:rPr>
              <w:t>(Kütz.) Gom.</w:t>
            </w:r>
          </w:p>
        </w:tc>
        <w:tc>
          <w:tcPr>
            <w:tcW w:w="5280" w:type="dxa"/>
            <w:vAlign w:val="center"/>
          </w:tcPr>
          <w:p w:rsidR="00A52105" w:rsidRPr="00A52105" w:rsidRDefault="00A52105" w:rsidP="0098722C">
            <w:pPr>
              <w:autoSpaceDE w:val="0"/>
              <w:autoSpaceDN w:val="0"/>
              <w:adjustRightInd w:val="0"/>
              <w:spacing w:after="0"/>
              <w:rPr>
                <w:rFonts w:cs="Arial"/>
                <w:i/>
                <w:iCs/>
                <w:color w:val="000000"/>
                <w:sz w:val="18"/>
                <w:szCs w:val="18"/>
              </w:rPr>
            </w:pPr>
            <w:r w:rsidRPr="00A52105">
              <w:rPr>
                <w:rFonts w:cs="Arial"/>
                <w:i/>
                <w:iCs/>
                <w:color w:val="000000"/>
                <w:sz w:val="18"/>
                <w:szCs w:val="18"/>
              </w:rPr>
              <w:t xml:space="preserve">Planktolyngbya limnetica </w:t>
            </w:r>
            <w:r w:rsidRPr="00A52105">
              <w:rPr>
                <w:rFonts w:cs="Arial"/>
                <w:color w:val="000000"/>
                <w:sz w:val="18"/>
                <w:szCs w:val="18"/>
              </w:rPr>
              <w:t>(Lem.) Kom.-Legn. &amp; Cronb</w:t>
            </w:r>
            <w:r w:rsidRPr="00A52105">
              <w:rPr>
                <w:rFonts w:cs="Arial"/>
                <w:i/>
                <w:iCs/>
                <w:color w:val="000000"/>
                <w:sz w:val="18"/>
                <w:szCs w:val="18"/>
              </w:rPr>
              <w:t>.</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c>
          <w:tcPr>
            <w:tcW w:w="5280"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Phormidium chlorinum </w:t>
            </w:r>
            <w:r w:rsidRPr="00A52105">
              <w:rPr>
                <w:rFonts w:cs="Arial"/>
                <w:color w:val="000000"/>
                <w:sz w:val="18"/>
                <w:szCs w:val="18"/>
              </w:rPr>
              <w:t>(Kütz. ex Gom.) Anagn.</w:t>
            </w:r>
          </w:p>
        </w:tc>
      </w:tr>
      <w:tr w:rsidR="00A52105" w:rsidRPr="00A52105" w:rsidTr="00E42173">
        <w:trPr>
          <w:cantSplit/>
          <w:trHeight w:val="255"/>
        </w:trPr>
        <w:tc>
          <w:tcPr>
            <w:tcW w:w="5696" w:type="dxa"/>
            <w:shd w:val="clear" w:color="auto" w:fill="D9D9D9" w:themeFill="background1" w:themeFillShade="D9"/>
            <w:vAlign w:val="center"/>
          </w:tcPr>
          <w:p w:rsidR="00A52105" w:rsidRPr="00A52105" w:rsidRDefault="00A52105" w:rsidP="0098722C">
            <w:pPr>
              <w:autoSpaceDE w:val="0"/>
              <w:autoSpaceDN w:val="0"/>
              <w:adjustRightInd w:val="0"/>
              <w:spacing w:after="0"/>
              <w:rPr>
                <w:rFonts w:cs="Arial"/>
                <w:b/>
                <w:bCs/>
                <w:color w:val="000000"/>
                <w:sz w:val="18"/>
                <w:szCs w:val="18"/>
              </w:rPr>
            </w:pPr>
            <w:r w:rsidRPr="00A52105">
              <w:rPr>
                <w:rFonts w:cs="Arial"/>
                <w:b/>
                <w:bCs/>
                <w:color w:val="000000"/>
                <w:sz w:val="18"/>
                <w:szCs w:val="18"/>
              </w:rPr>
              <w:t>BACILLARIOPHYCEAE (= diatomáceas)</w:t>
            </w:r>
          </w:p>
        </w:tc>
        <w:tc>
          <w:tcPr>
            <w:tcW w:w="5280" w:type="dxa"/>
            <w:shd w:val="clear" w:color="auto" w:fill="D9D9D9" w:themeFill="background1" w:themeFillShade="D9"/>
            <w:vAlign w:val="center"/>
          </w:tcPr>
          <w:p w:rsidR="00A52105" w:rsidRPr="00A52105" w:rsidRDefault="00A52105" w:rsidP="0098722C">
            <w:pPr>
              <w:autoSpaceDE w:val="0"/>
              <w:autoSpaceDN w:val="0"/>
              <w:adjustRightInd w:val="0"/>
              <w:spacing w:after="0"/>
              <w:rPr>
                <w:rFonts w:cs="Arial"/>
                <w:b/>
                <w:bCs/>
                <w:color w:val="000000"/>
                <w:sz w:val="18"/>
                <w:szCs w:val="18"/>
              </w:rPr>
            </w:pPr>
            <w:r w:rsidRPr="00A52105">
              <w:rPr>
                <w:rFonts w:cs="Arial"/>
                <w:b/>
                <w:bCs/>
                <w:color w:val="000000"/>
                <w:sz w:val="18"/>
                <w:szCs w:val="18"/>
              </w:rPr>
              <w:t>BACILLARIOPHYCEAE</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i/>
                <w:iCs/>
                <w:color w:val="000000"/>
                <w:sz w:val="18"/>
                <w:szCs w:val="18"/>
              </w:rPr>
            </w:pPr>
            <w:r w:rsidRPr="00A52105">
              <w:rPr>
                <w:rFonts w:cs="Arial"/>
                <w:i/>
                <w:iCs/>
                <w:color w:val="000000"/>
                <w:sz w:val="18"/>
                <w:szCs w:val="18"/>
              </w:rPr>
              <w:t xml:space="preserve">Aulacoseira granulata </w:t>
            </w:r>
            <w:r w:rsidRPr="00A52105">
              <w:rPr>
                <w:rFonts w:cs="Arial"/>
                <w:color w:val="000000"/>
                <w:sz w:val="18"/>
                <w:szCs w:val="18"/>
              </w:rPr>
              <w:t xml:space="preserve">(Ehr.) Sim. var. </w:t>
            </w:r>
            <w:r w:rsidRPr="00A52105">
              <w:rPr>
                <w:rFonts w:cs="Arial"/>
                <w:i/>
                <w:iCs/>
                <w:color w:val="000000"/>
                <w:sz w:val="18"/>
                <w:szCs w:val="18"/>
              </w:rPr>
              <w:t>angustissima</w:t>
            </w:r>
          </w:p>
        </w:tc>
        <w:tc>
          <w:tcPr>
            <w:tcW w:w="5280"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Cyclotella meneghiniana </w:t>
            </w:r>
            <w:r w:rsidRPr="00A52105">
              <w:rPr>
                <w:rFonts w:cs="Arial"/>
                <w:color w:val="000000"/>
                <w:sz w:val="18"/>
                <w:szCs w:val="18"/>
              </w:rPr>
              <w:t>Kütz.</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Cyclotella </w:t>
            </w:r>
            <w:r w:rsidRPr="00A52105">
              <w:rPr>
                <w:rFonts w:cs="Arial"/>
                <w:color w:val="000000"/>
                <w:sz w:val="18"/>
                <w:szCs w:val="18"/>
              </w:rPr>
              <w:t>sp</w:t>
            </w:r>
          </w:p>
        </w:tc>
        <w:tc>
          <w:tcPr>
            <w:tcW w:w="5280"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Cyclotella </w:t>
            </w:r>
            <w:r w:rsidRPr="00A52105">
              <w:rPr>
                <w:rFonts w:cs="Arial"/>
                <w:color w:val="000000"/>
                <w:sz w:val="18"/>
                <w:szCs w:val="18"/>
              </w:rPr>
              <w:t>sp</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Fragilaria </w:t>
            </w:r>
            <w:r w:rsidRPr="00A52105">
              <w:rPr>
                <w:rFonts w:cs="Arial"/>
                <w:color w:val="000000"/>
                <w:sz w:val="18"/>
                <w:szCs w:val="18"/>
              </w:rPr>
              <w:t xml:space="preserve">capucina Desmaz. var. </w:t>
            </w:r>
            <w:r w:rsidRPr="00A52105">
              <w:rPr>
                <w:rFonts w:cs="Arial"/>
                <w:i/>
                <w:iCs/>
                <w:color w:val="000000"/>
                <w:sz w:val="18"/>
                <w:szCs w:val="18"/>
              </w:rPr>
              <w:t xml:space="preserve">gracilis </w:t>
            </w:r>
            <w:r w:rsidRPr="00A52105">
              <w:rPr>
                <w:rFonts w:cs="Arial"/>
                <w:color w:val="000000"/>
                <w:sz w:val="18"/>
                <w:szCs w:val="18"/>
              </w:rPr>
              <w:t>(Oestrup)</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Navicula </w:t>
            </w:r>
            <w:r w:rsidRPr="00A52105">
              <w:rPr>
                <w:rFonts w:cs="Arial"/>
                <w:color w:val="000000"/>
                <w:sz w:val="18"/>
                <w:szCs w:val="18"/>
              </w:rPr>
              <w:t>sp</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A52105" w:rsidTr="00E42173">
        <w:trPr>
          <w:cantSplit/>
          <w:trHeight w:val="255"/>
        </w:trPr>
        <w:tc>
          <w:tcPr>
            <w:tcW w:w="5696" w:type="dxa"/>
            <w:shd w:val="clear" w:color="auto" w:fill="D9D9D9" w:themeFill="background1" w:themeFillShade="D9"/>
            <w:vAlign w:val="center"/>
          </w:tcPr>
          <w:p w:rsidR="00A52105" w:rsidRPr="00A52105" w:rsidRDefault="00A52105" w:rsidP="0098722C">
            <w:pPr>
              <w:autoSpaceDE w:val="0"/>
              <w:autoSpaceDN w:val="0"/>
              <w:adjustRightInd w:val="0"/>
              <w:spacing w:after="0"/>
              <w:rPr>
                <w:rFonts w:cs="Arial"/>
                <w:b/>
                <w:bCs/>
                <w:color w:val="000000"/>
                <w:sz w:val="18"/>
                <w:szCs w:val="18"/>
              </w:rPr>
            </w:pPr>
            <w:r w:rsidRPr="00A52105">
              <w:rPr>
                <w:rFonts w:cs="Arial"/>
                <w:b/>
                <w:bCs/>
                <w:color w:val="000000"/>
                <w:sz w:val="18"/>
                <w:szCs w:val="18"/>
              </w:rPr>
              <w:t>CHLOROPHYCEAE</w:t>
            </w:r>
          </w:p>
        </w:tc>
        <w:tc>
          <w:tcPr>
            <w:tcW w:w="5280" w:type="dxa"/>
            <w:shd w:val="clear" w:color="auto" w:fill="D9D9D9" w:themeFill="background1" w:themeFillShade="D9"/>
            <w:vAlign w:val="center"/>
          </w:tcPr>
          <w:p w:rsidR="00A52105" w:rsidRPr="00A52105" w:rsidRDefault="00A52105" w:rsidP="0098722C">
            <w:pPr>
              <w:autoSpaceDE w:val="0"/>
              <w:autoSpaceDN w:val="0"/>
              <w:adjustRightInd w:val="0"/>
              <w:spacing w:after="0"/>
              <w:rPr>
                <w:rFonts w:cs="Arial"/>
                <w:b/>
                <w:bCs/>
                <w:color w:val="000000"/>
                <w:sz w:val="18"/>
                <w:szCs w:val="18"/>
              </w:rPr>
            </w:pPr>
            <w:r w:rsidRPr="00A52105">
              <w:rPr>
                <w:rFonts w:cs="Arial"/>
                <w:b/>
                <w:bCs/>
                <w:color w:val="000000"/>
                <w:sz w:val="18"/>
                <w:szCs w:val="18"/>
              </w:rPr>
              <w:t>CHLOROPHYCEAE</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Acutodesmus acuminatus </w:t>
            </w:r>
            <w:r w:rsidRPr="00A52105">
              <w:rPr>
                <w:rFonts w:cs="Arial"/>
                <w:color w:val="000000"/>
                <w:sz w:val="18"/>
                <w:szCs w:val="18"/>
              </w:rPr>
              <w:t>(Lag.) Tsarenko</w:t>
            </w:r>
          </w:p>
        </w:tc>
        <w:tc>
          <w:tcPr>
            <w:tcW w:w="5280" w:type="dxa"/>
            <w:vAlign w:val="center"/>
          </w:tcPr>
          <w:p w:rsidR="00A52105" w:rsidRPr="00A52105" w:rsidRDefault="00A52105" w:rsidP="0098722C">
            <w:pPr>
              <w:autoSpaceDE w:val="0"/>
              <w:autoSpaceDN w:val="0"/>
              <w:adjustRightInd w:val="0"/>
              <w:spacing w:after="0"/>
              <w:rPr>
                <w:rFonts w:cs="Arial"/>
                <w:i/>
                <w:iCs/>
                <w:color w:val="000000"/>
                <w:sz w:val="18"/>
                <w:szCs w:val="18"/>
              </w:rPr>
            </w:pPr>
            <w:r w:rsidRPr="00A52105">
              <w:rPr>
                <w:rFonts w:cs="Arial"/>
                <w:i/>
                <w:iCs/>
                <w:color w:val="000000"/>
                <w:sz w:val="18"/>
                <w:szCs w:val="18"/>
              </w:rPr>
              <w:t>Coelastrum reticulatum (Dang.) Senn.</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Chlamydomonas </w:t>
            </w:r>
            <w:r w:rsidRPr="00A52105">
              <w:rPr>
                <w:rFonts w:cs="Arial"/>
                <w:color w:val="000000"/>
                <w:sz w:val="18"/>
                <w:szCs w:val="18"/>
              </w:rPr>
              <w:t>sp</w:t>
            </w:r>
          </w:p>
        </w:tc>
        <w:tc>
          <w:tcPr>
            <w:tcW w:w="5280"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Eutetramorus fottii </w:t>
            </w:r>
            <w:r w:rsidRPr="00A52105">
              <w:rPr>
                <w:rFonts w:cs="Arial"/>
                <w:color w:val="000000"/>
                <w:sz w:val="18"/>
                <w:szCs w:val="18"/>
              </w:rPr>
              <w:t>(Hínd.) Kom.</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Chlorella vulgaris </w:t>
            </w:r>
            <w:r w:rsidRPr="00A52105">
              <w:rPr>
                <w:rFonts w:cs="Arial"/>
                <w:color w:val="000000"/>
                <w:sz w:val="18"/>
                <w:szCs w:val="18"/>
              </w:rPr>
              <w:t>Beij.</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Coelastrum pulchrum </w:t>
            </w:r>
            <w:r w:rsidRPr="00A52105">
              <w:rPr>
                <w:rFonts w:cs="Arial"/>
                <w:color w:val="000000"/>
                <w:sz w:val="18"/>
                <w:szCs w:val="18"/>
              </w:rPr>
              <w:t>Schmidle</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Coelastrum reticulatum</w:t>
            </w:r>
            <w:r w:rsidR="005A3F39">
              <w:rPr>
                <w:rFonts w:cs="Arial"/>
                <w:i/>
                <w:iCs/>
                <w:color w:val="000000"/>
                <w:sz w:val="18"/>
                <w:szCs w:val="18"/>
              </w:rPr>
              <w:t xml:space="preserve"> </w:t>
            </w:r>
            <w:r w:rsidRPr="00A52105">
              <w:rPr>
                <w:rFonts w:cs="Arial"/>
                <w:color w:val="000000"/>
                <w:sz w:val="18"/>
                <w:szCs w:val="18"/>
              </w:rPr>
              <w:t>(Dang.) Senn.</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Coelastrum </w:t>
            </w:r>
            <w:r w:rsidRPr="00A52105">
              <w:rPr>
                <w:rFonts w:cs="Arial"/>
                <w:color w:val="000000"/>
                <w:sz w:val="18"/>
                <w:szCs w:val="18"/>
              </w:rPr>
              <w:t>sp</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C21F9C" w:rsidTr="00E42173">
        <w:trPr>
          <w:cantSplit/>
          <w:trHeight w:val="255"/>
        </w:trPr>
        <w:tc>
          <w:tcPr>
            <w:tcW w:w="5696" w:type="dxa"/>
            <w:vAlign w:val="center"/>
          </w:tcPr>
          <w:p w:rsidR="00A52105" w:rsidRPr="00E65D3E" w:rsidRDefault="00A52105" w:rsidP="0098722C">
            <w:pPr>
              <w:autoSpaceDE w:val="0"/>
              <w:autoSpaceDN w:val="0"/>
              <w:adjustRightInd w:val="0"/>
              <w:spacing w:after="0"/>
              <w:rPr>
                <w:rFonts w:cs="Arial"/>
                <w:color w:val="000000"/>
                <w:sz w:val="18"/>
                <w:szCs w:val="18"/>
                <w:lang w:val="en-US"/>
              </w:rPr>
            </w:pPr>
            <w:r w:rsidRPr="00E65D3E">
              <w:rPr>
                <w:rFonts w:cs="Arial"/>
                <w:i/>
                <w:iCs/>
                <w:color w:val="000000"/>
                <w:sz w:val="18"/>
                <w:szCs w:val="18"/>
                <w:lang w:val="en-US"/>
              </w:rPr>
              <w:t xml:space="preserve">Desmodesmus denticulatus </w:t>
            </w:r>
            <w:r w:rsidRPr="00E65D3E">
              <w:rPr>
                <w:rFonts w:cs="Arial"/>
                <w:color w:val="000000"/>
                <w:sz w:val="18"/>
                <w:szCs w:val="18"/>
                <w:lang w:val="en-US"/>
              </w:rPr>
              <w:t>(Lag.) An, Friedl &amp; Hegewald</w:t>
            </w:r>
          </w:p>
        </w:tc>
        <w:tc>
          <w:tcPr>
            <w:tcW w:w="5280" w:type="dxa"/>
            <w:vAlign w:val="center"/>
          </w:tcPr>
          <w:p w:rsidR="00A52105" w:rsidRPr="00E65D3E" w:rsidRDefault="00A52105" w:rsidP="0098722C">
            <w:pPr>
              <w:autoSpaceDE w:val="0"/>
              <w:autoSpaceDN w:val="0"/>
              <w:adjustRightInd w:val="0"/>
              <w:spacing w:after="0"/>
              <w:jc w:val="right"/>
              <w:rPr>
                <w:rFonts w:cs="Arial"/>
                <w:color w:val="000000"/>
                <w:sz w:val="18"/>
                <w:szCs w:val="18"/>
                <w:lang w:val="en-US"/>
              </w:rPr>
            </w:pP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Dictyosphaerium pulchellum </w:t>
            </w:r>
            <w:r w:rsidRPr="00A52105">
              <w:rPr>
                <w:rFonts w:cs="Arial"/>
                <w:color w:val="000000"/>
                <w:sz w:val="18"/>
                <w:szCs w:val="18"/>
              </w:rPr>
              <w:t>Wood</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Eutetramorus fottii </w:t>
            </w:r>
            <w:r w:rsidRPr="00A52105">
              <w:rPr>
                <w:rFonts w:cs="Arial"/>
                <w:color w:val="000000"/>
                <w:sz w:val="18"/>
                <w:szCs w:val="18"/>
              </w:rPr>
              <w:t>(Hínd.) Kom.</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b/>
                <w:bCs/>
                <w:color w:val="000000"/>
                <w:sz w:val="18"/>
                <w:szCs w:val="18"/>
              </w:rPr>
            </w:pPr>
            <w:r w:rsidRPr="00A52105">
              <w:rPr>
                <w:rFonts w:cs="Arial"/>
                <w:i/>
                <w:iCs/>
                <w:color w:val="000000"/>
                <w:sz w:val="18"/>
                <w:szCs w:val="18"/>
              </w:rPr>
              <w:t xml:space="preserve">Monoraphidium irregulare </w:t>
            </w:r>
            <w:r w:rsidRPr="00A52105">
              <w:rPr>
                <w:rFonts w:cs="Arial"/>
                <w:color w:val="000000"/>
                <w:sz w:val="18"/>
                <w:szCs w:val="18"/>
              </w:rPr>
              <w:t>(G.M.Smith) Kom.-Legn</w:t>
            </w:r>
            <w:r w:rsidRPr="00A52105">
              <w:rPr>
                <w:rFonts w:cs="Arial"/>
                <w:b/>
                <w:bCs/>
                <w:color w:val="000000"/>
                <w:sz w:val="18"/>
                <w:szCs w:val="18"/>
              </w:rPr>
              <w:t>.</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Pediastrum duplex </w:t>
            </w:r>
            <w:r w:rsidRPr="00A52105">
              <w:rPr>
                <w:rFonts w:cs="Arial"/>
                <w:color w:val="000000"/>
                <w:sz w:val="18"/>
                <w:szCs w:val="18"/>
              </w:rPr>
              <w:t>Meyen</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Pseudodidymocystis fina </w:t>
            </w:r>
            <w:r w:rsidRPr="00A52105">
              <w:rPr>
                <w:rFonts w:cs="Arial"/>
                <w:color w:val="000000"/>
                <w:sz w:val="18"/>
                <w:szCs w:val="18"/>
              </w:rPr>
              <w:t>Kom.</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C21F9C" w:rsidTr="00E42173">
        <w:trPr>
          <w:cantSplit/>
          <w:trHeight w:val="255"/>
        </w:trPr>
        <w:tc>
          <w:tcPr>
            <w:tcW w:w="5696" w:type="dxa"/>
            <w:vAlign w:val="center"/>
          </w:tcPr>
          <w:p w:rsidR="00A52105" w:rsidRPr="00E65D3E" w:rsidRDefault="00A52105" w:rsidP="0098722C">
            <w:pPr>
              <w:autoSpaceDE w:val="0"/>
              <w:autoSpaceDN w:val="0"/>
              <w:adjustRightInd w:val="0"/>
              <w:spacing w:after="0"/>
              <w:rPr>
                <w:rFonts w:cs="Arial"/>
                <w:color w:val="000000"/>
                <w:sz w:val="18"/>
                <w:szCs w:val="18"/>
                <w:lang w:val="en-US"/>
              </w:rPr>
            </w:pPr>
            <w:r w:rsidRPr="00E65D3E">
              <w:rPr>
                <w:rFonts w:cs="Arial"/>
                <w:i/>
                <w:iCs/>
                <w:color w:val="000000"/>
                <w:sz w:val="18"/>
                <w:szCs w:val="18"/>
                <w:lang w:val="en-US"/>
              </w:rPr>
              <w:t xml:space="preserve">Tetraedron minimum </w:t>
            </w:r>
            <w:r w:rsidRPr="00E65D3E">
              <w:rPr>
                <w:rFonts w:cs="Arial"/>
                <w:color w:val="000000"/>
                <w:sz w:val="18"/>
                <w:szCs w:val="18"/>
                <w:lang w:val="en-US"/>
              </w:rPr>
              <w:t>(A. Br.) Hansg.</w:t>
            </w:r>
          </w:p>
        </w:tc>
        <w:tc>
          <w:tcPr>
            <w:tcW w:w="5280" w:type="dxa"/>
            <w:vAlign w:val="center"/>
          </w:tcPr>
          <w:p w:rsidR="00A52105" w:rsidRPr="00E65D3E" w:rsidRDefault="00A52105" w:rsidP="0098722C">
            <w:pPr>
              <w:autoSpaceDE w:val="0"/>
              <w:autoSpaceDN w:val="0"/>
              <w:adjustRightInd w:val="0"/>
              <w:spacing w:after="0"/>
              <w:jc w:val="right"/>
              <w:rPr>
                <w:rFonts w:cs="Arial"/>
                <w:color w:val="000000"/>
                <w:sz w:val="18"/>
                <w:szCs w:val="18"/>
                <w:lang w:val="en-US"/>
              </w:rPr>
            </w:pPr>
          </w:p>
        </w:tc>
      </w:tr>
      <w:tr w:rsidR="00A52105" w:rsidRPr="00A52105" w:rsidTr="00E42173">
        <w:trPr>
          <w:cantSplit/>
          <w:trHeight w:val="255"/>
        </w:trPr>
        <w:tc>
          <w:tcPr>
            <w:tcW w:w="5696" w:type="dxa"/>
            <w:shd w:val="clear" w:color="auto" w:fill="D9D9D9" w:themeFill="background1" w:themeFillShade="D9"/>
            <w:vAlign w:val="center"/>
          </w:tcPr>
          <w:p w:rsidR="00A52105" w:rsidRPr="00A52105" w:rsidRDefault="00A52105" w:rsidP="0098722C">
            <w:pPr>
              <w:autoSpaceDE w:val="0"/>
              <w:autoSpaceDN w:val="0"/>
              <w:adjustRightInd w:val="0"/>
              <w:spacing w:after="0"/>
              <w:rPr>
                <w:rFonts w:cs="Arial"/>
                <w:b/>
                <w:bCs/>
                <w:color w:val="000000"/>
                <w:sz w:val="18"/>
                <w:szCs w:val="18"/>
              </w:rPr>
            </w:pPr>
            <w:r w:rsidRPr="00A52105">
              <w:rPr>
                <w:rFonts w:cs="Arial"/>
                <w:b/>
                <w:bCs/>
                <w:color w:val="000000"/>
                <w:sz w:val="18"/>
                <w:szCs w:val="18"/>
              </w:rPr>
              <w:t>CHRYSOPHYCEAE</w:t>
            </w:r>
          </w:p>
        </w:tc>
        <w:tc>
          <w:tcPr>
            <w:tcW w:w="5280" w:type="dxa"/>
            <w:shd w:val="clear" w:color="auto" w:fill="D9D9D9" w:themeFill="background1" w:themeFillShade="D9"/>
            <w:vAlign w:val="center"/>
          </w:tcPr>
          <w:p w:rsidR="00A52105" w:rsidRPr="00A52105" w:rsidRDefault="00A52105" w:rsidP="0098722C">
            <w:pPr>
              <w:autoSpaceDE w:val="0"/>
              <w:autoSpaceDN w:val="0"/>
              <w:adjustRightInd w:val="0"/>
              <w:spacing w:after="0"/>
              <w:rPr>
                <w:rFonts w:cs="Arial"/>
                <w:b/>
                <w:bCs/>
                <w:color w:val="000000"/>
                <w:sz w:val="18"/>
                <w:szCs w:val="18"/>
              </w:rPr>
            </w:pPr>
            <w:r w:rsidRPr="00A52105">
              <w:rPr>
                <w:rFonts w:cs="Arial"/>
                <w:b/>
                <w:bCs/>
                <w:color w:val="000000"/>
                <w:sz w:val="18"/>
                <w:szCs w:val="18"/>
              </w:rPr>
              <w:t>CHRYSOPHYCEAE</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Chromulina </w:t>
            </w:r>
            <w:r w:rsidRPr="00A52105">
              <w:rPr>
                <w:rFonts w:cs="Arial"/>
                <w:color w:val="000000"/>
                <w:sz w:val="18"/>
                <w:szCs w:val="18"/>
              </w:rPr>
              <w:t>sp</w:t>
            </w:r>
          </w:p>
        </w:tc>
        <w:tc>
          <w:tcPr>
            <w:tcW w:w="5280"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Mallomonas </w:t>
            </w:r>
            <w:r w:rsidRPr="00A52105">
              <w:rPr>
                <w:rFonts w:cs="Arial"/>
                <w:color w:val="000000"/>
                <w:sz w:val="18"/>
                <w:szCs w:val="18"/>
              </w:rPr>
              <w:t>sp</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Dinobryon bavaricum </w:t>
            </w:r>
            <w:r w:rsidRPr="00A52105">
              <w:rPr>
                <w:rFonts w:cs="Arial"/>
                <w:color w:val="000000"/>
                <w:sz w:val="18"/>
                <w:szCs w:val="18"/>
              </w:rPr>
              <w:t>Imhot</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Mallomonas </w:t>
            </w:r>
            <w:r w:rsidRPr="00A52105">
              <w:rPr>
                <w:rFonts w:cs="Arial"/>
                <w:color w:val="000000"/>
                <w:sz w:val="18"/>
                <w:szCs w:val="18"/>
              </w:rPr>
              <w:t>sp</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A52105" w:rsidTr="00E42173">
        <w:trPr>
          <w:cantSplit/>
          <w:trHeight w:val="255"/>
        </w:trPr>
        <w:tc>
          <w:tcPr>
            <w:tcW w:w="5696" w:type="dxa"/>
            <w:shd w:val="clear" w:color="auto" w:fill="D9D9D9" w:themeFill="background1" w:themeFillShade="D9"/>
            <w:vAlign w:val="center"/>
          </w:tcPr>
          <w:p w:rsidR="00A52105" w:rsidRPr="00A52105" w:rsidRDefault="00A52105" w:rsidP="0098722C">
            <w:pPr>
              <w:autoSpaceDE w:val="0"/>
              <w:autoSpaceDN w:val="0"/>
              <w:adjustRightInd w:val="0"/>
              <w:spacing w:after="0"/>
              <w:rPr>
                <w:rFonts w:cs="Arial"/>
                <w:b/>
                <w:bCs/>
                <w:color w:val="000000"/>
                <w:sz w:val="18"/>
                <w:szCs w:val="18"/>
              </w:rPr>
            </w:pPr>
            <w:r w:rsidRPr="00A52105">
              <w:rPr>
                <w:rFonts w:cs="Arial"/>
                <w:b/>
                <w:bCs/>
                <w:color w:val="000000"/>
                <w:sz w:val="18"/>
                <w:szCs w:val="18"/>
              </w:rPr>
              <w:t>DINOPHYCEAE</w:t>
            </w:r>
          </w:p>
        </w:tc>
        <w:tc>
          <w:tcPr>
            <w:tcW w:w="5280" w:type="dxa"/>
            <w:shd w:val="clear" w:color="auto" w:fill="D9D9D9" w:themeFill="background1" w:themeFillShade="D9"/>
            <w:vAlign w:val="center"/>
          </w:tcPr>
          <w:p w:rsidR="00A52105" w:rsidRPr="00A52105" w:rsidRDefault="00A52105" w:rsidP="0098722C">
            <w:pPr>
              <w:autoSpaceDE w:val="0"/>
              <w:autoSpaceDN w:val="0"/>
              <w:adjustRightInd w:val="0"/>
              <w:spacing w:after="0"/>
              <w:rPr>
                <w:rFonts w:cs="Arial"/>
                <w:b/>
                <w:bCs/>
                <w:color w:val="000000"/>
                <w:sz w:val="18"/>
                <w:szCs w:val="18"/>
              </w:rPr>
            </w:pPr>
            <w:r w:rsidRPr="00A52105">
              <w:rPr>
                <w:rFonts w:cs="Arial"/>
                <w:b/>
                <w:bCs/>
                <w:color w:val="000000"/>
                <w:sz w:val="18"/>
                <w:szCs w:val="18"/>
              </w:rPr>
              <w:t>DINOPHYCEAE</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Ceratium furcoides </w:t>
            </w:r>
            <w:r w:rsidRPr="00A52105">
              <w:rPr>
                <w:rFonts w:cs="Arial"/>
                <w:color w:val="000000"/>
                <w:sz w:val="18"/>
                <w:szCs w:val="18"/>
              </w:rPr>
              <w:t>(Levander) Lang.</w:t>
            </w:r>
          </w:p>
        </w:tc>
        <w:tc>
          <w:tcPr>
            <w:tcW w:w="5280"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Ceratium furcoides </w:t>
            </w:r>
            <w:r w:rsidRPr="00A52105">
              <w:rPr>
                <w:rFonts w:cs="Arial"/>
                <w:color w:val="000000"/>
                <w:sz w:val="18"/>
                <w:szCs w:val="18"/>
              </w:rPr>
              <w:t>(Levander) Lang.</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Glochidinium </w:t>
            </w:r>
            <w:r w:rsidRPr="00A52105">
              <w:rPr>
                <w:rFonts w:cs="Arial"/>
                <w:color w:val="000000"/>
                <w:sz w:val="18"/>
                <w:szCs w:val="18"/>
              </w:rPr>
              <w:t>sp</w:t>
            </w:r>
          </w:p>
        </w:tc>
        <w:tc>
          <w:tcPr>
            <w:tcW w:w="5280"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Glochidinium </w:t>
            </w:r>
            <w:r w:rsidRPr="00A52105">
              <w:rPr>
                <w:rFonts w:cs="Arial"/>
                <w:color w:val="000000"/>
                <w:sz w:val="18"/>
                <w:szCs w:val="18"/>
              </w:rPr>
              <w:t>sp</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Peridinium </w:t>
            </w:r>
            <w:r w:rsidRPr="00A52105">
              <w:rPr>
                <w:rFonts w:cs="Arial"/>
                <w:color w:val="000000"/>
                <w:sz w:val="18"/>
                <w:szCs w:val="18"/>
              </w:rPr>
              <w:t>sp</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A52105" w:rsidTr="00E42173">
        <w:trPr>
          <w:cantSplit/>
          <w:trHeight w:val="255"/>
        </w:trPr>
        <w:tc>
          <w:tcPr>
            <w:tcW w:w="5696" w:type="dxa"/>
            <w:shd w:val="clear" w:color="auto" w:fill="D9D9D9" w:themeFill="background1" w:themeFillShade="D9"/>
            <w:vAlign w:val="center"/>
          </w:tcPr>
          <w:p w:rsidR="00A52105" w:rsidRPr="00A52105" w:rsidRDefault="00A52105" w:rsidP="0098722C">
            <w:pPr>
              <w:autoSpaceDE w:val="0"/>
              <w:autoSpaceDN w:val="0"/>
              <w:adjustRightInd w:val="0"/>
              <w:spacing w:after="0"/>
              <w:rPr>
                <w:rFonts w:cs="Arial"/>
                <w:b/>
                <w:bCs/>
                <w:color w:val="000000"/>
                <w:sz w:val="18"/>
                <w:szCs w:val="18"/>
              </w:rPr>
            </w:pPr>
            <w:r w:rsidRPr="00A52105">
              <w:rPr>
                <w:rFonts w:cs="Arial"/>
                <w:b/>
                <w:bCs/>
                <w:color w:val="000000"/>
                <w:sz w:val="18"/>
                <w:szCs w:val="18"/>
              </w:rPr>
              <w:t>EUGLENOPHYCEAE</w:t>
            </w:r>
          </w:p>
        </w:tc>
        <w:tc>
          <w:tcPr>
            <w:tcW w:w="5280" w:type="dxa"/>
            <w:shd w:val="clear" w:color="auto" w:fill="D9D9D9" w:themeFill="background1" w:themeFillShade="D9"/>
            <w:vAlign w:val="center"/>
          </w:tcPr>
          <w:p w:rsidR="00A52105" w:rsidRPr="00A52105" w:rsidRDefault="00A52105" w:rsidP="0098722C">
            <w:pPr>
              <w:autoSpaceDE w:val="0"/>
              <w:autoSpaceDN w:val="0"/>
              <w:adjustRightInd w:val="0"/>
              <w:spacing w:after="0"/>
              <w:rPr>
                <w:rFonts w:cs="Arial"/>
                <w:b/>
                <w:bCs/>
                <w:color w:val="000000"/>
                <w:sz w:val="18"/>
                <w:szCs w:val="18"/>
              </w:rPr>
            </w:pPr>
            <w:r w:rsidRPr="00A52105">
              <w:rPr>
                <w:rFonts w:cs="Arial"/>
                <w:b/>
                <w:bCs/>
                <w:color w:val="000000"/>
                <w:sz w:val="18"/>
                <w:szCs w:val="18"/>
              </w:rPr>
              <w:t>EUGLENOPHYCEAE</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Trachelomonas volvocinopsis </w:t>
            </w:r>
            <w:r w:rsidRPr="00A52105">
              <w:rPr>
                <w:rFonts w:cs="Arial"/>
                <w:color w:val="000000"/>
                <w:sz w:val="18"/>
                <w:szCs w:val="18"/>
              </w:rPr>
              <w:t>Swirenko</w:t>
            </w:r>
          </w:p>
        </w:tc>
        <w:tc>
          <w:tcPr>
            <w:tcW w:w="5280"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Trachelomonas volvocinopsis </w:t>
            </w:r>
            <w:r w:rsidRPr="00A52105">
              <w:rPr>
                <w:rFonts w:cs="Arial"/>
                <w:color w:val="000000"/>
                <w:sz w:val="18"/>
                <w:szCs w:val="18"/>
              </w:rPr>
              <w:t>Swirenko</w:t>
            </w:r>
          </w:p>
        </w:tc>
      </w:tr>
      <w:tr w:rsidR="00A52105" w:rsidRPr="00A52105" w:rsidTr="00E42173">
        <w:trPr>
          <w:cantSplit/>
          <w:trHeight w:val="255"/>
        </w:trPr>
        <w:tc>
          <w:tcPr>
            <w:tcW w:w="5696" w:type="dxa"/>
            <w:shd w:val="clear" w:color="auto" w:fill="D9D9D9" w:themeFill="background1" w:themeFillShade="D9"/>
            <w:vAlign w:val="center"/>
          </w:tcPr>
          <w:p w:rsidR="00A52105" w:rsidRPr="00A52105" w:rsidRDefault="00A52105" w:rsidP="0098722C">
            <w:pPr>
              <w:autoSpaceDE w:val="0"/>
              <w:autoSpaceDN w:val="0"/>
              <w:adjustRightInd w:val="0"/>
              <w:spacing w:after="0"/>
              <w:rPr>
                <w:rFonts w:cs="Arial"/>
                <w:b/>
                <w:bCs/>
                <w:color w:val="000000"/>
                <w:sz w:val="18"/>
                <w:szCs w:val="18"/>
              </w:rPr>
            </w:pPr>
            <w:r w:rsidRPr="00A52105">
              <w:rPr>
                <w:rFonts w:cs="Arial"/>
                <w:b/>
                <w:bCs/>
                <w:color w:val="000000"/>
                <w:sz w:val="18"/>
                <w:szCs w:val="18"/>
              </w:rPr>
              <w:t>ZYGNEMAPHYCEAE</w:t>
            </w:r>
          </w:p>
        </w:tc>
        <w:tc>
          <w:tcPr>
            <w:tcW w:w="5280" w:type="dxa"/>
            <w:shd w:val="clear" w:color="auto" w:fill="D9D9D9" w:themeFill="background1" w:themeFillShade="D9"/>
            <w:vAlign w:val="center"/>
          </w:tcPr>
          <w:p w:rsidR="00A52105" w:rsidRPr="00A52105" w:rsidRDefault="00A52105" w:rsidP="0098722C">
            <w:pPr>
              <w:autoSpaceDE w:val="0"/>
              <w:autoSpaceDN w:val="0"/>
              <w:adjustRightInd w:val="0"/>
              <w:spacing w:after="0"/>
              <w:rPr>
                <w:rFonts w:cs="Arial"/>
                <w:b/>
                <w:bCs/>
                <w:color w:val="000000"/>
                <w:sz w:val="18"/>
                <w:szCs w:val="18"/>
              </w:rPr>
            </w:pPr>
            <w:r w:rsidRPr="00A52105">
              <w:rPr>
                <w:rFonts w:cs="Arial"/>
                <w:b/>
                <w:bCs/>
                <w:color w:val="000000"/>
                <w:sz w:val="18"/>
                <w:szCs w:val="18"/>
              </w:rPr>
              <w:t>ZYGNEMAPHYCEAE</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Closterium acutum </w:t>
            </w:r>
            <w:r w:rsidRPr="00A52105">
              <w:rPr>
                <w:rFonts w:cs="Arial"/>
                <w:color w:val="000000"/>
                <w:sz w:val="18"/>
                <w:szCs w:val="18"/>
              </w:rPr>
              <w:t>Bréb. ex Ralfs</w:t>
            </w:r>
          </w:p>
        </w:tc>
        <w:tc>
          <w:tcPr>
            <w:tcW w:w="5280"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Staurastrum leptocladum </w:t>
            </w:r>
            <w:r w:rsidRPr="00A52105">
              <w:rPr>
                <w:rFonts w:cs="Arial"/>
                <w:color w:val="000000"/>
                <w:sz w:val="18"/>
                <w:szCs w:val="18"/>
              </w:rPr>
              <w:t>Nordst.</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Staurastrum inversenii </w:t>
            </w:r>
            <w:r w:rsidRPr="00A52105">
              <w:rPr>
                <w:rFonts w:cs="Arial"/>
                <w:color w:val="000000"/>
                <w:sz w:val="18"/>
                <w:szCs w:val="18"/>
              </w:rPr>
              <w:t>Nygaard</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Staurastrum paradoxum </w:t>
            </w:r>
            <w:r w:rsidRPr="00A52105">
              <w:rPr>
                <w:rFonts w:cs="Arial"/>
                <w:color w:val="000000"/>
                <w:sz w:val="18"/>
                <w:szCs w:val="18"/>
              </w:rPr>
              <w:t>Meyen var</w:t>
            </w:r>
            <w:r w:rsidRPr="00A52105">
              <w:rPr>
                <w:rFonts w:cs="Arial"/>
                <w:i/>
                <w:iCs/>
                <w:color w:val="000000"/>
                <w:sz w:val="18"/>
                <w:szCs w:val="18"/>
              </w:rPr>
              <w:t xml:space="preserve">. parvum </w:t>
            </w:r>
            <w:r w:rsidRPr="00A52105">
              <w:rPr>
                <w:rFonts w:cs="Arial"/>
                <w:color w:val="000000"/>
                <w:sz w:val="18"/>
                <w:szCs w:val="18"/>
              </w:rPr>
              <w:t>(West)</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Staurastrum </w:t>
            </w:r>
            <w:r w:rsidRPr="00A52105">
              <w:rPr>
                <w:rFonts w:cs="Arial"/>
                <w:color w:val="000000"/>
                <w:sz w:val="18"/>
                <w:szCs w:val="18"/>
              </w:rPr>
              <w:t>sp1</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Staurastrum </w:t>
            </w:r>
            <w:r w:rsidRPr="00A52105">
              <w:rPr>
                <w:rFonts w:cs="Arial"/>
                <w:color w:val="000000"/>
                <w:sz w:val="18"/>
                <w:szCs w:val="18"/>
              </w:rPr>
              <w:t>sp2</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Staurastrum tetracerum </w:t>
            </w:r>
            <w:r w:rsidRPr="00A52105">
              <w:rPr>
                <w:rFonts w:cs="Arial"/>
                <w:color w:val="000000"/>
                <w:sz w:val="18"/>
                <w:szCs w:val="18"/>
              </w:rPr>
              <w:t>(Kütz.) Ralfs</w:t>
            </w:r>
          </w:p>
        </w:tc>
        <w:tc>
          <w:tcPr>
            <w:tcW w:w="5280"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c>
          <w:tcPr>
            <w:tcW w:w="5280" w:type="dxa"/>
            <w:shd w:val="clear" w:color="auto" w:fill="D9D9D9" w:themeFill="background1" w:themeFillShade="D9"/>
            <w:vAlign w:val="center"/>
          </w:tcPr>
          <w:p w:rsidR="00A52105" w:rsidRPr="00A52105" w:rsidRDefault="00A52105" w:rsidP="0098722C">
            <w:pPr>
              <w:autoSpaceDE w:val="0"/>
              <w:autoSpaceDN w:val="0"/>
              <w:adjustRightInd w:val="0"/>
              <w:spacing w:after="0"/>
              <w:rPr>
                <w:rFonts w:cs="Arial"/>
                <w:b/>
                <w:bCs/>
                <w:color w:val="000000"/>
                <w:sz w:val="18"/>
                <w:szCs w:val="18"/>
              </w:rPr>
            </w:pPr>
            <w:r w:rsidRPr="00A52105">
              <w:rPr>
                <w:rFonts w:cs="Arial"/>
                <w:b/>
                <w:bCs/>
                <w:color w:val="000000"/>
                <w:sz w:val="18"/>
                <w:szCs w:val="18"/>
              </w:rPr>
              <w:t>CRYPTOPHYCEAE</w:t>
            </w:r>
          </w:p>
        </w:tc>
      </w:tr>
      <w:tr w:rsidR="00A52105" w:rsidRPr="00A52105" w:rsidTr="00E42173">
        <w:trPr>
          <w:cantSplit/>
          <w:trHeight w:val="255"/>
        </w:trPr>
        <w:tc>
          <w:tcPr>
            <w:tcW w:w="5696" w:type="dxa"/>
            <w:vAlign w:val="center"/>
          </w:tcPr>
          <w:p w:rsidR="00A52105" w:rsidRPr="00A52105" w:rsidRDefault="00A52105" w:rsidP="0098722C">
            <w:pPr>
              <w:autoSpaceDE w:val="0"/>
              <w:autoSpaceDN w:val="0"/>
              <w:adjustRightInd w:val="0"/>
              <w:spacing w:after="0"/>
              <w:jc w:val="right"/>
              <w:rPr>
                <w:rFonts w:cs="Arial"/>
                <w:color w:val="000000"/>
                <w:sz w:val="18"/>
                <w:szCs w:val="18"/>
              </w:rPr>
            </w:pPr>
          </w:p>
        </w:tc>
        <w:tc>
          <w:tcPr>
            <w:tcW w:w="5280" w:type="dxa"/>
            <w:vAlign w:val="center"/>
          </w:tcPr>
          <w:p w:rsidR="00A52105" w:rsidRPr="00A52105" w:rsidRDefault="00A52105" w:rsidP="0098722C">
            <w:pPr>
              <w:autoSpaceDE w:val="0"/>
              <w:autoSpaceDN w:val="0"/>
              <w:adjustRightInd w:val="0"/>
              <w:spacing w:after="0"/>
              <w:rPr>
                <w:rFonts w:cs="Arial"/>
                <w:color w:val="000000"/>
                <w:sz w:val="18"/>
                <w:szCs w:val="18"/>
              </w:rPr>
            </w:pPr>
            <w:r w:rsidRPr="00A52105">
              <w:rPr>
                <w:rFonts w:cs="Arial"/>
                <w:i/>
                <w:iCs/>
                <w:color w:val="000000"/>
                <w:sz w:val="18"/>
                <w:szCs w:val="18"/>
              </w:rPr>
              <w:t xml:space="preserve">Cryptomonas </w:t>
            </w:r>
            <w:r w:rsidRPr="00A52105">
              <w:rPr>
                <w:rFonts w:cs="Arial"/>
                <w:color w:val="000000"/>
                <w:sz w:val="18"/>
                <w:szCs w:val="18"/>
              </w:rPr>
              <w:t>sp</w:t>
            </w:r>
          </w:p>
        </w:tc>
      </w:tr>
    </w:tbl>
    <w:p w:rsidR="00A52105" w:rsidRDefault="00A52105" w:rsidP="00103511"/>
    <w:p w:rsidR="00625EAA" w:rsidRDefault="00625EAA" w:rsidP="00103511">
      <w:r>
        <w:t xml:space="preserve">Como pode ser constatado a diversidade observada </w:t>
      </w:r>
      <w:r w:rsidR="00103511">
        <w:t>no</w:t>
      </w:r>
      <w:r>
        <w:t xml:space="preserve"> Atibainha foi maior que </w:t>
      </w:r>
      <w:r w:rsidR="00103511">
        <w:t>no</w:t>
      </w:r>
      <w:r>
        <w:t xml:space="preserve"> Jaguari.</w:t>
      </w:r>
    </w:p>
    <w:p w:rsidR="00625EAA" w:rsidRDefault="00625EAA" w:rsidP="00103511">
      <w:pPr>
        <w:rPr>
          <w:rFonts w:cs="AdvPSNBAS-R"/>
        </w:rPr>
      </w:pPr>
      <w:r w:rsidRPr="006608EC">
        <w:lastRenderedPageBreak/>
        <w:t>Devido a seu pequeno tamanho</w:t>
      </w:r>
      <w:r>
        <w:t>,</w:t>
      </w:r>
      <w:r w:rsidRPr="006608EC">
        <w:t xml:space="preserve"> curto tempo de geração</w:t>
      </w:r>
      <w:r>
        <w:t xml:space="preserve"> e facilidade de dispersão</w:t>
      </w:r>
      <w:r w:rsidR="00103511">
        <w:t>,</w:t>
      </w:r>
      <w:r>
        <w:t xml:space="preserve"> a presença de uma certa assembleia de espécies num determinado lugar está associada principalmente às condições ecológicas presentes. Há uma facilidade de transporte de pequenos organismos como as algas do fitoplâncton, embora para a maioria delas não existe nenhuma informação sobre o mecanismo de transporte. Sabe-se que as algas podem se dispersar passivamente por meio da água, do ar e de outros organismos, como aves e mesmo o homem, por meio dos barcos e </w:t>
      </w:r>
      <w:r w:rsidR="00103511">
        <w:t>a</w:t>
      </w:r>
      <w:r>
        <w:t xml:space="preserve">petrechos de pesca, por exemplo </w:t>
      </w:r>
      <w:r w:rsidRPr="00B15F5E">
        <w:t>(</w:t>
      </w:r>
      <w:r w:rsidRPr="00B15F5E">
        <w:rPr>
          <w:rFonts w:cs="AdvPSNBAS-R"/>
        </w:rPr>
        <w:t>Kristiansen 1996</w:t>
      </w:r>
      <w:r>
        <w:rPr>
          <w:rFonts w:cs="AdvPSNBAS-R"/>
        </w:rPr>
        <w:t>). Comparado com o transporte pela água, o transporte pelo ar pode se dar por distâncias maiores, havendo inclusive espécies</w:t>
      </w:r>
      <w:r w:rsidR="00103511">
        <w:rPr>
          <w:rFonts w:cs="AdvPSNBAS-R"/>
        </w:rPr>
        <w:t xml:space="preserve"> </w:t>
      </w:r>
      <w:r>
        <w:rPr>
          <w:rFonts w:cs="AdvPSNBAS-R"/>
        </w:rPr>
        <w:t xml:space="preserve">resistentes à dissecação por longos períodos de tempo, a chamada flora aero-algal ou algas nascidas do ar (Sharma et al., 2007). </w:t>
      </w:r>
    </w:p>
    <w:p w:rsidR="00625EAA" w:rsidRDefault="00625EAA" w:rsidP="00103511">
      <w:pPr>
        <w:rPr>
          <w:rFonts w:eastAsia="FreeSans" w:cs="FreeSans"/>
        </w:rPr>
      </w:pPr>
      <w:r w:rsidRPr="00A9509D">
        <w:rPr>
          <w:rFonts w:cs="Arial"/>
        </w:rPr>
        <w:t xml:space="preserve">Os organismos animais do plâncton constituem a comunidade zooplanctônica que compreende organismos de tamanho que varia desde 40 </w:t>
      </w:r>
      <w:r>
        <w:rPr>
          <w:rFonts w:cs="Symbol"/>
        </w:rPr>
        <w:t>u</w:t>
      </w:r>
      <w:r w:rsidRPr="00A9509D">
        <w:rPr>
          <w:rFonts w:cs="Arial"/>
        </w:rPr>
        <w:t xml:space="preserve">m a 2,5 cm ou até mais. O zooplâncton é representado principalmente por três grandes grupos: </w:t>
      </w:r>
      <w:r w:rsidRPr="00A9509D">
        <w:rPr>
          <w:rFonts w:cs="Arial"/>
          <w:b/>
          <w:bCs/>
        </w:rPr>
        <w:t xml:space="preserve">ROTIFERA, CLADOCERA </w:t>
      </w:r>
      <w:r w:rsidRPr="00A9509D">
        <w:rPr>
          <w:rFonts w:cs="Arial"/>
        </w:rPr>
        <w:t xml:space="preserve">e </w:t>
      </w:r>
      <w:r w:rsidRPr="00A9509D">
        <w:rPr>
          <w:rFonts w:cs="Arial"/>
          <w:b/>
          <w:bCs/>
        </w:rPr>
        <w:t>COPEPODA</w:t>
      </w:r>
      <w:r w:rsidRPr="00A9509D">
        <w:rPr>
          <w:rFonts w:cs="Arial"/>
        </w:rPr>
        <w:t>, podendo</w:t>
      </w:r>
      <w:r>
        <w:rPr>
          <w:rFonts w:cs="Arial"/>
        </w:rPr>
        <w:t xml:space="preserve"> dele</w:t>
      </w:r>
      <w:r w:rsidRPr="00A9509D">
        <w:rPr>
          <w:rFonts w:cs="Arial"/>
        </w:rPr>
        <w:t xml:space="preserve"> fazer parte ocasionalmente outros grupos (dependendo do sistema considerado), como PROTOZOA, DIPTERA (</w:t>
      </w:r>
      <w:r w:rsidRPr="00A9509D">
        <w:rPr>
          <w:rFonts w:cs="Arial"/>
          <w:i/>
          <w:iCs/>
        </w:rPr>
        <w:t xml:space="preserve">Chaoborus), </w:t>
      </w:r>
      <w:r w:rsidRPr="00A9509D">
        <w:rPr>
          <w:rFonts w:cs="Arial"/>
        </w:rPr>
        <w:t>MOLUSCA (</w:t>
      </w:r>
      <w:r w:rsidRPr="00A9509D">
        <w:rPr>
          <w:rFonts w:cs="Arial"/>
          <w:i/>
          <w:iCs/>
        </w:rPr>
        <w:t xml:space="preserve">Physiocypria) </w:t>
      </w:r>
      <w:r>
        <w:rPr>
          <w:rFonts w:cs="Arial"/>
        </w:rPr>
        <w:t>e TURBELARIA. G</w:t>
      </w:r>
      <w:r w:rsidRPr="00A9509D">
        <w:rPr>
          <w:rFonts w:eastAsia="FreeSans" w:cs="FreeSans"/>
        </w:rPr>
        <w:t>rande parte destes possui ciclo de vida curto, havendo uma resposta rápida em relação a mudanç</w:t>
      </w:r>
      <w:r>
        <w:rPr>
          <w:rFonts w:eastAsia="FreeSans" w:cs="FreeSans"/>
        </w:rPr>
        <w:t>as ocorridas no ambiente aquático.</w:t>
      </w:r>
    </w:p>
    <w:p w:rsidR="00625EAA" w:rsidRPr="00D339A6" w:rsidRDefault="00625EAA" w:rsidP="00103511">
      <w:pPr>
        <w:rPr>
          <w:rFonts w:cs="AdvPSNBAS-R"/>
        </w:rPr>
      </w:pPr>
      <w:r w:rsidRPr="00D339A6">
        <w:rPr>
          <w:rFonts w:eastAsia="FreeSans" w:cs="FreeSans"/>
        </w:rPr>
        <w:t>A importância do zooplâncton reside principalmente em seu papel de condutor do fluxo de energia, dos produtores primários para os consumidores de níveis tróficos superiores, sendo assim um importante grupo responsável pela produtividade secundária e também fundamental no transporte e regeneração de nutrientes pelo seu elevado metabolismo.</w:t>
      </w:r>
    </w:p>
    <w:p w:rsidR="00625EAA" w:rsidRPr="00CB429A" w:rsidRDefault="00625EAA" w:rsidP="00103511">
      <w:pPr>
        <w:rPr>
          <w:rFonts w:cs="AdvPSNBAS-R"/>
        </w:rPr>
      </w:pPr>
      <w:r w:rsidRPr="00CB429A">
        <w:rPr>
          <w:rFonts w:cs="Arial"/>
        </w:rPr>
        <w:t>A diversidade dos organismos planctônicos está relacionada com as várias propriedades dos sistemas aquáticos considerados</w:t>
      </w:r>
      <w:r w:rsidR="00103511">
        <w:rPr>
          <w:rFonts w:cs="Arial"/>
        </w:rPr>
        <w:t>,</w:t>
      </w:r>
      <w:r w:rsidRPr="00CB429A">
        <w:rPr>
          <w:rFonts w:cs="Arial"/>
        </w:rPr>
        <w:t xml:space="preserve"> tais como: origem do sistema aquático, aspectos geofísicos da bacia hidrográfica, estado trófico ou eutrofização e impactos antrópicos</w:t>
      </w:r>
      <w:r w:rsidR="00103511">
        <w:rPr>
          <w:rFonts w:cs="Arial"/>
        </w:rPr>
        <w:t>.</w:t>
      </w:r>
      <w:r w:rsidRPr="00CB429A">
        <w:rPr>
          <w:rFonts w:cs="Arial"/>
        </w:rPr>
        <w:t xml:space="preserve"> Alterações na diversidade e composição de espécies zooplanctônicas podem ocorrer nos sistemas lacustres situados dentro da mesma bacia hidrográfica dependendo da entrada de materiais trazidos pelos afluentes</w:t>
      </w:r>
      <w:r>
        <w:rPr>
          <w:rFonts w:cs="Arial"/>
        </w:rPr>
        <w:t xml:space="preserve"> (Tundisi</w:t>
      </w:r>
      <w:r w:rsidRPr="00CB429A">
        <w:rPr>
          <w:rFonts w:cs="Arial"/>
        </w:rPr>
        <w:t>, 1997)</w:t>
      </w:r>
      <w:r>
        <w:rPr>
          <w:rFonts w:cs="Arial"/>
        </w:rPr>
        <w:t>.</w:t>
      </w:r>
    </w:p>
    <w:p w:rsidR="00625EAA" w:rsidRDefault="00625EAA" w:rsidP="00103511">
      <w:pPr>
        <w:rPr>
          <w:rFonts w:cs="AdvPSNBAS-R"/>
        </w:rPr>
      </w:pPr>
      <w:r>
        <w:rPr>
          <w:rFonts w:cs="AdvPSNBAS-R"/>
        </w:rPr>
        <w:t>Não há estudos sistemáticos disponíveis do zooplâncton dos reservatórios de Atibainha e Jaguari-CESP. Dados sobre o zooplâncton desses reservatórios são encontrados em alguns trabalhos como por exemplo Arcifa (1984) e Matsumura-Tundisi &amp; Tundisi (2011).</w:t>
      </w:r>
    </w:p>
    <w:p w:rsidR="00625EAA" w:rsidRDefault="00625EAA" w:rsidP="00103511">
      <w:pPr>
        <w:rPr>
          <w:rFonts w:cs="AdvPSNBAS-R"/>
        </w:rPr>
      </w:pPr>
      <w:r>
        <w:rPr>
          <w:rFonts w:cs="AdvPSNBAS-R"/>
        </w:rPr>
        <w:t xml:space="preserve">O monitoramento realizado pela CETESB não inclui amostragem de organismos do zooplâncton em nenhum dos </w:t>
      </w:r>
      <w:r w:rsidR="00103511">
        <w:rPr>
          <w:rFonts w:cs="AdvPSNBAS-R"/>
        </w:rPr>
        <w:t>dois</w:t>
      </w:r>
      <w:r>
        <w:rPr>
          <w:rFonts w:cs="AdvPSNBAS-R"/>
        </w:rPr>
        <w:t xml:space="preserve"> reservatórios de interesse.</w:t>
      </w:r>
    </w:p>
    <w:p w:rsidR="00625EAA" w:rsidRDefault="00625EAA" w:rsidP="00103511">
      <w:pPr>
        <w:rPr>
          <w:rFonts w:cs="AdvPSNBAS-R"/>
        </w:rPr>
      </w:pPr>
      <w:r>
        <w:rPr>
          <w:rFonts w:cs="AdvPSNBAS-R"/>
        </w:rPr>
        <w:t>Na Tabela abaixo é apresentada a lista de organismos do zooplâncton identificados na coleta realizada p</w:t>
      </w:r>
      <w:r w:rsidR="00103511">
        <w:rPr>
          <w:rFonts w:cs="AdvPSNBAS-R"/>
        </w:rPr>
        <w:t xml:space="preserve">ara </w:t>
      </w:r>
      <w:r>
        <w:rPr>
          <w:rFonts w:cs="AdvPSNBAS-R"/>
        </w:rPr>
        <w:t>o presente estudo.</w:t>
      </w:r>
    </w:p>
    <w:p w:rsidR="00A52105" w:rsidRDefault="00A52105" w:rsidP="00A52105">
      <w:pPr>
        <w:pStyle w:val="Quadro"/>
      </w:pPr>
      <w:r>
        <w:t>Tabela 6.4.5-</w:t>
      </w:r>
      <w:r w:rsidR="00E4778B">
        <w:t>23</w:t>
      </w:r>
      <w:r>
        <w:t>. Comparativo da Comunidade Zooplanctônica nos dois Reservatórios</w:t>
      </w:r>
    </w:p>
    <w:tbl>
      <w:tblPr>
        <w:tblW w:w="5820" w:type="dxa"/>
        <w:jc w:val="center"/>
        <w:tblCellMar>
          <w:left w:w="70" w:type="dxa"/>
          <w:right w:w="70" w:type="dxa"/>
        </w:tblCellMar>
        <w:tblLook w:val="04A0" w:firstRow="1" w:lastRow="0" w:firstColumn="1" w:lastColumn="0" w:noHBand="0" w:noVBand="1"/>
      </w:tblPr>
      <w:tblGrid>
        <w:gridCol w:w="3080"/>
        <w:gridCol w:w="2740"/>
      </w:tblGrid>
      <w:tr w:rsidR="00103511" w:rsidRPr="00103511" w:rsidTr="00103511">
        <w:trPr>
          <w:trHeight w:val="300"/>
          <w:tblHeader/>
          <w:jc w:val="center"/>
        </w:trPr>
        <w:tc>
          <w:tcPr>
            <w:tcW w:w="3080" w:type="dxa"/>
            <w:tcBorders>
              <w:top w:val="single" w:sz="8" w:space="0" w:color="auto"/>
              <w:left w:val="single" w:sz="8" w:space="0" w:color="auto"/>
              <w:bottom w:val="single" w:sz="4" w:space="0" w:color="auto"/>
              <w:right w:val="single" w:sz="8" w:space="0" w:color="auto"/>
            </w:tcBorders>
            <w:shd w:val="clear" w:color="auto" w:fill="A6A6A6" w:themeFill="background1" w:themeFillShade="A6"/>
            <w:noWrap/>
            <w:vAlign w:val="center"/>
            <w:hideMark/>
          </w:tcPr>
          <w:p w:rsidR="00625EAA" w:rsidRPr="00103511" w:rsidRDefault="00625EAA" w:rsidP="00103511">
            <w:pPr>
              <w:spacing w:after="0"/>
              <w:jc w:val="center"/>
              <w:rPr>
                <w:rFonts w:eastAsia="Times New Roman" w:cs="Arial"/>
                <w:b/>
                <w:sz w:val="18"/>
                <w:szCs w:val="18"/>
                <w:lang w:eastAsia="pt-BR"/>
              </w:rPr>
            </w:pPr>
            <w:r w:rsidRPr="00103511">
              <w:rPr>
                <w:rFonts w:eastAsia="Times New Roman" w:cs="Arial"/>
                <w:b/>
                <w:sz w:val="18"/>
                <w:szCs w:val="18"/>
                <w:lang w:eastAsia="pt-BR"/>
              </w:rPr>
              <w:t>Atibainha</w:t>
            </w:r>
          </w:p>
        </w:tc>
        <w:tc>
          <w:tcPr>
            <w:tcW w:w="2740" w:type="dxa"/>
            <w:tcBorders>
              <w:top w:val="single" w:sz="8" w:space="0" w:color="auto"/>
              <w:left w:val="nil"/>
              <w:bottom w:val="single" w:sz="4" w:space="0" w:color="auto"/>
              <w:right w:val="single" w:sz="8" w:space="0" w:color="auto"/>
            </w:tcBorders>
            <w:shd w:val="clear" w:color="auto" w:fill="A6A6A6" w:themeFill="background1" w:themeFillShade="A6"/>
            <w:noWrap/>
            <w:vAlign w:val="center"/>
            <w:hideMark/>
          </w:tcPr>
          <w:p w:rsidR="00625EAA" w:rsidRPr="00103511" w:rsidRDefault="00625EAA" w:rsidP="00103511">
            <w:pPr>
              <w:spacing w:after="0"/>
              <w:jc w:val="center"/>
              <w:rPr>
                <w:rFonts w:eastAsia="Times New Roman" w:cs="Arial"/>
                <w:b/>
                <w:sz w:val="18"/>
                <w:szCs w:val="18"/>
                <w:lang w:eastAsia="pt-BR"/>
              </w:rPr>
            </w:pPr>
            <w:r w:rsidRPr="00103511">
              <w:rPr>
                <w:rFonts w:eastAsia="Times New Roman" w:cs="Arial"/>
                <w:b/>
                <w:sz w:val="18"/>
                <w:szCs w:val="18"/>
                <w:lang w:eastAsia="pt-BR"/>
              </w:rPr>
              <w:t>Jaguari</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D9D9D9" w:themeFill="background1" w:themeFillShade="D9"/>
            <w:vAlign w:val="center"/>
            <w:hideMark/>
          </w:tcPr>
          <w:p w:rsidR="00625EAA" w:rsidRPr="00103511" w:rsidRDefault="00625EAA" w:rsidP="00103511">
            <w:pPr>
              <w:spacing w:after="0"/>
              <w:jc w:val="center"/>
              <w:rPr>
                <w:rFonts w:eastAsia="Times New Roman" w:cs="Arial"/>
                <w:color w:val="000000"/>
                <w:sz w:val="18"/>
                <w:szCs w:val="18"/>
                <w:lang w:eastAsia="pt-BR"/>
              </w:rPr>
            </w:pPr>
            <w:r w:rsidRPr="00103511">
              <w:rPr>
                <w:rFonts w:eastAsia="Times New Roman" w:cs="Arial"/>
                <w:color w:val="000000"/>
                <w:sz w:val="18"/>
                <w:szCs w:val="18"/>
                <w:lang w:eastAsia="pt-BR"/>
              </w:rPr>
              <w:t>ANALISE QUALITATIVA</w:t>
            </w:r>
          </w:p>
        </w:tc>
        <w:tc>
          <w:tcPr>
            <w:tcW w:w="2740" w:type="dxa"/>
            <w:tcBorders>
              <w:top w:val="nil"/>
              <w:left w:val="nil"/>
              <w:bottom w:val="single" w:sz="4" w:space="0" w:color="auto"/>
              <w:right w:val="single" w:sz="8" w:space="0" w:color="auto"/>
            </w:tcBorders>
            <w:shd w:val="clear" w:color="auto" w:fill="D9D9D9" w:themeFill="background1" w:themeFillShade="D9"/>
            <w:vAlign w:val="center"/>
            <w:hideMark/>
          </w:tcPr>
          <w:p w:rsidR="00625EAA" w:rsidRPr="00103511" w:rsidRDefault="00625EAA" w:rsidP="00103511">
            <w:pPr>
              <w:spacing w:after="0"/>
              <w:jc w:val="center"/>
              <w:rPr>
                <w:rFonts w:eastAsia="Times New Roman" w:cs="Arial"/>
                <w:color w:val="000000"/>
                <w:sz w:val="18"/>
                <w:szCs w:val="18"/>
                <w:lang w:eastAsia="pt-BR"/>
              </w:rPr>
            </w:pPr>
            <w:r w:rsidRPr="00103511">
              <w:rPr>
                <w:rFonts w:eastAsia="Times New Roman" w:cs="Arial"/>
                <w:color w:val="000000"/>
                <w:sz w:val="18"/>
                <w:szCs w:val="18"/>
                <w:lang w:eastAsia="pt-BR"/>
              </w:rPr>
              <w:t>ANALISE QUALITATIVA</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Táxons encontrados</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Táxons encontrados</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D9D9D9" w:themeFill="background1" w:themeFillShade="D9"/>
            <w:vAlign w:val="center"/>
            <w:hideMark/>
          </w:tcPr>
          <w:p w:rsidR="00625EAA" w:rsidRPr="00103511" w:rsidRDefault="00625EAA" w:rsidP="00103511">
            <w:pPr>
              <w:spacing w:after="0"/>
              <w:rPr>
                <w:rFonts w:eastAsia="Times New Roman" w:cs="Arial"/>
                <w:b/>
                <w:bCs/>
                <w:color w:val="000000"/>
                <w:sz w:val="18"/>
                <w:szCs w:val="18"/>
                <w:lang w:eastAsia="pt-BR"/>
              </w:rPr>
            </w:pPr>
            <w:r w:rsidRPr="00103511">
              <w:rPr>
                <w:rFonts w:eastAsia="Times New Roman" w:cs="Arial"/>
                <w:b/>
                <w:bCs/>
                <w:color w:val="000000"/>
                <w:sz w:val="18"/>
                <w:szCs w:val="18"/>
                <w:lang w:eastAsia="pt-BR"/>
              </w:rPr>
              <w:t>ROTIFERA</w:t>
            </w:r>
          </w:p>
        </w:tc>
        <w:tc>
          <w:tcPr>
            <w:tcW w:w="2740" w:type="dxa"/>
            <w:tcBorders>
              <w:top w:val="nil"/>
              <w:left w:val="nil"/>
              <w:bottom w:val="single" w:sz="4" w:space="0" w:color="auto"/>
              <w:right w:val="single" w:sz="8" w:space="0" w:color="auto"/>
            </w:tcBorders>
            <w:shd w:val="clear" w:color="auto" w:fill="D9D9D9" w:themeFill="background1" w:themeFillShade="D9"/>
            <w:vAlign w:val="center"/>
            <w:hideMark/>
          </w:tcPr>
          <w:p w:rsidR="00625EAA" w:rsidRPr="00103511" w:rsidRDefault="00625EAA" w:rsidP="00103511">
            <w:pPr>
              <w:spacing w:after="0"/>
              <w:rPr>
                <w:rFonts w:eastAsia="Times New Roman" w:cs="Arial"/>
                <w:b/>
                <w:bCs/>
                <w:color w:val="000000"/>
                <w:sz w:val="18"/>
                <w:szCs w:val="18"/>
                <w:lang w:eastAsia="pt-BR"/>
              </w:rPr>
            </w:pPr>
            <w:r w:rsidRPr="00103511">
              <w:rPr>
                <w:rFonts w:eastAsia="Times New Roman" w:cs="Arial"/>
                <w:b/>
                <w:bCs/>
                <w:color w:val="000000"/>
                <w:sz w:val="18"/>
                <w:szCs w:val="18"/>
                <w:lang w:eastAsia="pt-BR"/>
              </w:rPr>
              <w:t>ROTIFERA</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Anueropsis </w:t>
            </w:r>
            <w:r w:rsidRPr="00103511">
              <w:rPr>
                <w:rFonts w:eastAsia="Times New Roman" w:cs="Arial"/>
                <w:color w:val="000000"/>
                <w:sz w:val="18"/>
                <w:szCs w:val="18"/>
                <w:lang w:eastAsia="pt-BR"/>
              </w:rPr>
              <w:t>sp</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Asplanchna </w:t>
            </w:r>
            <w:r w:rsidRPr="00103511">
              <w:rPr>
                <w:rFonts w:eastAsia="Times New Roman" w:cs="Arial"/>
                <w:color w:val="000000"/>
                <w:sz w:val="18"/>
                <w:szCs w:val="18"/>
                <w:lang w:eastAsia="pt-BR"/>
              </w:rPr>
              <w:t>sp</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Brachionus falcatus </w:t>
            </w:r>
            <w:r w:rsidRPr="00103511">
              <w:rPr>
                <w:rFonts w:eastAsia="Times New Roman" w:cs="Arial"/>
                <w:color w:val="000000"/>
                <w:sz w:val="18"/>
                <w:szCs w:val="18"/>
                <w:lang w:eastAsia="pt-BR"/>
              </w:rPr>
              <w:t>Zacharias</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Brachionus falcatus </w:t>
            </w:r>
            <w:r w:rsidRPr="00103511">
              <w:rPr>
                <w:rFonts w:eastAsia="Times New Roman" w:cs="Arial"/>
                <w:color w:val="000000"/>
                <w:sz w:val="18"/>
                <w:szCs w:val="18"/>
                <w:lang w:eastAsia="pt-BR"/>
              </w:rPr>
              <w:t>Zacharias</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Collotheca </w:t>
            </w:r>
            <w:r w:rsidRPr="00103511">
              <w:rPr>
                <w:rFonts w:eastAsia="Times New Roman" w:cs="Arial"/>
                <w:color w:val="000000"/>
                <w:sz w:val="18"/>
                <w:szCs w:val="18"/>
                <w:lang w:eastAsia="pt-BR"/>
              </w:rPr>
              <w:t>sp</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Collotheca </w:t>
            </w:r>
            <w:r w:rsidRPr="00103511">
              <w:rPr>
                <w:rFonts w:eastAsia="Times New Roman" w:cs="Arial"/>
                <w:color w:val="000000"/>
                <w:sz w:val="18"/>
                <w:szCs w:val="18"/>
                <w:lang w:eastAsia="pt-BR"/>
              </w:rPr>
              <w:t>sp</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Collotheca </w:t>
            </w:r>
            <w:r w:rsidRPr="00103511">
              <w:rPr>
                <w:rFonts w:eastAsia="Times New Roman" w:cs="Arial"/>
                <w:color w:val="000000"/>
                <w:sz w:val="18"/>
                <w:szCs w:val="18"/>
                <w:lang w:eastAsia="pt-BR"/>
              </w:rPr>
              <w:t>sp</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Conochilus unicornis </w:t>
            </w:r>
            <w:r w:rsidRPr="00103511">
              <w:rPr>
                <w:rFonts w:eastAsia="Times New Roman" w:cs="Arial"/>
                <w:color w:val="000000"/>
                <w:sz w:val="18"/>
                <w:szCs w:val="18"/>
                <w:lang w:eastAsia="pt-BR"/>
              </w:rPr>
              <w:t>Rousselet</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Conochilus unicornis </w:t>
            </w:r>
            <w:r w:rsidRPr="00103511">
              <w:rPr>
                <w:rFonts w:eastAsia="Times New Roman" w:cs="Arial"/>
                <w:color w:val="000000"/>
                <w:sz w:val="18"/>
                <w:szCs w:val="18"/>
                <w:lang w:eastAsia="pt-BR"/>
              </w:rPr>
              <w:t>Rousselet</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Keratella americana </w:t>
            </w:r>
            <w:r w:rsidRPr="00103511">
              <w:rPr>
                <w:rFonts w:eastAsia="Times New Roman" w:cs="Arial"/>
                <w:color w:val="000000"/>
                <w:sz w:val="18"/>
                <w:szCs w:val="18"/>
                <w:lang w:eastAsia="pt-BR"/>
              </w:rPr>
              <w:t>Carlin</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Kellicottia bostoniensis </w:t>
            </w:r>
            <w:r w:rsidRPr="00103511">
              <w:rPr>
                <w:rFonts w:eastAsia="Times New Roman" w:cs="Arial"/>
                <w:color w:val="000000"/>
                <w:sz w:val="18"/>
                <w:szCs w:val="18"/>
                <w:lang w:eastAsia="pt-BR"/>
              </w:rPr>
              <w:t>Rousselet</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Keratella cochlearis </w:t>
            </w:r>
            <w:r w:rsidRPr="00103511">
              <w:rPr>
                <w:rFonts w:eastAsia="Times New Roman" w:cs="Arial"/>
                <w:color w:val="000000"/>
                <w:sz w:val="18"/>
                <w:szCs w:val="18"/>
                <w:lang w:eastAsia="pt-BR"/>
              </w:rPr>
              <w:t>Gosse</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Keratella americana </w:t>
            </w:r>
            <w:r w:rsidRPr="00103511">
              <w:rPr>
                <w:rFonts w:eastAsia="Times New Roman" w:cs="Arial"/>
                <w:color w:val="000000"/>
                <w:sz w:val="18"/>
                <w:szCs w:val="18"/>
                <w:lang w:eastAsia="pt-BR"/>
              </w:rPr>
              <w:t>Carlin</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Keratella lenzi </w:t>
            </w:r>
            <w:r w:rsidRPr="00103511">
              <w:rPr>
                <w:rFonts w:eastAsia="Times New Roman" w:cs="Arial"/>
                <w:color w:val="000000"/>
                <w:sz w:val="18"/>
                <w:szCs w:val="18"/>
                <w:lang w:eastAsia="pt-BR"/>
              </w:rPr>
              <w:t>Hauer</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Keratella cochlearis </w:t>
            </w:r>
            <w:r w:rsidRPr="00103511">
              <w:rPr>
                <w:rFonts w:eastAsia="Times New Roman" w:cs="Arial"/>
                <w:color w:val="000000"/>
                <w:sz w:val="18"/>
                <w:szCs w:val="18"/>
                <w:lang w:eastAsia="pt-BR"/>
              </w:rPr>
              <w:t>Gosse</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Keratella tropica </w:t>
            </w:r>
            <w:r w:rsidRPr="00103511">
              <w:rPr>
                <w:rFonts w:eastAsia="Times New Roman" w:cs="Arial"/>
                <w:color w:val="000000"/>
                <w:sz w:val="18"/>
                <w:szCs w:val="18"/>
                <w:lang w:eastAsia="pt-BR"/>
              </w:rPr>
              <w:t>Apstein</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Keratella cochlearis </w:t>
            </w:r>
            <w:r w:rsidRPr="00103511">
              <w:rPr>
                <w:rFonts w:eastAsia="Times New Roman" w:cs="Arial"/>
                <w:color w:val="000000"/>
                <w:sz w:val="18"/>
                <w:szCs w:val="18"/>
                <w:lang w:eastAsia="pt-BR"/>
              </w:rPr>
              <w:t>Gosse</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Ptygura </w:t>
            </w:r>
            <w:r w:rsidRPr="00103511">
              <w:rPr>
                <w:rFonts w:eastAsia="Times New Roman" w:cs="Arial"/>
                <w:color w:val="000000"/>
                <w:sz w:val="18"/>
                <w:szCs w:val="18"/>
                <w:lang w:eastAsia="pt-BR"/>
              </w:rPr>
              <w:t>sp</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lastRenderedPageBreak/>
              <w:t xml:space="preserve">Ploesoma </w:t>
            </w:r>
            <w:r w:rsidRPr="00103511">
              <w:rPr>
                <w:rFonts w:eastAsia="Times New Roman" w:cs="Arial"/>
                <w:color w:val="000000"/>
                <w:sz w:val="18"/>
                <w:szCs w:val="18"/>
                <w:lang w:eastAsia="pt-BR"/>
              </w:rPr>
              <w:t>sp</w:t>
            </w:r>
          </w:p>
        </w:tc>
        <w:tc>
          <w:tcPr>
            <w:tcW w:w="2740" w:type="dxa"/>
            <w:tcBorders>
              <w:top w:val="nil"/>
              <w:left w:val="nil"/>
              <w:bottom w:val="single" w:sz="4" w:space="0" w:color="auto"/>
              <w:right w:val="single" w:sz="8" w:space="0" w:color="auto"/>
            </w:tcBorders>
            <w:shd w:val="clear" w:color="auto" w:fill="auto"/>
            <w:noWrap/>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 </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Polyarthra dolichoptera </w:t>
            </w:r>
            <w:r w:rsidRPr="00103511">
              <w:rPr>
                <w:rFonts w:eastAsia="Times New Roman" w:cs="Arial"/>
                <w:color w:val="000000"/>
                <w:sz w:val="18"/>
                <w:szCs w:val="18"/>
                <w:lang w:eastAsia="pt-BR"/>
              </w:rPr>
              <w:t>Idelson</w:t>
            </w:r>
          </w:p>
        </w:tc>
        <w:tc>
          <w:tcPr>
            <w:tcW w:w="2740" w:type="dxa"/>
            <w:tcBorders>
              <w:top w:val="nil"/>
              <w:left w:val="nil"/>
              <w:bottom w:val="single" w:sz="4" w:space="0" w:color="auto"/>
              <w:right w:val="single" w:sz="8" w:space="0" w:color="auto"/>
            </w:tcBorders>
            <w:shd w:val="clear" w:color="auto" w:fill="auto"/>
            <w:noWrap/>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 </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Pompholyx complanata </w:t>
            </w:r>
            <w:r w:rsidRPr="00103511">
              <w:rPr>
                <w:rFonts w:eastAsia="Times New Roman" w:cs="Arial"/>
                <w:color w:val="000000"/>
                <w:sz w:val="18"/>
                <w:szCs w:val="18"/>
                <w:lang w:eastAsia="pt-BR"/>
              </w:rPr>
              <w:t>Gosse</w:t>
            </w:r>
          </w:p>
        </w:tc>
        <w:tc>
          <w:tcPr>
            <w:tcW w:w="2740" w:type="dxa"/>
            <w:tcBorders>
              <w:top w:val="nil"/>
              <w:left w:val="nil"/>
              <w:bottom w:val="single" w:sz="4" w:space="0" w:color="auto"/>
              <w:right w:val="single" w:sz="8" w:space="0" w:color="auto"/>
            </w:tcBorders>
            <w:shd w:val="clear" w:color="auto" w:fill="auto"/>
            <w:noWrap/>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 </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Ptygura </w:t>
            </w:r>
            <w:r w:rsidRPr="00103511">
              <w:rPr>
                <w:rFonts w:eastAsia="Times New Roman" w:cs="Arial"/>
                <w:color w:val="000000"/>
                <w:sz w:val="18"/>
                <w:szCs w:val="18"/>
                <w:lang w:eastAsia="pt-BR"/>
              </w:rPr>
              <w:t>sp</w:t>
            </w:r>
          </w:p>
        </w:tc>
        <w:tc>
          <w:tcPr>
            <w:tcW w:w="2740" w:type="dxa"/>
            <w:tcBorders>
              <w:top w:val="nil"/>
              <w:left w:val="nil"/>
              <w:bottom w:val="single" w:sz="4" w:space="0" w:color="auto"/>
              <w:right w:val="single" w:sz="8" w:space="0" w:color="auto"/>
            </w:tcBorders>
            <w:shd w:val="clear" w:color="auto" w:fill="auto"/>
            <w:noWrap/>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 </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Trichocerca similis </w:t>
            </w:r>
            <w:r w:rsidRPr="00103511">
              <w:rPr>
                <w:rFonts w:eastAsia="Times New Roman" w:cs="Arial"/>
                <w:color w:val="000000"/>
                <w:sz w:val="18"/>
                <w:szCs w:val="18"/>
                <w:lang w:eastAsia="pt-BR"/>
              </w:rPr>
              <w:t>Wierzejski</w:t>
            </w:r>
          </w:p>
        </w:tc>
        <w:tc>
          <w:tcPr>
            <w:tcW w:w="2740" w:type="dxa"/>
            <w:tcBorders>
              <w:top w:val="nil"/>
              <w:left w:val="nil"/>
              <w:bottom w:val="single" w:sz="4" w:space="0" w:color="auto"/>
              <w:right w:val="single" w:sz="8" w:space="0" w:color="auto"/>
            </w:tcBorders>
            <w:shd w:val="clear" w:color="auto" w:fill="auto"/>
            <w:noWrap/>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 </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D9D9D9" w:themeFill="background1" w:themeFillShade="D9"/>
            <w:vAlign w:val="center"/>
            <w:hideMark/>
          </w:tcPr>
          <w:p w:rsidR="00625EAA" w:rsidRPr="00103511" w:rsidRDefault="00625EAA" w:rsidP="00103511">
            <w:pPr>
              <w:spacing w:after="0"/>
              <w:rPr>
                <w:rFonts w:eastAsia="Times New Roman" w:cs="Arial"/>
                <w:b/>
                <w:bCs/>
                <w:color w:val="000000"/>
                <w:sz w:val="18"/>
                <w:szCs w:val="18"/>
                <w:lang w:eastAsia="pt-BR"/>
              </w:rPr>
            </w:pPr>
            <w:r w:rsidRPr="00103511">
              <w:rPr>
                <w:rFonts w:eastAsia="Times New Roman" w:cs="Arial"/>
                <w:b/>
                <w:bCs/>
                <w:color w:val="000000"/>
                <w:sz w:val="18"/>
                <w:szCs w:val="18"/>
                <w:lang w:eastAsia="pt-BR"/>
              </w:rPr>
              <w:t>CLADOCERA</w:t>
            </w:r>
          </w:p>
        </w:tc>
        <w:tc>
          <w:tcPr>
            <w:tcW w:w="2740" w:type="dxa"/>
            <w:tcBorders>
              <w:top w:val="nil"/>
              <w:left w:val="nil"/>
              <w:bottom w:val="single" w:sz="4" w:space="0" w:color="auto"/>
              <w:right w:val="single" w:sz="8" w:space="0" w:color="auto"/>
            </w:tcBorders>
            <w:shd w:val="clear" w:color="auto" w:fill="D9D9D9" w:themeFill="background1" w:themeFillShade="D9"/>
            <w:vAlign w:val="center"/>
            <w:hideMark/>
          </w:tcPr>
          <w:p w:rsidR="00625EAA" w:rsidRPr="00103511" w:rsidRDefault="00625EAA" w:rsidP="00103511">
            <w:pPr>
              <w:spacing w:after="0"/>
              <w:rPr>
                <w:rFonts w:eastAsia="Times New Roman" w:cs="Arial"/>
                <w:b/>
                <w:bCs/>
                <w:color w:val="000000"/>
                <w:sz w:val="18"/>
                <w:szCs w:val="18"/>
                <w:lang w:eastAsia="pt-BR"/>
              </w:rPr>
            </w:pPr>
            <w:r w:rsidRPr="00103511">
              <w:rPr>
                <w:rFonts w:eastAsia="Times New Roman" w:cs="Arial"/>
                <w:b/>
                <w:bCs/>
                <w:color w:val="000000"/>
                <w:sz w:val="18"/>
                <w:szCs w:val="18"/>
                <w:lang w:eastAsia="pt-BR"/>
              </w:rPr>
              <w:t>CLADOCERA</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Bosmina </w:t>
            </w:r>
            <w:r w:rsidRPr="00103511">
              <w:rPr>
                <w:rFonts w:eastAsia="Times New Roman" w:cs="Arial"/>
                <w:color w:val="000000"/>
                <w:sz w:val="18"/>
                <w:szCs w:val="18"/>
                <w:lang w:eastAsia="pt-BR"/>
              </w:rPr>
              <w:t xml:space="preserve">cf </w:t>
            </w:r>
            <w:r w:rsidRPr="00103511">
              <w:rPr>
                <w:rFonts w:eastAsia="Times New Roman" w:cs="Arial"/>
                <w:i/>
                <w:iCs/>
                <w:color w:val="000000"/>
                <w:sz w:val="18"/>
                <w:szCs w:val="18"/>
                <w:lang w:eastAsia="pt-BR"/>
              </w:rPr>
              <w:t xml:space="preserve">freyi </w:t>
            </w:r>
            <w:r w:rsidRPr="00103511">
              <w:rPr>
                <w:rFonts w:eastAsia="Times New Roman" w:cs="Arial"/>
                <w:color w:val="000000"/>
                <w:sz w:val="18"/>
                <w:szCs w:val="18"/>
                <w:lang w:eastAsia="pt-BR"/>
              </w:rPr>
              <w:t>De Mello &amp; Hebert</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Bosmina </w:t>
            </w:r>
            <w:r w:rsidRPr="00103511">
              <w:rPr>
                <w:rFonts w:eastAsia="Times New Roman" w:cs="Arial"/>
                <w:color w:val="000000"/>
                <w:sz w:val="18"/>
                <w:szCs w:val="18"/>
                <w:lang w:eastAsia="pt-BR"/>
              </w:rPr>
              <w:t>sp (jovem)</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Bosmina </w:t>
            </w:r>
            <w:r w:rsidRPr="00103511">
              <w:rPr>
                <w:rFonts w:eastAsia="Times New Roman" w:cs="Arial"/>
                <w:color w:val="000000"/>
                <w:sz w:val="18"/>
                <w:szCs w:val="18"/>
                <w:lang w:eastAsia="pt-BR"/>
              </w:rPr>
              <w:t>sp (jovem)</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Ceriodaphnia dubia </w:t>
            </w:r>
            <w:r w:rsidRPr="00103511">
              <w:rPr>
                <w:rFonts w:eastAsia="Times New Roman" w:cs="Arial"/>
                <w:color w:val="000000"/>
                <w:sz w:val="18"/>
                <w:szCs w:val="18"/>
                <w:lang w:eastAsia="pt-BR"/>
              </w:rPr>
              <w:t>(Richard)</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Bosminopsis deitersi </w:t>
            </w:r>
            <w:r w:rsidRPr="00103511">
              <w:rPr>
                <w:rFonts w:eastAsia="Times New Roman" w:cs="Arial"/>
                <w:color w:val="000000"/>
                <w:sz w:val="18"/>
                <w:szCs w:val="18"/>
                <w:lang w:eastAsia="pt-BR"/>
              </w:rPr>
              <w:t>Richard</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Ceriodaphnia silvestrii </w:t>
            </w:r>
            <w:r w:rsidRPr="00103511">
              <w:rPr>
                <w:rFonts w:eastAsia="Times New Roman" w:cs="Arial"/>
                <w:color w:val="000000"/>
                <w:sz w:val="18"/>
                <w:szCs w:val="18"/>
                <w:lang w:eastAsia="pt-BR"/>
              </w:rPr>
              <w:t>Daday</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Ceriodaphnia cornuta </w:t>
            </w:r>
            <w:r w:rsidRPr="00103511">
              <w:rPr>
                <w:rFonts w:eastAsia="Times New Roman" w:cs="Arial"/>
                <w:color w:val="000000"/>
                <w:sz w:val="18"/>
                <w:szCs w:val="18"/>
                <w:lang w:eastAsia="pt-BR"/>
              </w:rPr>
              <w:t>Sars</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Daphnia gessneri </w:t>
            </w:r>
            <w:r w:rsidRPr="00103511">
              <w:rPr>
                <w:rFonts w:eastAsia="Times New Roman" w:cs="Arial"/>
                <w:color w:val="000000"/>
                <w:sz w:val="18"/>
                <w:szCs w:val="18"/>
                <w:lang w:eastAsia="pt-BR"/>
              </w:rPr>
              <w:t>Herbst</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Ceriodaphnia silvestrii </w:t>
            </w:r>
            <w:r w:rsidRPr="00103511">
              <w:rPr>
                <w:rFonts w:eastAsia="Times New Roman" w:cs="Arial"/>
                <w:color w:val="000000"/>
                <w:sz w:val="18"/>
                <w:szCs w:val="18"/>
                <w:lang w:eastAsia="pt-BR"/>
              </w:rPr>
              <w:t>Daday</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Diaphanosoma birgei </w:t>
            </w:r>
            <w:r w:rsidRPr="00103511">
              <w:rPr>
                <w:rFonts w:eastAsia="Times New Roman" w:cs="Arial"/>
                <w:color w:val="000000"/>
                <w:sz w:val="18"/>
                <w:szCs w:val="18"/>
                <w:lang w:eastAsia="pt-BR"/>
              </w:rPr>
              <w:t>Korinek</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Daphnia gessneri </w:t>
            </w:r>
            <w:r w:rsidRPr="00103511">
              <w:rPr>
                <w:rFonts w:eastAsia="Times New Roman" w:cs="Arial"/>
                <w:color w:val="000000"/>
                <w:sz w:val="18"/>
                <w:szCs w:val="18"/>
                <w:lang w:eastAsia="pt-BR"/>
              </w:rPr>
              <w:t>Herbst</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Scapholeberis armata </w:t>
            </w:r>
            <w:r w:rsidRPr="00103511">
              <w:rPr>
                <w:rFonts w:eastAsia="Times New Roman" w:cs="Arial"/>
                <w:color w:val="000000"/>
                <w:sz w:val="18"/>
                <w:szCs w:val="18"/>
                <w:lang w:eastAsia="pt-BR"/>
              </w:rPr>
              <w:t>Herrick</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D9D9D9" w:themeFill="background1" w:themeFillShade="D9"/>
            <w:vAlign w:val="center"/>
            <w:hideMark/>
          </w:tcPr>
          <w:p w:rsidR="00625EAA" w:rsidRPr="00103511" w:rsidRDefault="00625EAA" w:rsidP="00103511">
            <w:pPr>
              <w:spacing w:after="0"/>
              <w:rPr>
                <w:rFonts w:eastAsia="Times New Roman" w:cs="Arial"/>
                <w:b/>
                <w:bCs/>
                <w:color w:val="000000"/>
                <w:sz w:val="18"/>
                <w:szCs w:val="18"/>
                <w:lang w:eastAsia="pt-BR"/>
              </w:rPr>
            </w:pPr>
            <w:r w:rsidRPr="00103511">
              <w:rPr>
                <w:rFonts w:eastAsia="Times New Roman" w:cs="Arial"/>
                <w:b/>
                <w:bCs/>
                <w:color w:val="000000"/>
                <w:sz w:val="18"/>
                <w:szCs w:val="18"/>
                <w:lang w:eastAsia="pt-BR"/>
              </w:rPr>
              <w:t>COPEPODA CYCLOPOIDA</w:t>
            </w:r>
          </w:p>
        </w:tc>
        <w:tc>
          <w:tcPr>
            <w:tcW w:w="2740" w:type="dxa"/>
            <w:tcBorders>
              <w:top w:val="nil"/>
              <w:left w:val="nil"/>
              <w:bottom w:val="single" w:sz="4" w:space="0" w:color="auto"/>
              <w:right w:val="single" w:sz="8" w:space="0" w:color="auto"/>
            </w:tcBorders>
            <w:shd w:val="clear" w:color="auto" w:fill="D9D9D9" w:themeFill="background1" w:themeFillShade="D9"/>
            <w:vAlign w:val="center"/>
            <w:hideMark/>
          </w:tcPr>
          <w:p w:rsidR="00625EAA" w:rsidRPr="00103511" w:rsidRDefault="00625EAA" w:rsidP="00103511">
            <w:pPr>
              <w:spacing w:after="0"/>
              <w:rPr>
                <w:rFonts w:eastAsia="Times New Roman" w:cs="Arial"/>
                <w:b/>
                <w:bCs/>
                <w:color w:val="000000"/>
                <w:sz w:val="18"/>
                <w:szCs w:val="18"/>
                <w:lang w:eastAsia="pt-BR"/>
              </w:rPr>
            </w:pPr>
            <w:r w:rsidRPr="00103511">
              <w:rPr>
                <w:rFonts w:eastAsia="Times New Roman" w:cs="Arial"/>
                <w:b/>
                <w:bCs/>
                <w:color w:val="000000"/>
                <w:sz w:val="18"/>
                <w:szCs w:val="18"/>
                <w:lang w:eastAsia="pt-BR"/>
              </w:rPr>
              <w:t>COPEPODA CYCLOPOIDA</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Copepodito cyclopoida</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Copepodito cyclopoida</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Mesocyclops longisetus </w:t>
            </w:r>
            <w:r w:rsidRPr="00103511">
              <w:rPr>
                <w:rFonts w:eastAsia="Times New Roman" w:cs="Arial"/>
                <w:color w:val="000000"/>
                <w:sz w:val="18"/>
                <w:szCs w:val="18"/>
                <w:lang w:eastAsia="pt-BR"/>
              </w:rPr>
              <w:t>Thiébaud</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Nauplio cyclopoida</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Microcyclops </w:t>
            </w:r>
            <w:r w:rsidRPr="00103511">
              <w:rPr>
                <w:rFonts w:eastAsia="Times New Roman" w:cs="Arial"/>
                <w:color w:val="000000"/>
                <w:sz w:val="18"/>
                <w:szCs w:val="18"/>
                <w:lang w:eastAsia="pt-BR"/>
              </w:rPr>
              <w:t>sp</w:t>
            </w:r>
          </w:p>
        </w:tc>
        <w:tc>
          <w:tcPr>
            <w:tcW w:w="2740" w:type="dxa"/>
            <w:tcBorders>
              <w:top w:val="nil"/>
              <w:left w:val="nil"/>
              <w:bottom w:val="single" w:sz="4" w:space="0" w:color="auto"/>
              <w:right w:val="single" w:sz="8" w:space="0" w:color="auto"/>
            </w:tcBorders>
            <w:shd w:val="clear" w:color="auto" w:fill="auto"/>
            <w:noWrap/>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 </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Nauplio cyclopoida</w:t>
            </w:r>
          </w:p>
        </w:tc>
        <w:tc>
          <w:tcPr>
            <w:tcW w:w="2740" w:type="dxa"/>
            <w:tcBorders>
              <w:top w:val="nil"/>
              <w:left w:val="nil"/>
              <w:bottom w:val="single" w:sz="4" w:space="0" w:color="auto"/>
              <w:right w:val="single" w:sz="8" w:space="0" w:color="auto"/>
            </w:tcBorders>
            <w:shd w:val="clear" w:color="auto" w:fill="auto"/>
            <w:noWrap/>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 </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D9D9D9" w:themeFill="background1" w:themeFillShade="D9"/>
            <w:vAlign w:val="center"/>
            <w:hideMark/>
          </w:tcPr>
          <w:p w:rsidR="00625EAA" w:rsidRPr="00103511" w:rsidRDefault="00625EAA" w:rsidP="00103511">
            <w:pPr>
              <w:spacing w:after="0"/>
              <w:rPr>
                <w:rFonts w:eastAsia="Times New Roman" w:cs="Arial"/>
                <w:b/>
                <w:bCs/>
                <w:color w:val="000000"/>
                <w:sz w:val="18"/>
                <w:szCs w:val="18"/>
                <w:lang w:eastAsia="pt-BR"/>
              </w:rPr>
            </w:pPr>
            <w:r w:rsidRPr="00103511">
              <w:rPr>
                <w:rFonts w:eastAsia="Times New Roman" w:cs="Arial"/>
                <w:b/>
                <w:bCs/>
                <w:color w:val="000000"/>
                <w:sz w:val="18"/>
                <w:szCs w:val="18"/>
                <w:lang w:eastAsia="pt-BR"/>
              </w:rPr>
              <w:t>COPEPODA CALANOIDA</w:t>
            </w:r>
          </w:p>
        </w:tc>
        <w:tc>
          <w:tcPr>
            <w:tcW w:w="2740" w:type="dxa"/>
            <w:tcBorders>
              <w:top w:val="nil"/>
              <w:left w:val="nil"/>
              <w:bottom w:val="single" w:sz="4" w:space="0" w:color="auto"/>
              <w:right w:val="single" w:sz="8" w:space="0" w:color="auto"/>
            </w:tcBorders>
            <w:shd w:val="clear" w:color="auto" w:fill="D9D9D9" w:themeFill="background1" w:themeFillShade="D9"/>
            <w:vAlign w:val="center"/>
            <w:hideMark/>
          </w:tcPr>
          <w:p w:rsidR="00625EAA" w:rsidRPr="00103511" w:rsidRDefault="00625EAA" w:rsidP="00103511">
            <w:pPr>
              <w:spacing w:after="0"/>
              <w:rPr>
                <w:rFonts w:eastAsia="Times New Roman" w:cs="Arial"/>
                <w:b/>
                <w:bCs/>
                <w:color w:val="000000"/>
                <w:sz w:val="18"/>
                <w:szCs w:val="18"/>
                <w:lang w:eastAsia="pt-BR"/>
              </w:rPr>
            </w:pPr>
            <w:r w:rsidRPr="00103511">
              <w:rPr>
                <w:rFonts w:eastAsia="Times New Roman" w:cs="Arial"/>
                <w:b/>
                <w:bCs/>
                <w:color w:val="000000"/>
                <w:sz w:val="18"/>
                <w:szCs w:val="18"/>
                <w:lang w:eastAsia="pt-BR"/>
              </w:rPr>
              <w:t>COPEPODA CALANOIDA</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Copepodito calanoida</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Nauplio calanoida</w:t>
            </w:r>
          </w:p>
        </w:tc>
      </w:tr>
      <w:tr w:rsidR="00625EAA" w:rsidRPr="00103511" w:rsidTr="00103511">
        <w:trPr>
          <w:trHeight w:val="300"/>
          <w:jc w:val="center"/>
        </w:trPr>
        <w:tc>
          <w:tcPr>
            <w:tcW w:w="3080" w:type="dxa"/>
            <w:tcBorders>
              <w:top w:val="nil"/>
              <w:left w:val="single" w:sz="8" w:space="0" w:color="auto"/>
              <w:bottom w:val="single" w:sz="4" w:space="0" w:color="auto"/>
              <w:right w:val="single" w:sz="8" w:space="0" w:color="auto"/>
            </w:tcBorders>
            <w:shd w:val="clear" w:color="auto" w:fill="auto"/>
            <w:noWrap/>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 </w:t>
            </w:r>
          </w:p>
        </w:tc>
        <w:tc>
          <w:tcPr>
            <w:tcW w:w="2740" w:type="dxa"/>
            <w:tcBorders>
              <w:top w:val="nil"/>
              <w:left w:val="nil"/>
              <w:bottom w:val="single" w:sz="4"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Copepodito calanoida</w:t>
            </w:r>
          </w:p>
        </w:tc>
      </w:tr>
      <w:tr w:rsidR="00625EAA" w:rsidRPr="00103511" w:rsidTr="00103511">
        <w:trPr>
          <w:trHeight w:val="315"/>
          <w:jc w:val="center"/>
        </w:trPr>
        <w:tc>
          <w:tcPr>
            <w:tcW w:w="3080" w:type="dxa"/>
            <w:tcBorders>
              <w:top w:val="nil"/>
              <w:left w:val="single" w:sz="8" w:space="0" w:color="auto"/>
              <w:bottom w:val="single" w:sz="8" w:space="0" w:color="auto"/>
              <w:right w:val="single" w:sz="8" w:space="0" w:color="auto"/>
            </w:tcBorders>
            <w:shd w:val="clear" w:color="auto" w:fill="auto"/>
            <w:noWrap/>
            <w:vAlign w:val="center"/>
            <w:hideMark/>
          </w:tcPr>
          <w:p w:rsidR="00625EAA" w:rsidRPr="00103511" w:rsidRDefault="00625EAA" w:rsidP="00103511">
            <w:pPr>
              <w:spacing w:after="0"/>
              <w:rPr>
                <w:rFonts w:eastAsia="Times New Roman" w:cs="Arial"/>
                <w:color w:val="000000"/>
                <w:sz w:val="18"/>
                <w:szCs w:val="18"/>
                <w:lang w:eastAsia="pt-BR"/>
              </w:rPr>
            </w:pPr>
            <w:r w:rsidRPr="00103511">
              <w:rPr>
                <w:rFonts w:eastAsia="Times New Roman" w:cs="Arial"/>
                <w:color w:val="000000"/>
                <w:sz w:val="18"/>
                <w:szCs w:val="18"/>
                <w:lang w:eastAsia="pt-BR"/>
              </w:rPr>
              <w:t> </w:t>
            </w:r>
          </w:p>
        </w:tc>
        <w:tc>
          <w:tcPr>
            <w:tcW w:w="2740" w:type="dxa"/>
            <w:tcBorders>
              <w:top w:val="nil"/>
              <w:left w:val="nil"/>
              <w:bottom w:val="single" w:sz="8" w:space="0" w:color="auto"/>
              <w:right w:val="single" w:sz="8" w:space="0" w:color="auto"/>
            </w:tcBorders>
            <w:shd w:val="clear" w:color="auto" w:fill="auto"/>
            <w:vAlign w:val="center"/>
            <w:hideMark/>
          </w:tcPr>
          <w:p w:rsidR="00625EAA" w:rsidRPr="00103511" w:rsidRDefault="00625EAA" w:rsidP="00103511">
            <w:pPr>
              <w:spacing w:after="0"/>
              <w:rPr>
                <w:rFonts w:eastAsia="Times New Roman" w:cs="Arial"/>
                <w:i/>
                <w:iCs/>
                <w:color w:val="000000"/>
                <w:sz w:val="18"/>
                <w:szCs w:val="18"/>
                <w:lang w:eastAsia="pt-BR"/>
              </w:rPr>
            </w:pPr>
            <w:r w:rsidRPr="00103511">
              <w:rPr>
                <w:rFonts w:eastAsia="Times New Roman" w:cs="Arial"/>
                <w:i/>
                <w:iCs/>
                <w:color w:val="000000"/>
                <w:sz w:val="18"/>
                <w:szCs w:val="18"/>
                <w:lang w:eastAsia="pt-BR"/>
              </w:rPr>
              <w:t xml:space="preserve">Notodiaptomus </w:t>
            </w:r>
            <w:r w:rsidRPr="00103511">
              <w:rPr>
                <w:rFonts w:eastAsia="Times New Roman" w:cs="Arial"/>
                <w:color w:val="000000"/>
                <w:sz w:val="18"/>
                <w:szCs w:val="18"/>
                <w:lang w:eastAsia="pt-BR"/>
              </w:rPr>
              <w:t>sp</w:t>
            </w:r>
          </w:p>
        </w:tc>
      </w:tr>
    </w:tbl>
    <w:p w:rsidR="00625EAA" w:rsidRDefault="00625EAA" w:rsidP="005604FE">
      <w:pPr>
        <w:spacing w:before="120"/>
      </w:pPr>
      <w:r>
        <w:t xml:space="preserve">Pode-se verificar que a riqueza de espécies é um pouco maior </w:t>
      </w:r>
      <w:r w:rsidR="005604FE">
        <w:t>no</w:t>
      </w:r>
      <w:r>
        <w:t xml:space="preserve"> </w:t>
      </w:r>
      <w:r w:rsidR="005604FE">
        <w:t xml:space="preserve">reservatório </w:t>
      </w:r>
      <w:r>
        <w:t>Atibainha quando comparada com a represa Jaguari-CESP.</w:t>
      </w:r>
    </w:p>
    <w:p w:rsidR="00625EAA" w:rsidRDefault="00625EAA" w:rsidP="005604FE">
      <w:pPr>
        <w:rPr>
          <w:rFonts w:cs="Arial"/>
          <w:color w:val="222222"/>
          <w:lang w:val="pt-PT"/>
        </w:rPr>
      </w:pPr>
      <w:r w:rsidRPr="00367D6B">
        <w:rPr>
          <w:rStyle w:val="hps"/>
          <w:rFonts w:cs="Arial"/>
          <w:color w:val="222222"/>
          <w:lang w:val="pt-PT"/>
        </w:rPr>
        <w:t>A</w:t>
      </w:r>
      <w:r w:rsidRPr="00367D6B">
        <w:rPr>
          <w:rFonts w:cs="Arial"/>
          <w:color w:val="222222"/>
          <w:lang w:val="pt-PT"/>
        </w:rPr>
        <w:t xml:space="preserve"> </w:t>
      </w:r>
      <w:r w:rsidRPr="00367D6B">
        <w:rPr>
          <w:rStyle w:val="hps"/>
          <w:rFonts w:cs="Arial"/>
          <w:color w:val="222222"/>
          <w:lang w:val="pt-PT"/>
        </w:rPr>
        <w:t>distribuição dos organismos</w:t>
      </w:r>
      <w:r w:rsidRPr="00367D6B">
        <w:rPr>
          <w:rFonts w:cs="Arial"/>
          <w:color w:val="222222"/>
          <w:lang w:val="pt-PT"/>
        </w:rPr>
        <w:t xml:space="preserve"> </w:t>
      </w:r>
      <w:r w:rsidRPr="00367D6B">
        <w:rPr>
          <w:rStyle w:val="hps"/>
          <w:rFonts w:cs="Arial"/>
          <w:color w:val="222222"/>
          <w:lang w:val="pt-PT"/>
        </w:rPr>
        <w:t>pode ser regulada</w:t>
      </w:r>
      <w:r w:rsidRPr="00367D6B">
        <w:rPr>
          <w:rFonts w:cs="Arial"/>
          <w:color w:val="222222"/>
          <w:lang w:val="pt-PT"/>
        </w:rPr>
        <w:t xml:space="preserve"> </w:t>
      </w:r>
      <w:r w:rsidRPr="00367D6B">
        <w:rPr>
          <w:rStyle w:val="hps"/>
          <w:rFonts w:cs="Arial"/>
          <w:color w:val="222222"/>
          <w:lang w:val="pt-PT"/>
        </w:rPr>
        <w:t>por fatores ambientais</w:t>
      </w:r>
      <w:r w:rsidRPr="00367D6B">
        <w:rPr>
          <w:rFonts w:cs="Arial"/>
          <w:color w:val="222222"/>
          <w:lang w:val="pt-PT"/>
        </w:rPr>
        <w:t xml:space="preserve"> </w:t>
      </w:r>
      <w:r w:rsidRPr="00367D6B">
        <w:rPr>
          <w:rStyle w:val="hps"/>
          <w:rFonts w:cs="Arial"/>
          <w:color w:val="222222"/>
          <w:lang w:val="pt-PT"/>
        </w:rPr>
        <w:t>locais e</w:t>
      </w:r>
      <w:r w:rsidRPr="00367D6B">
        <w:rPr>
          <w:rFonts w:cs="Arial"/>
          <w:color w:val="222222"/>
          <w:lang w:val="pt-PT"/>
        </w:rPr>
        <w:t xml:space="preserve"> </w:t>
      </w:r>
      <w:r w:rsidRPr="00367D6B">
        <w:rPr>
          <w:rStyle w:val="hps"/>
          <w:rFonts w:cs="Arial"/>
          <w:color w:val="222222"/>
          <w:lang w:val="pt-PT"/>
        </w:rPr>
        <w:t>por</w:t>
      </w:r>
      <w:r>
        <w:rPr>
          <w:rStyle w:val="hps"/>
          <w:rFonts w:cs="Arial"/>
          <w:color w:val="222222"/>
          <w:lang w:val="pt-PT"/>
        </w:rPr>
        <w:t xml:space="preserve"> </w:t>
      </w:r>
      <w:r w:rsidRPr="00367D6B">
        <w:rPr>
          <w:rStyle w:val="hps"/>
          <w:rFonts w:cs="Arial"/>
          <w:color w:val="222222"/>
          <w:lang w:val="pt-PT"/>
        </w:rPr>
        <w:t>processos regionais como</w:t>
      </w:r>
      <w:r w:rsidRPr="00367D6B">
        <w:rPr>
          <w:rFonts w:cs="Arial"/>
          <w:color w:val="222222"/>
          <w:lang w:val="pt-PT"/>
        </w:rPr>
        <w:t xml:space="preserve"> </w:t>
      </w:r>
      <w:r w:rsidRPr="00367D6B">
        <w:rPr>
          <w:rStyle w:val="hps"/>
          <w:rFonts w:cs="Arial"/>
          <w:color w:val="222222"/>
          <w:lang w:val="pt-PT"/>
        </w:rPr>
        <w:t>a capacidade de dispersão</w:t>
      </w:r>
      <w:r w:rsidRPr="00367D6B">
        <w:rPr>
          <w:rFonts w:cs="Arial"/>
          <w:color w:val="222222"/>
          <w:lang w:val="pt-PT"/>
        </w:rPr>
        <w:t>. O m</w:t>
      </w:r>
      <w:r w:rsidRPr="00367D6B">
        <w:rPr>
          <w:rStyle w:val="hps"/>
          <w:rFonts w:cs="Arial"/>
          <w:color w:val="222222"/>
          <w:lang w:val="pt-PT"/>
        </w:rPr>
        <w:t>ovimento</w:t>
      </w:r>
      <w:r w:rsidRPr="00367D6B">
        <w:rPr>
          <w:rFonts w:cs="Arial"/>
          <w:color w:val="222222"/>
          <w:lang w:val="pt-PT"/>
        </w:rPr>
        <w:t xml:space="preserve"> do </w:t>
      </w:r>
      <w:r w:rsidRPr="00367D6B">
        <w:rPr>
          <w:rStyle w:val="hps"/>
          <w:rFonts w:cs="Arial"/>
          <w:color w:val="222222"/>
          <w:lang w:val="pt-PT"/>
        </w:rPr>
        <w:t>zooplâncton se dá</w:t>
      </w:r>
      <w:r w:rsidRPr="00367D6B">
        <w:rPr>
          <w:rFonts w:cs="Arial"/>
          <w:color w:val="222222"/>
          <w:lang w:val="pt-PT"/>
        </w:rPr>
        <w:t xml:space="preserve"> </w:t>
      </w:r>
      <w:r w:rsidRPr="00367D6B">
        <w:rPr>
          <w:rStyle w:val="hps"/>
          <w:rFonts w:cs="Arial"/>
          <w:color w:val="222222"/>
          <w:lang w:val="pt-PT"/>
        </w:rPr>
        <w:t>via</w:t>
      </w:r>
      <w:r w:rsidRPr="00367D6B">
        <w:rPr>
          <w:rFonts w:cs="Arial"/>
          <w:color w:val="222222"/>
          <w:lang w:val="pt-PT"/>
        </w:rPr>
        <w:t xml:space="preserve"> </w:t>
      </w:r>
      <w:r w:rsidRPr="00367D6B">
        <w:rPr>
          <w:rStyle w:val="hps"/>
          <w:rFonts w:cs="Arial"/>
          <w:color w:val="222222"/>
          <w:lang w:val="pt-PT"/>
        </w:rPr>
        <w:t>vetores</w:t>
      </w:r>
      <w:r w:rsidRPr="00367D6B">
        <w:rPr>
          <w:rFonts w:cs="Arial"/>
          <w:color w:val="222222"/>
          <w:lang w:val="pt-PT"/>
        </w:rPr>
        <w:t xml:space="preserve"> </w:t>
      </w:r>
      <w:r w:rsidRPr="00367D6B">
        <w:rPr>
          <w:rStyle w:val="hps"/>
          <w:rFonts w:cs="Arial"/>
          <w:color w:val="222222"/>
          <w:lang w:val="pt-PT"/>
        </w:rPr>
        <w:t>humanos ou animais, pelo fluxo de águas superficiais</w:t>
      </w:r>
      <w:r w:rsidRPr="00367D6B">
        <w:rPr>
          <w:rFonts w:cs="Arial"/>
          <w:color w:val="222222"/>
          <w:lang w:val="pt-PT"/>
        </w:rPr>
        <w:t xml:space="preserve"> </w:t>
      </w:r>
      <w:r w:rsidRPr="00367D6B">
        <w:rPr>
          <w:rStyle w:val="hps"/>
          <w:rFonts w:cs="Arial"/>
          <w:color w:val="222222"/>
          <w:lang w:val="pt-PT"/>
        </w:rPr>
        <w:t>e pelo vento</w:t>
      </w:r>
      <w:r w:rsidRPr="00367D6B">
        <w:rPr>
          <w:rFonts w:cs="Arial"/>
          <w:color w:val="222222"/>
          <w:lang w:val="pt-PT"/>
        </w:rPr>
        <w:t xml:space="preserve">; </w:t>
      </w:r>
      <w:r w:rsidRPr="00367D6B">
        <w:rPr>
          <w:rStyle w:val="hps"/>
          <w:rFonts w:cs="Arial"/>
          <w:color w:val="222222"/>
          <w:lang w:val="pt-PT"/>
        </w:rPr>
        <w:t>a importância</w:t>
      </w:r>
      <w:r w:rsidRPr="00367D6B">
        <w:rPr>
          <w:rFonts w:cs="Arial"/>
          <w:color w:val="222222"/>
          <w:lang w:val="pt-PT"/>
        </w:rPr>
        <w:t xml:space="preserve"> </w:t>
      </w:r>
      <w:r w:rsidRPr="00367D6B">
        <w:rPr>
          <w:rStyle w:val="hps"/>
          <w:rFonts w:cs="Arial"/>
          <w:color w:val="222222"/>
          <w:lang w:val="pt-PT"/>
        </w:rPr>
        <w:t>relativa dos diferentes</w:t>
      </w:r>
      <w:r w:rsidRPr="00367D6B">
        <w:rPr>
          <w:rFonts w:cs="Arial"/>
          <w:color w:val="222222"/>
          <w:lang w:val="pt-PT"/>
        </w:rPr>
        <w:t xml:space="preserve"> </w:t>
      </w:r>
      <w:r w:rsidRPr="00367D6B">
        <w:rPr>
          <w:rStyle w:val="hps"/>
          <w:rFonts w:cs="Arial"/>
          <w:color w:val="222222"/>
          <w:lang w:val="pt-PT"/>
        </w:rPr>
        <w:t>modos de transporte</w:t>
      </w:r>
      <w:r w:rsidRPr="00367D6B">
        <w:rPr>
          <w:rFonts w:cs="Arial"/>
          <w:color w:val="222222"/>
          <w:lang w:val="pt-PT"/>
        </w:rPr>
        <w:t xml:space="preserve"> </w:t>
      </w:r>
      <w:r w:rsidRPr="00367D6B">
        <w:rPr>
          <w:rStyle w:val="hps"/>
          <w:rFonts w:cs="Arial"/>
          <w:color w:val="222222"/>
          <w:lang w:val="pt-PT"/>
        </w:rPr>
        <w:t xml:space="preserve">é mal </w:t>
      </w:r>
      <w:r>
        <w:rPr>
          <w:rStyle w:val="hps"/>
          <w:rFonts w:cs="Arial"/>
          <w:color w:val="222222"/>
          <w:lang w:val="pt-PT"/>
        </w:rPr>
        <w:t>compreendida</w:t>
      </w:r>
      <w:r w:rsidRPr="00367D6B">
        <w:rPr>
          <w:rFonts w:cs="Arial"/>
          <w:color w:val="222222"/>
          <w:lang w:val="pt-PT"/>
        </w:rPr>
        <w:t xml:space="preserve">. </w:t>
      </w:r>
      <w:r w:rsidRPr="00367D6B">
        <w:rPr>
          <w:rStyle w:val="hps"/>
          <w:rFonts w:cs="Arial"/>
          <w:color w:val="222222"/>
          <w:lang w:val="pt-PT"/>
        </w:rPr>
        <w:t>Diversas linhas de evidência</w:t>
      </w:r>
      <w:r w:rsidRPr="00367D6B">
        <w:rPr>
          <w:rFonts w:cs="Arial"/>
          <w:color w:val="222222"/>
          <w:lang w:val="pt-PT"/>
        </w:rPr>
        <w:t xml:space="preserve"> </w:t>
      </w:r>
      <w:r w:rsidRPr="00367D6B">
        <w:rPr>
          <w:rStyle w:val="hps"/>
          <w:rFonts w:cs="Arial"/>
          <w:color w:val="222222"/>
          <w:lang w:val="pt-PT"/>
        </w:rPr>
        <w:t>sugerem</w:t>
      </w:r>
      <w:r w:rsidRPr="00367D6B">
        <w:rPr>
          <w:rFonts w:cs="Arial"/>
          <w:color w:val="222222"/>
          <w:lang w:val="pt-PT"/>
        </w:rPr>
        <w:t xml:space="preserve"> </w:t>
      </w:r>
      <w:r w:rsidRPr="00367D6B">
        <w:rPr>
          <w:rStyle w:val="hps"/>
          <w:rFonts w:cs="Arial"/>
          <w:color w:val="222222"/>
          <w:lang w:val="pt-PT"/>
        </w:rPr>
        <w:t>que a dispersão</w:t>
      </w:r>
      <w:r w:rsidRPr="00367D6B">
        <w:rPr>
          <w:rFonts w:cs="Arial"/>
          <w:color w:val="222222"/>
          <w:lang w:val="pt-PT"/>
        </w:rPr>
        <w:t xml:space="preserve"> </w:t>
      </w:r>
      <w:r>
        <w:rPr>
          <w:rStyle w:val="hps"/>
          <w:rFonts w:cs="Arial"/>
          <w:color w:val="222222"/>
          <w:lang w:val="pt-PT"/>
        </w:rPr>
        <w:t>entre</w:t>
      </w:r>
      <w:r w:rsidRPr="00367D6B">
        <w:rPr>
          <w:rFonts w:cs="Arial"/>
          <w:color w:val="222222"/>
          <w:lang w:val="pt-PT"/>
        </w:rPr>
        <w:t xml:space="preserve"> </w:t>
      </w:r>
      <w:r w:rsidRPr="00367D6B">
        <w:rPr>
          <w:rStyle w:val="hps"/>
          <w:rFonts w:cs="Arial"/>
          <w:color w:val="222222"/>
          <w:lang w:val="pt-PT"/>
        </w:rPr>
        <w:t>lagos</w:t>
      </w:r>
      <w:r w:rsidRPr="00367D6B">
        <w:rPr>
          <w:rFonts w:cs="Arial"/>
          <w:color w:val="222222"/>
          <w:lang w:val="pt-PT"/>
        </w:rPr>
        <w:t xml:space="preserve"> </w:t>
      </w:r>
      <w:r w:rsidRPr="00367D6B">
        <w:rPr>
          <w:rStyle w:val="hps"/>
          <w:rFonts w:cs="Arial"/>
          <w:color w:val="222222"/>
          <w:lang w:val="pt-PT"/>
        </w:rPr>
        <w:t>separados</w:t>
      </w:r>
      <w:r w:rsidRPr="00367D6B">
        <w:rPr>
          <w:rFonts w:cs="Arial"/>
          <w:color w:val="222222"/>
          <w:lang w:val="pt-PT"/>
        </w:rPr>
        <w:t xml:space="preserve"> </w:t>
      </w:r>
      <w:r w:rsidRPr="00367D6B">
        <w:rPr>
          <w:rStyle w:val="hps"/>
          <w:rFonts w:cs="Arial"/>
          <w:color w:val="222222"/>
          <w:lang w:val="pt-PT"/>
        </w:rPr>
        <w:t>sobre</w:t>
      </w:r>
      <w:r w:rsidRPr="00367D6B">
        <w:rPr>
          <w:rFonts w:cs="Arial"/>
          <w:color w:val="222222"/>
          <w:lang w:val="pt-PT"/>
        </w:rPr>
        <w:t xml:space="preserve"> </w:t>
      </w:r>
      <w:r w:rsidRPr="00367D6B">
        <w:rPr>
          <w:rStyle w:val="hps"/>
          <w:rFonts w:cs="Arial"/>
          <w:color w:val="222222"/>
          <w:lang w:val="pt-PT"/>
        </w:rPr>
        <w:t>escalas espaciais</w:t>
      </w:r>
      <w:r w:rsidRPr="00367D6B">
        <w:rPr>
          <w:rFonts w:cs="Arial"/>
          <w:color w:val="222222"/>
          <w:lang w:val="pt-PT"/>
        </w:rPr>
        <w:t xml:space="preserve"> </w:t>
      </w:r>
      <w:r>
        <w:rPr>
          <w:rStyle w:val="hps"/>
          <w:rFonts w:cs="Arial"/>
          <w:color w:val="222222"/>
          <w:lang w:val="pt-PT"/>
        </w:rPr>
        <w:t>curta</w:t>
      </w:r>
      <w:r w:rsidRPr="00367D6B">
        <w:rPr>
          <w:rStyle w:val="hps"/>
          <w:rFonts w:cs="Arial"/>
          <w:color w:val="222222"/>
          <w:lang w:val="pt-PT"/>
        </w:rPr>
        <w:t>s</w:t>
      </w:r>
      <w:r w:rsidRPr="00367D6B">
        <w:rPr>
          <w:rFonts w:cs="Arial"/>
          <w:color w:val="222222"/>
          <w:lang w:val="pt-PT"/>
        </w:rPr>
        <w:t xml:space="preserve"> </w:t>
      </w:r>
      <w:r w:rsidRPr="00367D6B">
        <w:rPr>
          <w:rStyle w:val="hps"/>
          <w:rFonts w:cs="Arial"/>
          <w:color w:val="222222"/>
          <w:lang w:val="pt-PT"/>
        </w:rPr>
        <w:t>(10 km)</w:t>
      </w:r>
      <w:r w:rsidRPr="00367D6B">
        <w:rPr>
          <w:rFonts w:cs="Arial"/>
          <w:color w:val="222222"/>
          <w:lang w:val="pt-PT"/>
        </w:rPr>
        <w:t xml:space="preserve"> </w:t>
      </w:r>
      <w:r w:rsidRPr="00367D6B">
        <w:rPr>
          <w:rStyle w:val="hps"/>
          <w:rFonts w:cs="Arial"/>
          <w:color w:val="222222"/>
          <w:lang w:val="pt-PT"/>
        </w:rPr>
        <w:t>é suficientemente</w:t>
      </w:r>
      <w:r w:rsidRPr="00367D6B">
        <w:rPr>
          <w:rFonts w:cs="Arial"/>
          <w:color w:val="222222"/>
          <w:lang w:val="pt-PT"/>
        </w:rPr>
        <w:t xml:space="preserve"> </w:t>
      </w:r>
      <w:r w:rsidRPr="00367D6B">
        <w:rPr>
          <w:rStyle w:val="hps"/>
          <w:rFonts w:cs="Arial"/>
          <w:color w:val="222222"/>
          <w:lang w:val="pt-PT"/>
        </w:rPr>
        <w:t>rápida</w:t>
      </w:r>
      <w:r>
        <w:rPr>
          <w:rStyle w:val="hps"/>
          <w:rFonts w:cs="Arial"/>
          <w:color w:val="222222"/>
          <w:lang w:val="pt-PT"/>
        </w:rPr>
        <w:t>, de forma</w:t>
      </w:r>
      <w:r w:rsidRPr="00367D6B">
        <w:rPr>
          <w:rFonts w:cs="Arial"/>
          <w:color w:val="222222"/>
          <w:lang w:val="pt-PT"/>
        </w:rPr>
        <w:t xml:space="preserve"> </w:t>
      </w:r>
      <w:r w:rsidRPr="00367D6B">
        <w:rPr>
          <w:rStyle w:val="hps"/>
          <w:rFonts w:cs="Arial"/>
          <w:color w:val="222222"/>
          <w:lang w:val="pt-PT"/>
        </w:rPr>
        <w:t>que as interações</w:t>
      </w:r>
      <w:r w:rsidRPr="00367D6B">
        <w:rPr>
          <w:rFonts w:cs="Arial"/>
          <w:color w:val="222222"/>
          <w:lang w:val="pt-PT"/>
        </w:rPr>
        <w:t xml:space="preserve"> </w:t>
      </w:r>
      <w:r w:rsidRPr="00367D6B">
        <w:rPr>
          <w:rStyle w:val="hps"/>
          <w:rFonts w:cs="Arial"/>
          <w:color w:val="222222"/>
          <w:lang w:val="pt-PT"/>
        </w:rPr>
        <w:t>locais devem</w:t>
      </w:r>
      <w:r w:rsidRPr="00367D6B">
        <w:rPr>
          <w:rFonts w:cs="Arial"/>
          <w:color w:val="222222"/>
          <w:lang w:val="pt-PT"/>
        </w:rPr>
        <w:t xml:space="preserve"> </w:t>
      </w:r>
      <w:r w:rsidRPr="00367D6B">
        <w:rPr>
          <w:rStyle w:val="hps"/>
          <w:rFonts w:cs="Arial"/>
          <w:color w:val="222222"/>
          <w:lang w:val="pt-PT"/>
        </w:rPr>
        <w:t>limitar a diversidade</w:t>
      </w:r>
      <w:r w:rsidRPr="00367D6B">
        <w:rPr>
          <w:rFonts w:cs="Arial"/>
          <w:color w:val="222222"/>
          <w:lang w:val="pt-PT"/>
        </w:rPr>
        <w:t xml:space="preserve"> </w:t>
      </w:r>
      <w:r w:rsidRPr="00367D6B">
        <w:rPr>
          <w:rStyle w:val="hps"/>
          <w:rFonts w:cs="Arial"/>
          <w:color w:val="222222"/>
          <w:lang w:val="pt-PT"/>
        </w:rPr>
        <w:t>e composição de espécies</w:t>
      </w:r>
      <w:r w:rsidRPr="00367D6B">
        <w:rPr>
          <w:rFonts w:cs="Arial"/>
          <w:color w:val="222222"/>
          <w:lang w:val="pt-PT"/>
        </w:rPr>
        <w:t xml:space="preserve"> </w:t>
      </w:r>
      <w:r w:rsidRPr="00367D6B">
        <w:rPr>
          <w:rStyle w:val="hps"/>
          <w:rFonts w:cs="Arial"/>
          <w:color w:val="222222"/>
          <w:lang w:val="pt-PT"/>
        </w:rPr>
        <w:t>mais</w:t>
      </w:r>
      <w:r w:rsidRPr="00367D6B">
        <w:rPr>
          <w:rFonts w:cs="Arial"/>
          <w:color w:val="222222"/>
          <w:lang w:val="pt-PT"/>
        </w:rPr>
        <w:t xml:space="preserve"> </w:t>
      </w:r>
      <w:r w:rsidRPr="00367D6B">
        <w:rPr>
          <w:rStyle w:val="hps"/>
          <w:rFonts w:cs="Arial"/>
          <w:color w:val="222222"/>
          <w:lang w:val="pt-PT"/>
        </w:rPr>
        <w:t>do que a oferta</w:t>
      </w:r>
      <w:r w:rsidRPr="00367D6B">
        <w:rPr>
          <w:rFonts w:cs="Arial"/>
          <w:color w:val="222222"/>
          <w:lang w:val="pt-PT"/>
        </w:rPr>
        <w:t xml:space="preserve"> </w:t>
      </w:r>
      <w:r w:rsidRPr="00367D6B">
        <w:rPr>
          <w:rStyle w:val="hps"/>
          <w:rFonts w:cs="Arial"/>
          <w:color w:val="222222"/>
          <w:lang w:val="pt-PT"/>
        </w:rPr>
        <w:t>de organismos colonizadores</w:t>
      </w:r>
      <w:r w:rsidRPr="00367D6B">
        <w:rPr>
          <w:rFonts w:cs="Arial"/>
          <w:color w:val="222222"/>
          <w:lang w:val="pt-PT"/>
        </w:rPr>
        <w:t xml:space="preserve">. </w:t>
      </w:r>
      <w:r w:rsidRPr="00367D6B">
        <w:rPr>
          <w:rStyle w:val="hps"/>
          <w:rFonts w:cs="Arial"/>
          <w:color w:val="222222"/>
          <w:lang w:val="pt-PT"/>
        </w:rPr>
        <w:t>No entanto, a</w:t>
      </w:r>
      <w:r w:rsidRPr="00367D6B">
        <w:rPr>
          <w:rFonts w:cs="Arial"/>
          <w:color w:val="222222"/>
          <w:lang w:val="pt-PT"/>
        </w:rPr>
        <w:t xml:space="preserve"> </w:t>
      </w:r>
      <w:r w:rsidRPr="00367D6B">
        <w:rPr>
          <w:rStyle w:val="hps"/>
          <w:rFonts w:cs="Arial"/>
          <w:color w:val="222222"/>
          <w:lang w:val="pt-PT"/>
        </w:rPr>
        <w:t>limitação de dispersão</w:t>
      </w:r>
      <w:r w:rsidRPr="00367D6B">
        <w:rPr>
          <w:rFonts w:cs="Arial"/>
          <w:color w:val="222222"/>
          <w:lang w:val="pt-PT"/>
        </w:rPr>
        <w:t xml:space="preserve"> </w:t>
      </w:r>
      <w:r w:rsidRPr="00367D6B">
        <w:rPr>
          <w:rStyle w:val="hps"/>
          <w:rFonts w:cs="Arial"/>
          <w:color w:val="222222"/>
          <w:lang w:val="pt-PT"/>
        </w:rPr>
        <w:t>em escalas</w:t>
      </w:r>
      <w:r w:rsidRPr="00367D6B">
        <w:rPr>
          <w:rFonts w:cs="Arial"/>
          <w:color w:val="222222"/>
          <w:lang w:val="pt-PT"/>
        </w:rPr>
        <w:t xml:space="preserve"> </w:t>
      </w:r>
      <w:r w:rsidRPr="00367D6B">
        <w:rPr>
          <w:rStyle w:val="hps"/>
          <w:rFonts w:cs="Arial"/>
          <w:color w:val="222222"/>
          <w:lang w:val="pt-PT"/>
        </w:rPr>
        <w:t>grandes</w:t>
      </w:r>
      <w:r w:rsidRPr="00367D6B">
        <w:rPr>
          <w:rFonts w:cs="Arial"/>
          <w:color w:val="222222"/>
          <w:lang w:val="pt-PT"/>
        </w:rPr>
        <w:t xml:space="preserve"> </w:t>
      </w:r>
      <w:r w:rsidRPr="00367D6B">
        <w:rPr>
          <w:rStyle w:val="hps"/>
          <w:rFonts w:cs="Arial"/>
          <w:color w:val="222222"/>
          <w:lang w:val="pt-PT"/>
        </w:rPr>
        <w:t>(</w:t>
      </w:r>
      <w:r w:rsidRPr="00367D6B">
        <w:rPr>
          <w:rFonts w:cs="Arial"/>
          <w:color w:val="222222"/>
          <w:lang w:val="pt-PT"/>
        </w:rPr>
        <w:t xml:space="preserve">dezenas a </w:t>
      </w:r>
      <w:r w:rsidRPr="00367D6B">
        <w:rPr>
          <w:rStyle w:val="hps"/>
          <w:rFonts w:cs="Arial"/>
          <w:color w:val="222222"/>
          <w:lang w:val="pt-PT"/>
        </w:rPr>
        <w:t>milhares de quilómetros</w:t>
      </w:r>
      <w:r w:rsidRPr="00367D6B">
        <w:rPr>
          <w:rFonts w:cs="Arial"/>
          <w:color w:val="222222"/>
          <w:lang w:val="pt-PT"/>
        </w:rPr>
        <w:t xml:space="preserve">) </w:t>
      </w:r>
      <w:r w:rsidRPr="00367D6B">
        <w:rPr>
          <w:rStyle w:val="hps"/>
          <w:rFonts w:cs="Arial"/>
          <w:color w:val="222222"/>
          <w:lang w:val="pt-PT"/>
        </w:rPr>
        <w:t>pode</w:t>
      </w:r>
      <w:r w:rsidRPr="00367D6B">
        <w:rPr>
          <w:rFonts w:cs="Arial"/>
          <w:color w:val="222222"/>
          <w:lang w:val="pt-PT"/>
        </w:rPr>
        <w:t xml:space="preserve"> </w:t>
      </w:r>
      <w:r w:rsidRPr="00367D6B">
        <w:rPr>
          <w:rStyle w:val="hps"/>
          <w:rFonts w:cs="Arial"/>
          <w:color w:val="222222"/>
          <w:lang w:val="pt-PT"/>
        </w:rPr>
        <w:t>restringir</w:t>
      </w:r>
      <w:r w:rsidRPr="00367D6B">
        <w:rPr>
          <w:rFonts w:cs="Arial"/>
          <w:color w:val="222222"/>
          <w:lang w:val="pt-PT"/>
        </w:rPr>
        <w:t xml:space="preserve"> </w:t>
      </w:r>
      <w:r w:rsidRPr="00367D6B">
        <w:rPr>
          <w:rStyle w:val="hps"/>
          <w:rFonts w:cs="Arial"/>
          <w:color w:val="222222"/>
          <w:lang w:val="pt-PT"/>
        </w:rPr>
        <w:t>os limites geográficos</w:t>
      </w:r>
      <w:r w:rsidRPr="00367D6B">
        <w:rPr>
          <w:rFonts w:cs="Arial"/>
          <w:color w:val="222222"/>
          <w:lang w:val="pt-PT"/>
        </w:rPr>
        <w:t xml:space="preserve"> </w:t>
      </w:r>
      <w:r w:rsidRPr="00367D6B">
        <w:rPr>
          <w:rStyle w:val="hps"/>
          <w:rFonts w:cs="Arial"/>
          <w:color w:val="222222"/>
          <w:lang w:val="pt-PT"/>
        </w:rPr>
        <w:t>e</w:t>
      </w:r>
      <w:r w:rsidRPr="00367D6B">
        <w:rPr>
          <w:rFonts w:cs="Arial"/>
          <w:color w:val="222222"/>
          <w:lang w:val="pt-PT"/>
        </w:rPr>
        <w:t xml:space="preserve"> influencia a </w:t>
      </w:r>
      <w:r w:rsidRPr="00367D6B">
        <w:rPr>
          <w:rStyle w:val="hps"/>
          <w:rFonts w:cs="Arial"/>
          <w:color w:val="222222"/>
          <w:lang w:val="pt-PT"/>
        </w:rPr>
        <w:t>estrutura da comunidade.</w:t>
      </w:r>
      <w:r w:rsidRPr="00367D6B">
        <w:rPr>
          <w:rFonts w:cs="Arial"/>
          <w:color w:val="222222"/>
          <w:lang w:val="pt-PT"/>
        </w:rPr>
        <w:t xml:space="preserve"> </w:t>
      </w:r>
      <w:r w:rsidRPr="00367D6B">
        <w:rPr>
          <w:rStyle w:val="hps"/>
          <w:rFonts w:cs="Arial"/>
          <w:color w:val="222222"/>
          <w:lang w:val="pt-PT"/>
        </w:rPr>
        <w:t>A explosão</w:t>
      </w:r>
      <w:r w:rsidRPr="00367D6B">
        <w:rPr>
          <w:rFonts w:cs="Arial"/>
          <w:color w:val="222222"/>
          <w:lang w:val="pt-PT"/>
        </w:rPr>
        <w:t xml:space="preserve"> </w:t>
      </w:r>
      <w:r w:rsidRPr="00367D6B">
        <w:rPr>
          <w:rStyle w:val="hps"/>
          <w:rFonts w:cs="Arial"/>
          <w:color w:val="222222"/>
          <w:lang w:val="pt-PT"/>
        </w:rPr>
        <w:t>atual</w:t>
      </w:r>
      <w:r w:rsidRPr="00367D6B">
        <w:rPr>
          <w:rFonts w:cs="Arial"/>
          <w:color w:val="222222"/>
          <w:lang w:val="pt-PT"/>
        </w:rPr>
        <w:t xml:space="preserve"> </w:t>
      </w:r>
      <w:r w:rsidRPr="00367D6B">
        <w:rPr>
          <w:rStyle w:val="hps"/>
          <w:rFonts w:cs="Arial"/>
          <w:color w:val="222222"/>
          <w:lang w:val="pt-PT"/>
        </w:rPr>
        <w:t>da incidência de</w:t>
      </w:r>
      <w:r w:rsidRPr="00367D6B">
        <w:rPr>
          <w:rFonts w:cs="Arial"/>
          <w:color w:val="222222"/>
          <w:lang w:val="pt-PT"/>
        </w:rPr>
        <w:t xml:space="preserve"> </w:t>
      </w:r>
      <w:r w:rsidRPr="00367D6B">
        <w:rPr>
          <w:rStyle w:val="hps"/>
          <w:rFonts w:cs="Arial"/>
          <w:color w:val="222222"/>
          <w:lang w:val="pt-PT"/>
        </w:rPr>
        <w:t>espécies</w:t>
      </w:r>
      <w:r w:rsidRPr="00367D6B">
        <w:rPr>
          <w:rFonts w:cs="Arial"/>
          <w:color w:val="222222"/>
          <w:lang w:val="pt-PT"/>
        </w:rPr>
        <w:t xml:space="preserve"> </w:t>
      </w:r>
      <w:r w:rsidRPr="00367D6B">
        <w:rPr>
          <w:rStyle w:val="hps"/>
          <w:rFonts w:cs="Arial"/>
          <w:color w:val="222222"/>
          <w:lang w:val="pt-PT"/>
        </w:rPr>
        <w:t>exóticas</w:t>
      </w:r>
      <w:r w:rsidRPr="00367D6B">
        <w:rPr>
          <w:rFonts w:cs="Arial"/>
          <w:color w:val="222222"/>
          <w:lang w:val="pt-PT"/>
        </w:rPr>
        <w:t xml:space="preserve"> </w:t>
      </w:r>
      <w:r w:rsidRPr="00367D6B">
        <w:rPr>
          <w:rStyle w:val="hps"/>
          <w:rFonts w:cs="Arial"/>
          <w:color w:val="222222"/>
          <w:lang w:val="pt-PT"/>
        </w:rPr>
        <w:t>indica</w:t>
      </w:r>
      <w:r w:rsidRPr="00367D6B">
        <w:rPr>
          <w:rFonts w:cs="Arial"/>
          <w:color w:val="222222"/>
          <w:lang w:val="pt-PT"/>
        </w:rPr>
        <w:t xml:space="preserve"> </w:t>
      </w:r>
      <w:r w:rsidRPr="00367D6B">
        <w:rPr>
          <w:rStyle w:val="hps"/>
          <w:rFonts w:cs="Arial"/>
          <w:color w:val="222222"/>
          <w:lang w:val="pt-PT"/>
        </w:rPr>
        <w:t>que</w:t>
      </w:r>
      <w:r w:rsidRPr="00367D6B">
        <w:rPr>
          <w:rFonts w:cs="Arial"/>
          <w:color w:val="222222"/>
          <w:lang w:val="pt-PT"/>
        </w:rPr>
        <w:t xml:space="preserve"> </w:t>
      </w:r>
      <w:r w:rsidRPr="00367D6B">
        <w:rPr>
          <w:rStyle w:val="hps"/>
          <w:rFonts w:cs="Arial"/>
          <w:color w:val="222222"/>
          <w:lang w:val="pt-PT"/>
        </w:rPr>
        <w:t>tal</w:t>
      </w:r>
      <w:r w:rsidRPr="00367D6B">
        <w:rPr>
          <w:rFonts w:cs="Arial"/>
          <w:color w:val="222222"/>
          <w:lang w:val="pt-PT"/>
        </w:rPr>
        <w:t xml:space="preserve"> </w:t>
      </w:r>
      <w:r w:rsidRPr="00367D6B">
        <w:rPr>
          <w:rStyle w:val="hps"/>
          <w:rFonts w:cs="Arial"/>
          <w:color w:val="222222"/>
          <w:lang w:val="pt-PT"/>
        </w:rPr>
        <w:t>dispersão</w:t>
      </w:r>
      <w:r w:rsidRPr="00367D6B">
        <w:rPr>
          <w:rFonts w:cs="Arial"/>
          <w:color w:val="222222"/>
          <w:lang w:val="pt-PT"/>
        </w:rPr>
        <w:t xml:space="preserve"> </w:t>
      </w:r>
      <w:r w:rsidRPr="00367D6B">
        <w:rPr>
          <w:rStyle w:val="hps"/>
          <w:rFonts w:cs="Arial"/>
          <w:color w:val="222222"/>
          <w:lang w:val="pt-PT"/>
        </w:rPr>
        <w:t>em escala global – ou  continental</w:t>
      </w:r>
      <w:r w:rsidRPr="00367D6B">
        <w:rPr>
          <w:rFonts w:cs="Arial"/>
          <w:color w:val="222222"/>
          <w:lang w:val="pt-PT"/>
        </w:rPr>
        <w:t xml:space="preserve"> </w:t>
      </w:r>
      <w:r w:rsidRPr="00367D6B">
        <w:rPr>
          <w:rStyle w:val="hps"/>
          <w:rFonts w:cs="Arial"/>
          <w:color w:val="222222"/>
          <w:lang w:val="pt-PT"/>
        </w:rPr>
        <w:t>–</w:t>
      </w:r>
      <w:r w:rsidRPr="00367D6B">
        <w:rPr>
          <w:rFonts w:cs="Arial"/>
          <w:color w:val="222222"/>
          <w:lang w:val="pt-PT"/>
        </w:rPr>
        <w:t xml:space="preserve"> era limitada </w:t>
      </w:r>
      <w:r w:rsidRPr="00367D6B">
        <w:rPr>
          <w:rStyle w:val="hps"/>
          <w:rFonts w:cs="Arial"/>
          <w:color w:val="222222"/>
          <w:lang w:val="pt-PT"/>
        </w:rPr>
        <w:t>no passado</w:t>
      </w:r>
      <w:r>
        <w:rPr>
          <w:rStyle w:val="hps"/>
          <w:rFonts w:cs="Arial"/>
          <w:color w:val="222222"/>
          <w:lang w:val="pt-PT"/>
        </w:rPr>
        <w:t xml:space="preserve"> (Havel &amp; Shuin, 2004)</w:t>
      </w:r>
      <w:r w:rsidRPr="00367D6B">
        <w:rPr>
          <w:rFonts w:cs="Arial"/>
          <w:color w:val="222222"/>
          <w:lang w:val="pt-PT"/>
        </w:rPr>
        <w:t>.</w:t>
      </w:r>
    </w:p>
    <w:p w:rsidR="00625EAA" w:rsidRPr="00367D6B" w:rsidRDefault="00625EAA" w:rsidP="005604FE">
      <w:r>
        <w:t xml:space="preserve">Dzialowwski </w:t>
      </w:r>
      <w:r w:rsidRPr="0012408A">
        <w:rPr>
          <w:i/>
        </w:rPr>
        <w:t>et al</w:t>
      </w:r>
      <w:r w:rsidR="00AF7F17">
        <w:t>. (2000) analis</w:t>
      </w:r>
      <w:r>
        <w:t>aram a propagação de um cladócero exótico (</w:t>
      </w:r>
      <w:r w:rsidRPr="008F14A3">
        <w:rPr>
          <w:i/>
        </w:rPr>
        <w:t>Daphnia lumholtzi</w:t>
      </w:r>
      <w:r>
        <w:t>) introduzido nos Estados Unidos e observaram sua ausência em lagoas próximas a reservatórios com o cladócero, inacessíveis a barcos de recreação, indicando a importância do fator humano na dispersão desse organismo.</w:t>
      </w:r>
    </w:p>
    <w:p w:rsidR="00625EAA" w:rsidRDefault="00625EAA" w:rsidP="005604FE">
      <w:pPr>
        <w:rPr>
          <w:rFonts w:cs="Arial"/>
          <w:color w:val="222222"/>
          <w:lang w:val="pt-PT"/>
        </w:rPr>
      </w:pPr>
      <w:r w:rsidRPr="000D55FF">
        <w:t xml:space="preserve">Shurin </w:t>
      </w:r>
      <w:r w:rsidRPr="0012408A">
        <w:rPr>
          <w:i/>
        </w:rPr>
        <w:t>et al</w:t>
      </w:r>
      <w:r w:rsidRPr="000D55FF">
        <w:t xml:space="preserve"> (2009) ressaltaram que diferenças no modo de dispersão</w:t>
      </w:r>
      <w:r>
        <w:t xml:space="preserve"> de organismos aquáticos</w:t>
      </w:r>
      <w:r w:rsidRPr="000D55FF">
        <w:t xml:space="preserve"> sugerem </w:t>
      </w:r>
      <w:r w:rsidRPr="000D55FF">
        <w:rPr>
          <w:rStyle w:val="hps"/>
          <w:rFonts w:cs="Arial"/>
          <w:color w:val="222222"/>
          <w:lang w:val="pt-PT"/>
        </w:rPr>
        <w:t>que os organismos</w:t>
      </w:r>
      <w:r w:rsidRPr="000D55FF">
        <w:rPr>
          <w:rFonts w:cs="Arial"/>
          <w:color w:val="222222"/>
          <w:lang w:val="pt-PT"/>
        </w:rPr>
        <w:t xml:space="preserve"> </w:t>
      </w:r>
      <w:r w:rsidRPr="000D55FF">
        <w:rPr>
          <w:rStyle w:val="hps"/>
          <w:rFonts w:cs="Arial"/>
          <w:color w:val="222222"/>
          <w:lang w:val="pt-PT"/>
        </w:rPr>
        <w:t>maiores podem ser</w:t>
      </w:r>
      <w:r w:rsidRPr="000D55FF">
        <w:rPr>
          <w:rFonts w:cs="Arial"/>
          <w:color w:val="222222"/>
          <w:lang w:val="pt-PT"/>
        </w:rPr>
        <w:t xml:space="preserve"> </w:t>
      </w:r>
      <w:r w:rsidRPr="000D55FF">
        <w:rPr>
          <w:rStyle w:val="hps"/>
          <w:rFonts w:cs="Arial"/>
          <w:color w:val="222222"/>
          <w:lang w:val="pt-PT"/>
        </w:rPr>
        <w:t>mais</w:t>
      </w:r>
      <w:r w:rsidRPr="000D55FF">
        <w:rPr>
          <w:rFonts w:cs="Arial"/>
          <w:color w:val="222222"/>
          <w:lang w:val="pt-PT"/>
        </w:rPr>
        <w:t xml:space="preserve"> </w:t>
      </w:r>
      <w:r w:rsidRPr="000D55FF">
        <w:rPr>
          <w:rStyle w:val="hps"/>
          <w:rFonts w:cs="Arial"/>
          <w:color w:val="222222"/>
          <w:lang w:val="pt-PT"/>
        </w:rPr>
        <w:t>limitados em relação à sua distribuição geográfica pelo modo de dispersão q</w:t>
      </w:r>
      <w:r>
        <w:rPr>
          <w:rStyle w:val="hps"/>
          <w:rFonts w:cs="Arial"/>
          <w:color w:val="222222"/>
          <w:lang w:val="pt-PT"/>
        </w:rPr>
        <w:t>ue os organismos de menor porte</w:t>
      </w:r>
      <w:r w:rsidRPr="009D4C18">
        <w:rPr>
          <w:rStyle w:val="hps"/>
          <w:rFonts w:cs="Arial"/>
          <w:color w:val="222222"/>
          <w:lang w:val="pt-PT"/>
        </w:rPr>
        <w:t>.</w:t>
      </w:r>
      <w:r w:rsidRPr="009D4C18">
        <w:rPr>
          <w:rFonts w:cs="Arial"/>
          <w:color w:val="222222"/>
          <w:lang w:val="pt-PT"/>
        </w:rPr>
        <w:t xml:space="preserve"> </w:t>
      </w:r>
      <w:r w:rsidRPr="009D4C18">
        <w:rPr>
          <w:rStyle w:val="hps"/>
          <w:rFonts w:cs="Arial"/>
          <w:color w:val="222222"/>
          <w:lang w:val="pt-PT"/>
        </w:rPr>
        <w:t>Em primeiro lugar,</w:t>
      </w:r>
      <w:r w:rsidRPr="009D4C18">
        <w:rPr>
          <w:rFonts w:cs="Arial"/>
          <w:color w:val="222222"/>
          <w:lang w:val="pt-PT"/>
        </w:rPr>
        <w:t xml:space="preserve"> </w:t>
      </w:r>
      <w:r w:rsidRPr="009D4C18">
        <w:rPr>
          <w:rStyle w:val="hps"/>
          <w:rFonts w:cs="Arial"/>
          <w:color w:val="222222"/>
          <w:lang w:val="pt-PT"/>
        </w:rPr>
        <w:t>os micro-</w:t>
      </w:r>
      <w:r w:rsidRPr="009D4C18">
        <w:rPr>
          <w:rFonts w:cs="Arial"/>
          <w:color w:val="222222"/>
          <w:lang w:val="pt-PT"/>
        </w:rPr>
        <w:t xml:space="preserve">organismos possuem </w:t>
      </w:r>
      <w:r w:rsidRPr="009D4C18">
        <w:rPr>
          <w:rStyle w:val="hps"/>
          <w:rFonts w:cs="Arial"/>
          <w:color w:val="222222"/>
          <w:lang w:val="pt-PT"/>
        </w:rPr>
        <w:t>frequentemente</w:t>
      </w:r>
      <w:r w:rsidRPr="009D4C18">
        <w:rPr>
          <w:rFonts w:cs="Arial"/>
          <w:color w:val="222222"/>
          <w:lang w:val="pt-PT"/>
        </w:rPr>
        <w:t xml:space="preserve"> reprodução </w:t>
      </w:r>
      <w:r w:rsidRPr="009D4C18">
        <w:rPr>
          <w:rStyle w:val="hps"/>
          <w:rFonts w:cs="Arial"/>
          <w:color w:val="222222"/>
          <w:lang w:val="pt-PT"/>
        </w:rPr>
        <w:t>assexuada</w:t>
      </w:r>
      <w:r w:rsidRPr="009D4C18">
        <w:rPr>
          <w:rFonts w:cs="Arial"/>
          <w:color w:val="222222"/>
          <w:lang w:val="pt-PT"/>
        </w:rPr>
        <w:t xml:space="preserve"> </w:t>
      </w:r>
      <w:r w:rsidRPr="009D4C18">
        <w:rPr>
          <w:rStyle w:val="hps"/>
          <w:rFonts w:cs="Arial"/>
          <w:color w:val="222222"/>
          <w:lang w:val="pt-PT"/>
        </w:rPr>
        <w:t>e, portanto, são</w:t>
      </w:r>
      <w:r w:rsidRPr="009D4C18">
        <w:rPr>
          <w:rFonts w:cs="Arial"/>
          <w:color w:val="222222"/>
          <w:lang w:val="pt-PT"/>
        </w:rPr>
        <w:t xml:space="preserve"> </w:t>
      </w:r>
      <w:r w:rsidRPr="009D4C18">
        <w:rPr>
          <w:rStyle w:val="hps"/>
          <w:rFonts w:cs="Arial"/>
          <w:color w:val="222222"/>
          <w:lang w:val="pt-PT"/>
        </w:rPr>
        <w:t xml:space="preserve">menos suscetíveis </w:t>
      </w:r>
      <w:r>
        <w:rPr>
          <w:rStyle w:val="hps"/>
          <w:rFonts w:cs="Arial"/>
          <w:color w:val="222222"/>
          <w:lang w:val="pt-PT"/>
        </w:rPr>
        <w:t>a</w:t>
      </w:r>
      <w:r w:rsidRPr="009D4C18">
        <w:rPr>
          <w:rStyle w:val="hps"/>
          <w:rFonts w:cs="Arial"/>
          <w:color w:val="222222"/>
          <w:lang w:val="pt-PT"/>
        </w:rPr>
        <w:t xml:space="preserve"> extinç</w:t>
      </w:r>
      <w:r>
        <w:rPr>
          <w:rStyle w:val="hps"/>
          <w:rFonts w:cs="Arial"/>
          <w:color w:val="222222"/>
          <w:lang w:val="pt-PT"/>
        </w:rPr>
        <w:t>ões</w:t>
      </w:r>
      <w:r w:rsidRPr="009D4C18">
        <w:rPr>
          <w:rStyle w:val="hps"/>
          <w:rFonts w:cs="Arial"/>
          <w:color w:val="222222"/>
          <w:lang w:val="pt-PT"/>
        </w:rPr>
        <w:t xml:space="preserve"> loca</w:t>
      </w:r>
      <w:r>
        <w:rPr>
          <w:rStyle w:val="hps"/>
          <w:rFonts w:cs="Arial"/>
          <w:color w:val="222222"/>
          <w:lang w:val="pt-PT"/>
        </w:rPr>
        <w:t>is</w:t>
      </w:r>
      <w:r w:rsidRPr="009D4C18">
        <w:rPr>
          <w:rStyle w:val="hps"/>
          <w:rFonts w:cs="Arial"/>
          <w:color w:val="222222"/>
          <w:lang w:val="pt-PT"/>
        </w:rPr>
        <w:t xml:space="preserve"> quando</w:t>
      </w:r>
      <w:r w:rsidRPr="009D4C18">
        <w:rPr>
          <w:rFonts w:cs="Arial"/>
          <w:color w:val="222222"/>
          <w:lang w:val="pt-PT"/>
        </w:rPr>
        <w:t xml:space="preserve"> </w:t>
      </w:r>
      <w:r w:rsidRPr="009D4C18">
        <w:rPr>
          <w:rStyle w:val="hps"/>
          <w:rFonts w:cs="Arial"/>
          <w:color w:val="222222"/>
          <w:lang w:val="pt-PT"/>
        </w:rPr>
        <w:t>em</w:t>
      </w:r>
      <w:r w:rsidRPr="009D4C18">
        <w:rPr>
          <w:rFonts w:cs="Arial"/>
          <w:color w:val="222222"/>
          <w:lang w:val="pt-PT"/>
        </w:rPr>
        <w:t xml:space="preserve"> </w:t>
      </w:r>
      <w:r w:rsidRPr="009D4C18">
        <w:rPr>
          <w:rStyle w:val="hps"/>
          <w:rFonts w:cs="Arial"/>
          <w:color w:val="222222"/>
          <w:lang w:val="pt-PT"/>
        </w:rPr>
        <w:t>tamanhos</w:t>
      </w:r>
      <w:r w:rsidRPr="009D4C18">
        <w:rPr>
          <w:rFonts w:cs="Arial"/>
          <w:color w:val="222222"/>
          <w:lang w:val="pt-PT"/>
        </w:rPr>
        <w:t xml:space="preserve"> </w:t>
      </w:r>
      <w:r w:rsidRPr="009D4C18">
        <w:rPr>
          <w:rStyle w:val="hps"/>
          <w:rFonts w:cs="Arial"/>
          <w:color w:val="222222"/>
          <w:lang w:val="pt-PT"/>
        </w:rPr>
        <w:t>populacionais</w:t>
      </w:r>
      <w:r w:rsidRPr="009D4C18">
        <w:rPr>
          <w:rFonts w:cs="Arial"/>
          <w:color w:val="222222"/>
          <w:lang w:val="pt-PT"/>
        </w:rPr>
        <w:t xml:space="preserve"> </w:t>
      </w:r>
      <w:r w:rsidRPr="009D4C18">
        <w:rPr>
          <w:rStyle w:val="hps"/>
          <w:rFonts w:cs="Arial"/>
          <w:color w:val="222222"/>
          <w:lang w:val="pt-PT"/>
        </w:rPr>
        <w:t>baixos.</w:t>
      </w:r>
      <w:r w:rsidRPr="009D4C18">
        <w:rPr>
          <w:rFonts w:cs="Arial"/>
          <w:color w:val="222222"/>
          <w:lang w:val="pt-PT"/>
        </w:rPr>
        <w:t xml:space="preserve"> </w:t>
      </w:r>
      <w:r w:rsidRPr="009D4C18">
        <w:rPr>
          <w:rStyle w:val="hps"/>
          <w:rFonts w:cs="Arial"/>
          <w:color w:val="222222"/>
          <w:lang w:val="pt-PT"/>
        </w:rPr>
        <w:t>Muitos</w:t>
      </w:r>
      <w:r w:rsidRPr="009D4C18">
        <w:rPr>
          <w:rFonts w:cs="Arial"/>
          <w:color w:val="222222"/>
          <w:lang w:val="pt-PT"/>
        </w:rPr>
        <w:t xml:space="preserve"> organismos do </w:t>
      </w:r>
      <w:r w:rsidRPr="009D4C18">
        <w:rPr>
          <w:rStyle w:val="hps"/>
          <w:rFonts w:cs="Arial"/>
          <w:color w:val="222222"/>
          <w:lang w:val="pt-PT"/>
        </w:rPr>
        <w:t>zooplâncton</w:t>
      </w:r>
      <w:r w:rsidRPr="009D4C18">
        <w:rPr>
          <w:rFonts w:cs="Arial"/>
          <w:color w:val="222222"/>
          <w:lang w:val="pt-PT"/>
        </w:rPr>
        <w:t xml:space="preserve"> </w:t>
      </w:r>
      <w:r w:rsidRPr="009D4C18">
        <w:rPr>
          <w:rStyle w:val="hps"/>
          <w:rFonts w:cs="Arial"/>
          <w:color w:val="222222"/>
          <w:lang w:val="pt-PT"/>
        </w:rPr>
        <w:t>e</w:t>
      </w:r>
      <w:r w:rsidRPr="009D4C18">
        <w:rPr>
          <w:rFonts w:cs="Arial"/>
          <w:color w:val="222222"/>
          <w:lang w:val="pt-PT"/>
        </w:rPr>
        <w:t xml:space="preserve"> </w:t>
      </w:r>
      <w:r w:rsidRPr="009D4C18">
        <w:rPr>
          <w:rStyle w:val="hps"/>
          <w:rFonts w:cs="Arial"/>
          <w:color w:val="222222"/>
          <w:lang w:val="pt-PT"/>
        </w:rPr>
        <w:t>fitoplâncton</w:t>
      </w:r>
      <w:r w:rsidRPr="009D4C18">
        <w:rPr>
          <w:rFonts w:cs="Arial"/>
          <w:color w:val="222222"/>
          <w:lang w:val="pt-PT"/>
        </w:rPr>
        <w:t xml:space="preserve"> </w:t>
      </w:r>
      <w:r w:rsidRPr="009D4C18">
        <w:rPr>
          <w:rStyle w:val="hps"/>
          <w:rFonts w:cs="Arial"/>
          <w:color w:val="222222"/>
          <w:lang w:val="pt-PT"/>
        </w:rPr>
        <w:t>também têm na sua história de vida fases dormentes,</w:t>
      </w:r>
      <w:r w:rsidRPr="009D4C18">
        <w:rPr>
          <w:rFonts w:cs="Arial"/>
          <w:color w:val="222222"/>
          <w:lang w:val="pt-PT"/>
        </w:rPr>
        <w:t xml:space="preserve"> </w:t>
      </w:r>
      <w:r w:rsidRPr="009D4C18">
        <w:rPr>
          <w:rStyle w:val="hps"/>
          <w:rFonts w:cs="Arial"/>
          <w:color w:val="222222"/>
          <w:lang w:val="pt-PT"/>
        </w:rPr>
        <w:t>que podem</w:t>
      </w:r>
      <w:r w:rsidRPr="009D4C18">
        <w:rPr>
          <w:rFonts w:cs="Arial"/>
          <w:color w:val="222222"/>
          <w:lang w:val="pt-PT"/>
        </w:rPr>
        <w:t xml:space="preserve"> </w:t>
      </w:r>
      <w:r w:rsidRPr="009D4C18">
        <w:rPr>
          <w:rStyle w:val="hps"/>
          <w:rFonts w:cs="Arial"/>
          <w:color w:val="222222"/>
          <w:lang w:val="pt-PT"/>
        </w:rPr>
        <w:t>ser</w:t>
      </w:r>
      <w:r w:rsidRPr="009D4C18">
        <w:rPr>
          <w:rFonts w:cs="Arial"/>
          <w:color w:val="222222"/>
          <w:lang w:val="pt-PT"/>
        </w:rPr>
        <w:t xml:space="preserve"> </w:t>
      </w:r>
      <w:r w:rsidRPr="009D4C18">
        <w:rPr>
          <w:rStyle w:val="hps"/>
          <w:rFonts w:cs="Arial"/>
          <w:color w:val="222222"/>
          <w:lang w:val="pt-PT"/>
        </w:rPr>
        <w:t>transportadas através de</w:t>
      </w:r>
      <w:r w:rsidRPr="009D4C18">
        <w:rPr>
          <w:rFonts w:cs="Arial"/>
          <w:color w:val="222222"/>
          <w:lang w:val="pt-PT"/>
        </w:rPr>
        <w:t xml:space="preserve"> </w:t>
      </w:r>
      <w:r w:rsidRPr="009D4C18">
        <w:rPr>
          <w:rStyle w:val="hps"/>
          <w:rFonts w:cs="Arial"/>
          <w:color w:val="222222"/>
          <w:lang w:val="pt-PT"/>
        </w:rPr>
        <w:t>vetores</w:t>
      </w:r>
      <w:r w:rsidRPr="009D4C18">
        <w:rPr>
          <w:rFonts w:cs="Arial"/>
          <w:color w:val="222222"/>
          <w:lang w:val="pt-PT"/>
        </w:rPr>
        <w:t xml:space="preserve"> </w:t>
      </w:r>
      <w:r w:rsidRPr="009D4C18">
        <w:rPr>
          <w:rStyle w:val="hps"/>
          <w:rFonts w:cs="Arial"/>
          <w:color w:val="222222"/>
          <w:lang w:val="pt-PT"/>
        </w:rPr>
        <w:t>como vento ou</w:t>
      </w:r>
      <w:r w:rsidRPr="009D4C18">
        <w:rPr>
          <w:rFonts w:cs="Arial"/>
          <w:color w:val="222222"/>
          <w:lang w:val="pt-PT"/>
        </w:rPr>
        <w:t xml:space="preserve"> </w:t>
      </w:r>
      <w:r w:rsidRPr="009D4C18">
        <w:rPr>
          <w:rStyle w:val="hps"/>
          <w:rFonts w:cs="Arial"/>
          <w:color w:val="222222"/>
          <w:lang w:val="pt-PT"/>
        </w:rPr>
        <w:t>animais e</w:t>
      </w:r>
      <w:r w:rsidRPr="009D4C18">
        <w:rPr>
          <w:rFonts w:cs="Arial"/>
          <w:color w:val="222222"/>
          <w:lang w:val="pt-PT"/>
        </w:rPr>
        <w:t xml:space="preserve"> </w:t>
      </w:r>
      <w:r w:rsidRPr="009D4C18">
        <w:rPr>
          <w:rStyle w:val="hps"/>
          <w:rFonts w:cs="Arial"/>
          <w:color w:val="222222"/>
          <w:lang w:val="pt-PT"/>
        </w:rPr>
        <w:t>permitem que as populações</w:t>
      </w:r>
      <w:r w:rsidRPr="009D4C18">
        <w:rPr>
          <w:rFonts w:cs="Arial"/>
          <w:color w:val="222222"/>
          <w:lang w:val="pt-PT"/>
        </w:rPr>
        <w:t xml:space="preserve"> </w:t>
      </w:r>
      <w:r w:rsidRPr="009D4C18">
        <w:rPr>
          <w:rStyle w:val="hps"/>
          <w:rFonts w:cs="Arial"/>
          <w:color w:val="222222"/>
          <w:lang w:val="pt-PT"/>
        </w:rPr>
        <w:t>possam ser ressuscitadas</w:t>
      </w:r>
      <w:r w:rsidRPr="009D4C18">
        <w:rPr>
          <w:rFonts w:cs="Arial"/>
          <w:color w:val="222222"/>
          <w:lang w:val="pt-PT"/>
        </w:rPr>
        <w:t xml:space="preserve"> </w:t>
      </w:r>
      <w:r w:rsidRPr="009D4C18">
        <w:rPr>
          <w:rStyle w:val="hps"/>
          <w:rFonts w:cs="Arial"/>
          <w:color w:val="222222"/>
          <w:lang w:val="pt-PT"/>
        </w:rPr>
        <w:t>após</w:t>
      </w:r>
      <w:r w:rsidRPr="009D4C18">
        <w:rPr>
          <w:rFonts w:cs="Arial"/>
          <w:color w:val="222222"/>
          <w:lang w:val="pt-PT"/>
        </w:rPr>
        <w:t xml:space="preserve"> </w:t>
      </w:r>
      <w:r w:rsidRPr="009D4C18">
        <w:rPr>
          <w:rStyle w:val="hps"/>
          <w:rFonts w:cs="Arial"/>
          <w:color w:val="222222"/>
          <w:lang w:val="pt-PT"/>
        </w:rPr>
        <w:t>extinções locais</w:t>
      </w:r>
      <w:r w:rsidRPr="009D4C18">
        <w:rPr>
          <w:rFonts w:cs="Arial"/>
          <w:color w:val="222222"/>
          <w:lang w:val="pt-PT"/>
        </w:rPr>
        <w:t xml:space="preserve">. </w:t>
      </w:r>
    </w:p>
    <w:p w:rsidR="00625EAA" w:rsidRPr="009D4C18" w:rsidRDefault="00625EAA" w:rsidP="005604FE">
      <w:r w:rsidRPr="00E65D3E">
        <w:rPr>
          <w:rFonts w:eastAsia="Times New Roman" w:cs="Times New Roman"/>
          <w:lang w:eastAsia="pt-BR"/>
        </w:rPr>
        <w:lastRenderedPageBreak/>
        <w:t xml:space="preserve">De Bie </w:t>
      </w:r>
      <w:r w:rsidRPr="00E65D3E">
        <w:rPr>
          <w:rFonts w:eastAsia="Times New Roman" w:cs="Times New Roman"/>
          <w:i/>
          <w:lang w:eastAsia="pt-BR"/>
        </w:rPr>
        <w:t>et al</w:t>
      </w:r>
      <w:r w:rsidRPr="00E65D3E">
        <w:rPr>
          <w:rFonts w:eastAsia="Times New Roman" w:cs="Times New Roman"/>
          <w:lang w:eastAsia="pt-BR"/>
        </w:rPr>
        <w:t xml:space="preserve">. (2012) compararam a estrutura de </w:t>
      </w:r>
      <w:r w:rsidRPr="0059733D">
        <w:rPr>
          <w:rStyle w:val="hps"/>
          <w:rFonts w:cs="Arial"/>
          <w:color w:val="222222"/>
          <w:lang w:val="pt-PT"/>
        </w:rPr>
        <w:t>metacomunidades</w:t>
      </w:r>
      <w:r w:rsidRPr="0059733D">
        <w:rPr>
          <w:rFonts w:cs="Arial"/>
          <w:color w:val="222222"/>
          <w:lang w:val="pt-PT"/>
        </w:rPr>
        <w:t xml:space="preserve"> </w:t>
      </w:r>
      <w:r w:rsidRPr="0059733D">
        <w:rPr>
          <w:rStyle w:val="hps"/>
          <w:rFonts w:cs="Arial"/>
          <w:color w:val="222222"/>
          <w:lang w:val="pt-PT"/>
        </w:rPr>
        <w:t>de</w:t>
      </w:r>
      <w:r w:rsidRPr="0059733D">
        <w:rPr>
          <w:rFonts w:cs="Arial"/>
          <w:color w:val="222222"/>
          <w:lang w:val="pt-PT"/>
        </w:rPr>
        <w:t xml:space="preserve"> </w:t>
      </w:r>
      <w:r w:rsidRPr="0059733D">
        <w:rPr>
          <w:rStyle w:val="hps"/>
          <w:rFonts w:cs="Arial"/>
          <w:color w:val="222222"/>
          <w:lang w:val="pt-PT"/>
        </w:rPr>
        <w:t>uma ampla</w:t>
      </w:r>
      <w:r w:rsidRPr="0059733D">
        <w:rPr>
          <w:rFonts w:cs="Arial"/>
          <w:color w:val="222222"/>
          <w:lang w:val="pt-PT"/>
        </w:rPr>
        <w:t xml:space="preserve"> </w:t>
      </w:r>
      <w:r w:rsidRPr="0059733D">
        <w:rPr>
          <w:rStyle w:val="hps"/>
          <w:rFonts w:cs="Arial"/>
          <w:color w:val="222222"/>
          <w:lang w:val="pt-PT"/>
        </w:rPr>
        <w:t>variedade</w:t>
      </w:r>
      <w:r w:rsidRPr="0059733D">
        <w:rPr>
          <w:rFonts w:cs="Arial"/>
          <w:color w:val="222222"/>
          <w:lang w:val="pt-PT"/>
        </w:rPr>
        <w:t xml:space="preserve"> </w:t>
      </w:r>
      <w:r w:rsidRPr="0059733D">
        <w:rPr>
          <w:rStyle w:val="hps"/>
          <w:rFonts w:cs="Arial"/>
          <w:color w:val="222222"/>
          <w:lang w:val="pt-PT"/>
        </w:rPr>
        <w:t>de grupos de organismos</w:t>
      </w:r>
      <w:r w:rsidRPr="0059733D">
        <w:rPr>
          <w:rFonts w:cs="Arial"/>
          <w:color w:val="222222"/>
          <w:lang w:val="pt-PT"/>
        </w:rPr>
        <w:t xml:space="preserve"> </w:t>
      </w:r>
      <w:r w:rsidRPr="0059733D">
        <w:rPr>
          <w:rStyle w:val="hps"/>
          <w:rFonts w:cs="Arial"/>
          <w:color w:val="222222"/>
          <w:lang w:val="pt-PT"/>
        </w:rPr>
        <w:t>aquáticos</w:t>
      </w:r>
      <w:r w:rsidRPr="0059733D">
        <w:rPr>
          <w:rFonts w:cs="Arial"/>
          <w:color w:val="222222"/>
          <w:lang w:val="pt-PT"/>
        </w:rPr>
        <w:t xml:space="preserve"> </w:t>
      </w:r>
      <w:r w:rsidRPr="0059733D">
        <w:rPr>
          <w:rStyle w:val="hps"/>
          <w:rFonts w:cs="Arial"/>
          <w:color w:val="222222"/>
          <w:lang w:val="pt-PT"/>
        </w:rPr>
        <w:t>(</w:t>
      </w:r>
      <w:r w:rsidRPr="0059733D">
        <w:rPr>
          <w:rFonts w:cs="Arial"/>
          <w:color w:val="222222"/>
          <w:lang w:val="pt-PT"/>
        </w:rPr>
        <w:t xml:space="preserve">12 </w:t>
      </w:r>
      <w:r w:rsidRPr="0059733D">
        <w:rPr>
          <w:rStyle w:val="hps"/>
          <w:rFonts w:cs="Arial"/>
          <w:color w:val="222222"/>
          <w:lang w:val="pt-PT"/>
        </w:rPr>
        <w:t>grupos</w:t>
      </w:r>
      <w:r w:rsidRPr="0059733D">
        <w:rPr>
          <w:rFonts w:cs="Arial"/>
          <w:color w:val="222222"/>
          <w:lang w:val="pt-PT"/>
        </w:rPr>
        <w:t xml:space="preserve">, </w:t>
      </w:r>
      <w:r w:rsidRPr="0059733D">
        <w:rPr>
          <w:rStyle w:val="hps"/>
          <w:rFonts w:cs="Arial"/>
          <w:color w:val="222222"/>
          <w:lang w:val="pt-PT"/>
        </w:rPr>
        <w:t>de bactérias</w:t>
      </w:r>
      <w:r w:rsidRPr="0059733D">
        <w:rPr>
          <w:rFonts w:cs="Arial"/>
          <w:color w:val="222222"/>
          <w:lang w:val="pt-PT"/>
        </w:rPr>
        <w:t xml:space="preserve"> </w:t>
      </w:r>
      <w:r w:rsidRPr="0059733D">
        <w:rPr>
          <w:rStyle w:val="hps"/>
          <w:rFonts w:cs="Arial"/>
          <w:color w:val="222222"/>
          <w:lang w:val="pt-PT"/>
        </w:rPr>
        <w:t>a</w:t>
      </w:r>
      <w:r w:rsidRPr="0059733D">
        <w:rPr>
          <w:rFonts w:cs="Arial"/>
          <w:color w:val="222222"/>
          <w:lang w:val="pt-PT"/>
        </w:rPr>
        <w:t xml:space="preserve"> </w:t>
      </w:r>
      <w:r w:rsidRPr="0059733D">
        <w:rPr>
          <w:rStyle w:val="hps"/>
          <w:rFonts w:cs="Arial"/>
          <w:color w:val="222222"/>
          <w:lang w:val="pt-PT"/>
        </w:rPr>
        <w:t>peixes).</w:t>
      </w:r>
      <w:r>
        <w:rPr>
          <w:rStyle w:val="hps"/>
          <w:rFonts w:cs="Arial"/>
          <w:color w:val="222222"/>
          <w:lang w:val="pt-PT"/>
        </w:rPr>
        <w:t xml:space="preserve"> </w:t>
      </w:r>
      <w:r w:rsidRPr="0059733D">
        <w:rPr>
          <w:rStyle w:val="hps"/>
          <w:rFonts w:cs="Arial"/>
          <w:color w:val="222222"/>
          <w:lang w:val="pt-PT"/>
        </w:rPr>
        <w:t>Na categoria de</w:t>
      </w:r>
      <w:r w:rsidRPr="0059733D">
        <w:rPr>
          <w:rFonts w:cs="Arial"/>
          <w:color w:val="222222"/>
          <w:lang w:val="pt-PT"/>
        </w:rPr>
        <w:t xml:space="preserve"> </w:t>
      </w:r>
      <w:r>
        <w:rPr>
          <w:rStyle w:val="hps"/>
          <w:rFonts w:cs="Arial"/>
          <w:color w:val="222222"/>
          <w:lang w:val="pt-PT"/>
        </w:rPr>
        <w:t xml:space="preserve">dispersores </w:t>
      </w:r>
      <w:r w:rsidRPr="0059733D">
        <w:rPr>
          <w:rFonts w:cs="Arial"/>
          <w:color w:val="222222"/>
          <w:lang w:val="pt-PT"/>
        </w:rPr>
        <w:t xml:space="preserve"> </w:t>
      </w:r>
      <w:r w:rsidRPr="0059733D">
        <w:rPr>
          <w:rStyle w:val="hps"/>
          <w:rFonts w:cs="Arial"/>
          <w:color w:val="222222"/>
          <w:lang w:val="pt-PT"/>
        </w:rPr>
        <w:t>passivos,</w:t>
      </w:r>
      <w:r w:rsidRPr="0059733D">
        <w:rPr>
          <w:rFonts w:cs="Arial"/>
          <w:color w:val="222222"/>
          <w:lang w:val="pt-PT"/>
        </w:rPr>
        <w:t xml:space="preserve"> </w:t>
      </w:r>
      <w:r w:rsidRPr="0059733D">
        <w:rPr>
          <w:rStyle w:val="hps"/>
          <w:rFonts w:cs="Arial"/>
          <w:color w:val="222222"/>
          <w:lang w:val="pt-PT"/>
        </w:rPr>
        <w:t>grupos</w:t>
      </w:r>
      <w:r w:rsidRPr="0059733D">
        <w:rPr>
          <w:rFonts w:cs="Arial"/>
          <w:color w:val="222222"/>
          <w:lang w:val="pt-PT"/>
        </w:rPr>
        <w:t xml:space="preserve"> </w:t>
      </w:r>
      <w:r w:rsidRPr="0059733D">
        <w:rPr>
          <w:rStyle w:val="hps"/>
          <w:rFonts w:cs="Arial"/>
          <w:color w:val="222222"/>
          <w:lang w:val="pt-PT"/>
        </w:rPr>
        <w:t>de grande porte</w:t>
      </w:r>
      <w:r w:rsidRPr="0059733D">
        <w:rPr>
          <w:rFonts w:cs="Arial"/>
          <w:color w:val="222222"/>
          <w:lang w:val="pt-PT"/>
        </w:rPr>
        <w:t xml:space="preserve"> </w:t>
      </w:r>
      <w:r w:rsidRPr="0059733D">
        <w:rPr>
          <w:rStyle w:val="hps"/>
          <w:rFonts w:cs="Arial"/>
          <w:color w:val="222222"/>
          <w:lang w:val="pt-PT"/>
        </w:rPr>
        <w:t>mostraram</w:t>
      </w:r>
      <w:r w:rsidRPr="0059733D">
        <w:rPr>
          <w:rFonts w:cs="Arial"/>
          <w:color w:val="222222"/>
          <w:lang w:val="pt-PT"/>
        </w:rPr>
        <w:t xml:space="preserve"> </w:t>
      </w:r>
      <w:r w:rsidRPr="0059733D">
        <w:rPr>
          <w:rStyle w:val="hps"/>
          <w:rFonts w:cs="Arial"/>
          <w:color w:val="222222"/>
          <w:lang w:val="pt-PT"/>
        </w:rPr>
        <w:t>padrão</w:t>
      </w:r>
      <w:r w:rsidRPr="0059733D">
        <w:rPr>
          <w:rFonts w:cs="Arial"/>
          <w:color w:val="222222"/>
          <w:lang w:val="pt-PT"/>
        </w:rPr>
        <w:t xml:space="preserve"> </w:t>
      </w:r>
      <w:r w:rsidRPr="0059733D">
        <w:rPr>
          <w:rStyle w:val="hps"/>
          <w:rFonts w:cs="Arial"/>
          <w:color w:val="222222"/>
          <w:lang w:val="pt-PT"/>
        </w:rPr>
        <w:t>espacial</w:t>
      </w:r>
      <w:r w:rsidRPr="0059733D">
        <w:rPr>
          <w:rFonts w:cs="Arial"/>
          <w:color w:val="222222"/>
          <w:lang w:val="pt-PT"/>
        </w:rPr>
        <w:t xml:space="preserve"> </w:t>
      </w:r>
      <w:r w:rsidRPr="0059733D">
        <w:rPr>
          <w:rStyle w:val="hps"/>
          <w:rFonts w:cs="Arial"/>
          <w:color w:val="222222"/>
          <w:lang w:val="pt-PT"/>
        </w:rPr>
        <w:t>mais forte</w:t>
      </w:r>
      <w:r w:rsidRPr="0059733D">
        <w:rPr>
          <w:rFonts w:cs="Arial"/>
          <w:color w:val="222222"/>
          <w:lang w:val="pt-PT"/>
        </w:rPr>
        <w:t xml:space="preserve"> </w:t>
      </w:r>
      <w:r w:rsidRPr="0059733D">
        <w:rPr>
          <w:rStyle w:val="hps"/>
          <w:rFonts w:cs="Arial"/>
          <w:color w:val="222222"/>
          <w:lang w:val="pt-PT"/>
        </w:rPr>
        <w:t>do que os grupos</w:t>
      </w:r>
      <w:r w:rsidRPr="0059733D">
        <w:rPr>
          <w:rFonts w:cs="Arial"/>
          <w:color w:val="222222"/>
          <w:lang w:val="pt-PT"/>
        </w:rPr>
        <w:t xml:space="preserve"> de organismos de pequeno porte, sugerindo </w:t>
      </w:r>
      <w:r w:rsidRPr="0059733D">
        <w:rPr>
          <w:rStyle w:val="hps"/>
          <w:rFonts w:cs="Arial"/>
          <w:color w:val="222222"/>
          <w:lang w:val="pt-PT"/>
        </w:rPr>
        <w:t>um impacto</w:t>
      </w:r>
      <w:r w:rsidRPr="0059733D">
        <w:rPr>
          <w:rFonts w:cs="Arial"/>
          <w:color w:val="222222"/>
          <w:lang w:val="pt-PT"/>
        </w:rPr>
        <w:t xml:space="preserve"> </w:t>
      </w:r>
      <w:r w:rsidRPr="0059733D">
        <w:rPr>
          <w:rStyle w:val="hps"/>
          <w:rFonts w:cs="Arial"/>
          <w:color w:val="222222"/>
          <w:lang w:val="pt-PT"/>
        </w:rPr>
        <w:t>cada vez maior de</w:t>
      </w:r>
      <w:r w:rsidRPr="0059733D">
        <w:rPr>
          <w:rFonts w:cs="Arial"/>
          <w:color w:val="222222"/>
          <w:lang w:val="pt-PT"/>
        </w:rPr>
        <w:t xml:space="preserve"> </w:t>
      </w:r>
      <w:r w:rsidRPr="0059733D">
        <w:rPr>
          <w:rStyle w:val="hps"/>
          <w:rFonts w:cs="Arial"/>
          <w:color w:val="222222"/>
          <w:lang w:val="pt-PT"/>
        </w:rPr>
        <w:t>limitação de dispersão</w:t>
      </w:r>
      <w:r w:rsidRPr="0059733D">
        <w:rPr>
          <w:rFonts w:cs="Arial"/>
          <w:color w:val="222222"/>
          <w:lang w:val="pt-PT"/>
        </w:rPr>
        <w:t xml:space="preserve"> </w:t>
      </w:r>
      <w:r w:rsidRPr="0059733D">
        <w:rPr>
          <w:rStyle w:val="hps"/>
          <w:rFonts w:cs="Arial"/>
          <w:color w:val="222222"/>
          <w:lang w:val="pt-PT"/>
        </w:rPr>
        <w:t>com o aumento do</w:t>
      </w:r>
      <w:r w:rsidRPr="0059733D">
        <w:rPr>
          <w:rFonts w:cs="Arial"/>
          <w:color w:val="222222"/>
          <w:lang w:val="pt-PT"/>
        </w:rPr>
        <w:t xml:space="preserve"> </w:t>
      </w:r>
      <w:r w:rsidRPr="0059733D">
        <w:rPr>
          <w:rStyle w:val="hps"/>
          <w:rFonts w:cs="Arial"/>
          <w:color w:val="222222"/>
          <w:lang w:val="pt-PT"/>
        </w:rPr>
        <w:t>tamanho do corpo.</w:t>
      </w:r>
      <w:r w:rsidRPr="0059733D">
        <w:rPr>
          <w:rFonts w:cs="Arial"/>
          <w:color w:val="222222"/>
          <w:lang w:val="pt-PT"/>
        </w:rPr>
        <w:t xml:space="preserve"> </w:t>
      </w:r>
      <w:r w:rsidRPr="0059733D">
        <w:rPr>
          <w:rStyle w:val="hps"/>
          <w:rFonts w:cs="Arial"/>
          <w:color w:val="222222"/>
          <w:lang w:val="pt-PT"/>
        </w:rPr>
        <w:t>Metacomunidades</w:t>
      </w:r>
      <w:r w:rsidRPr="0059733D">
        <w:rPr>
          <w:rFonts w:cs="Arial"/>
          <w:color w:val="222222"/>
          <w:lang w:val="pt-PT"/>
        </w:rPr>
        <w:t xml:space="preserve"> </w:t>
      </w:r>
      <w:r w:rsidRPr="0059733D">
        <w:rPr>
          <w:rStyle w:val="hps"/>
          <w:rFonts w:cs="Arial"/>
          <w:color w:val="222222"/>
          <w:lang w:val="pt-PT"/>
        </w:rPr>
        <w:t>de organismos com</w:t>
      </w:r>
      <w:r w:rsidRPr="0059733D">
        <w:rPr>
          <w:rFonts w:cs="Arial"/>
          <w:color w:val="222222"/>
          <w:lang w:val="pt-PT"/>
        </w:rPr>
        <w:t xml:space="preserve"> </w:t>
      </w:r>
      <w:r w:rsidRPr="0059733D">
        <w:rPr>
          <w:rStyle w:val="hps"/>
          <w:rFonts w:cs="Arial"/>
          <w:color w:val="222222"/>
          <w:lang w:val="pt-PT"/>
        </w:rPr>
        <w:t>a habilidade de voar</w:t>
      </w:r>
      <w:r w:rsidRPr="0059733D">
        <w:rPr>
          <w:rFonts w:cs="Arial"/>
          <w:color w:val="222222"/>
          <w:lang w:val="pt-PT"/>
        </w:rPr>
        <w:t xml:space="preserve"> </w:t>
      </w:r>
      <w:r w:rsidRPr="0059733D">
        <w:rPr>
          <w:rStyle w:val="hps"/>
          <w:rFonts w:cs="Arial"/>
          <w:color w:val="222222"/>
          <w:lang w:val="pt-PT"/>
        </w:rPr>
        <w:t>(ou seja,</w:t>
      </w:r>
      <w:r w:rsidRPr="0059733D">
        <w:rPr>
          <w:rFonts w:cs="Arial"/>
          <w:color w:val="222222"/>
          <w:lang w:val="pt-PT"/>
        </w:rPr>
        <w:t xml:space="preserve"> </w:t>
      </w:r>
      <w:r w:rsidRPr="0059733D">
        <w:rPr>
          <w:rStyle w:val="hps"/>
          <w:rFonts w:cs="Arial"/>
          <w:color w:val="222222"/>
          <w:lang w:val="pt-PT"/>
        </w:rPr>
        <w:t>grupos</w:t>
      </w:r>
      <w:r w:rsidRPr="0059733D">
        <w:rPr>
          <w:rFonts w:cs="Arial"/>
          <w:color w:val="222222"/>
          <w:lang w:val="pt-PT"/>
        </w:rPr>
        <w:t xml:space="preserve"> </w:t>
      </w:r>
      <w:r w:rsidRPr="0059733D">
        <w:rPr>
          <w:rStyle w:val="hps"/>
          <w:rFonts w:cs="Arial"/>
          <w:color w:val="222222"/>
          <w:lang w:val="pt-PT"/>
        </w:rPr>
        <w:t>de insetos</w:t>
      </w:r>
      <w:r w:rsidRPr="0059733D">
        <w:rPr>
          <w:rFonts w:cs="Arial"/>
          <w:color w:val="222222"/>
          <w:lang w:val="pt-PT"/>
        </w:rPr>
        <w:t xml:space="preserve">) </w:t>
      </w:r>
      <w:r w:rsidRPr="0059733D">
        <w:rPr>
          <w:rStyle w:val="hps"/>
          <w:rFonts w:cs="Arial"/>
          <w:color w:val="222222"/>
          <w:lang w:val="pt-PT"/>
        </w:rPr>
        <w:t>mostraram</w:t>
      </w:r>
      <w:r w:rsidRPr="0059733D">
        <w:rPr>
          <w:rFonts w:cs="Arial"/>
          <w:color w:val="222222"/>
          <w:lang w:val="pt-PT"/>
        </w:rPr>
        <w:t xml:space="preserve"> </w:t>
      </w:r>
      <w:r w:rsidRPr="0059733D">
        <w:rPr>
          <w:rStyle w:val="hps"/>
          <w:rFonts w:cs="Arial"/>
          <w:color w:val="222222"/>
          <w:lang w:val="pt-PT"/>
        </w:rPr>
        <w:t>limitação de dispersão menor que os dispersores passivos com</w:t>
      </w:r>
      <w:r w:rsidRPr="0059733D">
        <w:rPr>
          <w:rFonts w:cs="Arial"/>
          <w:color w:val="222222"/>
          <w:lang w:val="pt-PT"/>
        </w:rPr>
        <w:t xml:space="preserve"> </w:t>
      </w:r>
      <w:r w:rsidRPr="0059733D">
        <w:rPr>
          <w:rStyle w:val="hps"/>
          <w:rFonts w:cs="Arial"/>
          <w:color w:val="222222"/>
          <w:lang w:val="pt-PT"/>
        </w:rPr>
        <w:t>tamanho do corpo</w:t>
      </w:r>
      <w:r w:rsidRPr="0059733D">
        <w:rPr>
          <w:rFonts w:cs="Arial"/>
          <w:color w:val="222222"/>
          <w:lang w:val="pt-PT"/>
        </w:rPr>
        <w:t xml:space="preserve"> </w:t>
      </w:r>
      <w:r w:rsidRPr="0059733D">
        <w:rPr>
          <w:rStyle w:val="hps"/>
          <w:rFonts w:cs="Arial"/>
          <w:color w:val="222222"/>
          <w:lang w:val="pt-PT"/>
        </w:rPr>
        <w:t>similar.</w:t>
      </w:r>
      <w:r w:rsidRPr="0059733D">
        <w:rPr>
          <w:rFonts w:cs="Arial"/>
          <w:color w:val="222222"/>
          <w:lang w:val="pt-PT"/>
        </w:rPr>
        <w:t xml:space="preserve"> </w:t>
      </w:r>
      <w:r w:rsidRPr="0059733D">
        <w:rPr>
          <w:rStyle w:val="hps"/>
          <w:rFonts w:cs="Arial"/>
          <w:color w:val="222222"/>
          <w:lang w:val="pt-PT"/>
        </w:rPr>
        <w:t>Em contraste</w:t>
      </w:r>
      <w:r w:rsidRPr="0059733D">
        <w:rPr>
          <w:rFonts w:cs="Arial"/>
          <w:color w:val="222222"/>
          <w:lang w:val="pt-PT"/>
        </w:rPr>
        <w:t xml:space="preserve">, os movimentos </w:t>
      </w:r>
      <w:r w:rsidRPr="0059733D">
        <w:rPr>
          <w:rStyle w:val="hps"/>
          <w:rFonts w:cs="Arial"/>
          <w:color w:val="222222"/>
          <w:lang w:val="pt-PT"/>
        </w:rPr>
        <w:t>de dispersão dos</w:t>
      </w:r>
      <w:r w:rsidRPr="0059733D">
        <w:rPr>
          <w:rFonts w:cs="Arial"/>
          <w:color w:val="222222"/>
          <w:lang w:val="pt-PT"/>
        </w:rPr>
        <w:t xml:space="preserve"> </w:t>
      </w:r>
      <w:r w:rsidRPr="0059733D">
        <w:rPr>
          <w:rStyle w:val="hps"/>
          <w:rFonts w:cs="Arial"/>
          <w:color w:val="222222"/>
          <w:lang w:val="pt-PT"/>
        </w:rPr>
        <w:t>grupos de vertebrados</w:t>
      </w:r>
      <w:r w:rsidRPr="0059733D">
        <w:rPr>
          <w:rFonts w:cs="Arial"/>
          <w:color w:val="222222"/>
          <w:lang w:val="pt-PT"/>
        </w:rPr>
        <w:t xml:space="preserve"> </w:t>
      </w:r>
      <w:r w:rsidRPr="0059733D">
        <w:rPr>
          <w:rStyle w:val="hps"/>
          <w:rFonts w:cs="Arial"/>
          <w:color w:val="222222"/>
          <w:lang w:val="pt-PT"/>
        </w:rPr>
        <w:t>(peixes e anfíbios</w:t>
      </w:r>
      <w:r w:rsidRPr="0059733D">
        <w:rPr>
          <w:rFonts w:cs="Arial"/>
          <w:color w:val="222222"/>
          <w:lang w:val="pt-PT"/>
        </w:rPr>
        <w:t xml:space="preserve">) </w:t>
      </w:r>
      <w:r w:rsidRPr="0059733D">
        <w:rPr>
          <w:rStyle w:val="hps"/>
          <w:rFonts w:cs="Arial"/>
          <w:color w:val="222222"/>
          <w:lang w:val="pt-PT"/>
        </w:rPr>
        <w:t>ficaram confinados</w:t>
      </w:r>
      <w:r w:rsidRPr="0059733D">
        <w:rPr>
          <w:rFonts w:cs="Arial"/>
          <w:color w:val="222222"/>
          <w:lang w:val="pt-PT"/>
        </w:rPr>
        <w:t xml:space="preserve"> </w:t>
      </w:r>
      <w:r w:rsidRPr="0059733D">
        <w:rPr>
          <w:rStyle w:val="hps"/>
          <w:rFonts w:cs="Arial"/>
          <w:color w:val="222222"/>
          <w:lang w:val="pt-PT"/>
        </w:rPr>
        <w:t>principalmente</w:t>
      </w:r>
      <w:r w:rsidRPr="0059733D">
        <w:rPr>
          <w:rFonts w:cs="Arial"/>
          <w:color w:val="222222"/>
          <w:lang w:val="pt-PT"/>
        </w:rPr>
        <w:t xml:space="preserve"> </w:t>
      </w:r>
      <w:r w:rsidRPr="0059733D">
        <w:rPr>
          <w:rStyle w:val="hps"/>
          <w:rFonts w:cs="Arial"/>
          <w:color w:val="222222"/>
          <w:lang w:val="pt-PT"/>
        </w:rPr>
        <w:t>aos padrões</w:t>
      </w:r>
      <w:r w:rsidRPr="0059733D">
        <w:rPr>
          <w:rFonts w:cs="Arial"/>
          <w:color w:val="222222"/>
          <w:lang w:val="pt-PT"/>
        </w:rPr>
        <w:t xml:space="preserve"> </w:t>
      </w:r>
      <w:r w:rsidRPr="0059733D">
        <w:rPr>
          <w:rStyle w:val="hps"/>
          <w:rFonts w:cs="Arial"/>
          <w:color w:val="222222"/>
          <w:lang w:val="pt-PT"/>
        </w:rPr>
        <w:t>de conectividade</w:t>
      </w:r>
      <w:r w:rsidRPr="0059733D">
        <w:rPr>
          <w:rFonts w:cs="Arial"/>
          <w:color w:val="222222"/>
          <w:lang w:val="pt-PT"/>
        </w:rPr>
        <w:t xml:space="preserve"> </w:t>
      </w:r>
      <w:r w:rsidRPr="0059733D">
        <w:rPr>
          <w:rStyle w:val="hps"/>
          <w:rFonts w:cs="Arial"/>
          <w:color w:val="222222"/>
          <w:lang w:val="pt-PT"/>
        </w:rPr>
        <w:t>locais.</w:t>
      </w:r>
      <w:r w:rsidRPr="0059733D">
        <w:rPr>
          <w:rFonts w:cs="Arial"/>
          <w:color w:val="222222"/>
          <w:lang w:val="pt-PT"/>
        </w:rPr>
        <w:t xml:space="preserve"> </w:t>
      </w:r>
      <w:r>
        <w:rPr>
          <w:rStyle w:val="hps"/>
          <w:rFonts w:cs="Arial"/>
          <w:color w:val="222222"/>
          <w:lang w:val="pt-PT"/>
        </w:rPr>
        <w:t>Esses</w:t>
      </w:r>
      <w:r w:rsidRPr="0059733D">
        <w:rPr>
          <w:rStyle w:val="hps"/>
          <w:rFonts w:cs="Arial"/>
          <w:color w:val="222222"/>
          <w:lang w:val="pt-PT"/>
        </w:rPr>
        <w:t xml:space="preserve"> resultados</w:t>
      </w:r>
      <w:r w:rsidRPr="0059733D">
        <w:rPr>
          <w:rFonts w:cs="Arial"/>
          <w:color w:val="222222"/>
          <w:lang w:val="pt-PT"/>
        </w:rPr>
        <w:t xml:space="preserve"> </w:t>
      </w:r>
      <w:r w:rsidRPr="0059733D">
        <w:rPr>
          <w:rStyle w:val="hps"/>
          <w:rFonts w:cs="Arial"/>
          <w:color w:val="222222"/>
          <w:lang w:val="pt-PT"/>
        </w:rPr>
        <w:t>revelaram que</w:t>
      </w:r>
      <w:r w:rsidRPr="0059733D">
        <w:rPr>
          <w:rFonts w:cs="Arial"/>
          <w:color w:val="222222"/>
          <w:lang w:val="pt-PT"/>
        </w:rPr>
        <w:t xml:space="preserve"> </w:t>
      </w:r>
      <w:r w:rsidRPr="0059733D">
        <w:rPr>
          <w:rStyle w:val="hps"/>
          <w:rFonts w:cs="Arial"/>
          <w:color w:val="222222"/>
          <w:lang w:val="pt-PT"/>
        </w:rPr>
        <w:t>o tamanho do corpo</w:t>
      </w:r>
      <w:r w:rsidRPr="0059733D">
        <w:rPr>
          <w:rFonts w:cs="Arial"/>
          <w:color w:val="222222"/>
          <w:lang w:val="pt-PT"/>
        </w:rPr>
        <w:t xml:space="preserve"> </w:t>
      </w:r>
      <w:r w:rsidRPr="0059733D">
        <w:rPr>
          <w:rStyle w:val="hps"/>
          <w:rFonts w:cs="Arial"/>
          <w:color w:val="222222"/>
          <w:lang w:val="pt-PT"/>
        </w:rPr>
        <w:t>e</w:t>
      </w:r>
      <w:r w:rsidRPr="0059733D">
        <w:rPr>
          <w:rFonts w:cs="Arial"/>
          <w:color w:val="222222"/>
          <w:lang w:val="pt-PT"/>
        </w:rPr>
        <w:t xml:space="preserve"> </w:t>
      </w:r>
      <w:r w:rsidRPr="0059733D">
        <w:rPr>
          <w:rStyle w:val="hps"/>
          <w:rFonts w:cs="Arial"/>
          <w:color w:val="222222"/>
          <w:lang w:val="pt-PT"/>
        </w:rPr>
        <w:t>modo de dispersão</w:t>
      </w:r>
      <w:r w:rsidRPr="0059733D">
        <w:rPr>
          <w:rFonts w:cs="Arial"/>
          <w:color w:val="222222"/>
          <w:lang w:val="pt-PT"/>
        </w:rPr>
        <w:t xml:space="preserve"> </w:t>
      </w:r>
      <w:r w:rsidRPr="0059733D">
        <w:rPr>
          <w:rStyle w:val="hps"/>
          <w:rFonts w:cs="Arial"/>
          <w:color w:val="222222"/>
          <w:lang w:val="pt-PT"/>
        </w:rPr>
        <w:t>são fatores determinantes</w:t>
      </w:r>
      <w:r w:rsidRPr="0059733D">
        <w:rPr>
          <w:rFonts w:cs="Arial"/>
          <w:color w:val="222222"/>
          <w:lang w:val="pt-PT"/>
        </w:rPr>
        <w:t xml:space="preserve"> </w:t>
      </w:r>
      <w:r w:rsidRPr="0059733D">
        <w:rPr>
          <w:rStyle w:val="hps"/>
          <w:rFonts w:cs="Arial"/>
          <w:color w:val="222222"/>
          <w:lang w:val="pt-PT"/>
        </w:rPr>
        <w:t>da estrutura da</w:t>
      </w:r>
      <w:r w:rsidRPr="0059733D">
        <w:rPr>
          <w:rFonts w:cs="Arial"/>
          <w:color w:val="222222"/>
          <w:lang w:val="pt-PT"/>
        </w:rPr>
        <w:t xml:space="preserve"> </w:t>
      </w:r>
      <w:r w:rsidRPr="0059733D">
        <w:rPr>
          <w:rStyle w:val="hps"/>
          <w:rFonts w:cs="Arial"/>
          <w:color w:val="222222"/>
          <w:lang w:val="pt-PT"/>
        </w:rPr>
        <w:t>metacomunidade</w:t>
      </w:r>
      <w:r w:rsidRPr="0059733D">
        <w:rPr>
          <w:rFonts w:cs="Arial"/>
          <w:color w:val="222222"/>
          <w:lang w:val="pt-PT"/>
        </w:rPr>
        <w:t xml:space="preserve"> </w:t>
      </w:r>
      <w:r w:rsidRPr="0059733D">
        <w:rPr>
          <w:rStyle w:val="hps"/>
          <w:rFonts w:cs="Arial"/>
          <w:color w:val="222222"/>
          <w:lang w:val="pt-PT"/>
        </w:rPr>
        <w:t>e</w:t>
      </w:r>
      <w:r w:rsidRPr="0059733D">
        <w:rPr>
          <w:rFonts w:cs="Arial"/>
          <w:color w:val="222222"/>
          <w:lang w:val="pt-PT"/>
        </w:rPr>
        <w:t xml:space="preserve"> </w:t>
      </w:r>
      <w:r w:rsidRPr="0059733D">
        <w:rPr>
          <w:rStyle w:val="hps"/>
          <w:rFonts w:cs="Arial"/>
          <w:color w:val="222222"/>
          <w:lang w:val="pt-PT"/>
        </w:rPr>
        <w:t>essas características</w:t>
      </w:r>
      <w:r w:rsidRPr="0059733D">
        <w:rPr>
          <w:rFonts w:cs="Arial"/>
          <w:color w:val="222222"/>
          <w:lang w:val="pt-PT"/>
        </w:rPr>
        <w:t xml:space="preserve"> </w:t>
      </w:r>
      <w:r w:rsidRPr="0059733D">
        <w:rPr>
          <w:rStyle w:val="hps"/>
          <w:rFonts w:cs="Arial"/>
          <w:color w:val="222222"/>
          <w:lang w:val="pt-PT"/>
        </w:rPr>
        <w:t>devem ser</w:t>
      </w:r>
      <w:r w:rsidRPr="0059733D">
        <w:rPr>
          <w:rFonts w:cs="Arial"/>
          <w:color w:val="222222"/>
          <w:lang w:val="pt-PT"/>
        </w:rPr>
        <w:t xml:space="preserve"> </w:t>
      </w:r>
      <w:r w:rsidRPr="0059733D">
        <w:rPr>
          <w:rStyle w:val="hps"/>
          <w:rFonts w:cs="Arial"/>
          <w:color w:val="222222"/>
          <w:lang w:val="pt-PT"/>
        </w:rPr>
        <w:t>consideradas no desenvolvimento de</w:t>
      </w:r>
      <w:r w:rsidRPr="0059733D">
        <w:rPr>
          <w:rFonts w:cs="Arial"/>
          <w:color w:val="222222"/>
          <w:lang w:val="pt-PT"/>
        </w:rPr>
        <w:t xml:space="preserve"> </w:t>
      </w:r>
      <w:r w:rsidRPr="0059733D">
        <w:rPr>
          <w:rStyle w:val="hps"/>
          <w:rFonts w:cs="Arial"/>
          <w:color w:val="222222"/>
          <w:lang w:val="pt-PT"/>
        </w:rPr>
        <w:t>um quadro</w:t>
      </w:r>
      <w:r w:rsidRPr="0059733D">
        <w:rPr>
          <w:rFonts w:cs="Arial"/>
          <w:color w:val="222222"/>
          <w:lang w:val="pt-PT"/>
        </w:rPr>
        <w:t xml:space="preserve"> </w:t>
      </w:r>
      <w:r w:rsidRPr="0059733D">
        <w:rPr>
          <w:rStyle w:val="hps"/>
          <w:rFonts w:cs="Arial"/>
          <w:color w:val="222222"/>
          <w:lang w:val="pt-PT"/>
        </w:rPr>
        <w:t>de previsão</w:t>
      </w:r>
      <w:r w:rsidRPr="0059733D">
        <w:rPr>
          <w:rFonts w:cs="Arial"/>
          <w:color w:val="222222"/>
          <w:lang w:val="pt-PT"/>
        </w:rPr>
        <w:t xml:space="preserve"> </w:t>
      </w:r>
      <w:r w:rsidRPr="0059733D">
        <w:rPr>
          <w:rStyle w:val="hps"/>
          <w:rFonts w:cs="Arial"/>
          <w:color w:val="222222"/>
          <w:lang w:val="pt-PT"/>
        </w:rPr>
        <w:t>para a dinâmica</w:t>
      </w:r>
      <w:r w:rsidRPr="0059733D">
        <w:rPr>
          <w:rFonts w:cs="Arial"/>
          <w:color w:val="222222"/>
          <w:lang w:val="pt-PT"/>
        </w:rPr>
        <w:t xml:space="preserve"> da metacomunidade</w:t>
      </w:r>
      <w:r>
        <w:rPr>
          <w:rFonts w:cs="Arial"/>
          <w:color w:val="222222"/>
          <w:lang w:val="pt-PT"/>
        </w:rPr>
        <w:t>.</w:t>
      </w:r>
    </w:p>
    <w:p w:rsidR="00625EAA" w:rsidRDefault="00625EAA" w:rsidP="005604FE">
      <w:pPr>
        <w:rPr>
          <w:rStyle w:val="hps"/>
          <w:rFonts w:cs="Arial"/>
          <w:color w:val="222222"/>
          <w:lang w:val="pt-PT"/>
        </w:rPr>
      </w:pPr>
      <w:r w:rsidRPr="00A9662F">
        <w:t xml:space="preserve">Nessa mesma linha de investigação, Padial </w:t>
      </w:r>
      <w:r w:rsidRPr="0012408A">
        <w:rPr>
          <w:i/>
        </w:rPr>
        <w:t>et. al</w:t>
      </w:r>
      <w:r w:rsidRPr="00A9662F">
        <w:t>. (2014) observaram que fatores espaciais</w:t>
      </w:r>
      <w:r w:rsidRPr="00A9662F">
        <w:rPr>
          <w:rFonts w:cs="Arial"/>
          <w:color w:val="222222"/>
          <w:lang w:val="pt-PT"/>
        </w:rPr>
        <w:t xml:space="preserve"> </w:t>
      </w:r>
      <w:r w:rsidRPr="00A9662F">
        <w:rPr>
          <w:rStyle w:val="hps"/>
          <w:rFonts w:cs="Arial"/>
          <w:color w:val="222222"/>
          <w:lang w:val="pt-PT"/>
        </w:rPr>
        <w:t>foram particularmente importantes para organismos com</w:t>
      </w:r>
      <w:r w:rsidRPr="00A9662F">
        <w:rPr>
          <w:rFonts w:cs="Arial"/>
          <w:color w:val="222222"/>
          <w:lang w:val="pt-PT"/>
        </w:rPr>
        <w:t xml:space="preserve"> </w:t>
      </w:r>
      <w:r w:rsidRPr="00A9662F">
        <w:rPr>
          <w:rStyle w:val="hps"/>
          <w:rFonts w:cs="Arial"/>
          <w:color w:val="222222"/>
          <w:lang w:val="pt-PT"/>
        </w:rPr>
        <w:t>comparativamente menor</w:t>
      </w:r>
      <w:r w:rsidRPr="00A9662F">
        <w:rPr>
          <w:rFonts w:cs="Arial"/>
          <w:color w:val="222222"/>
          <w:lang w:val="pt-PT"/>
        </w:rPr>
        <w:t xml:space="preserve"> </w:t>
      </w:r>
      <w:r w:rsidRPr="00A9662F">
        <w:rPr>
          <w:rStyle w:val="hps"/>
          <w:rFonts w:cs="Arial"/>
          <w:color w:val="222222"/>
          <w:lang w:val="pt-PT"/>
        </w:rPr>
        <w:t>capacidade de dispersão</w:t>
      </w:r>
      <w:r w:rsidRPr="00A9662F">
        <w:rPr>
          <w:rFonts w:cs="Arial"/>
          <w:color w:val="222222"/>
          <w:lang w:val="pt-PT"/>
        </w:rPr>
        <w:t xml:space="preserve">, como </w:t>
      </w:r>
      <w:r w:rsidRPr="00A9662F">
        <w:rPr>
          <w:rStyle w:val="hps"/>
          <w:rFonts w:cs="Arial"/>
          <w:color w:val="222222"/>
          <w:lang w:val="pt-PT"/>
        </w:rPr>
        <w:t>macrófitas</w:t>
      </w:r>
      <w:r w:rsidRPr="00A9662F">
        <w:rPr>
          <w:rFonts w:cs="Arial"/>
          <w:color w:val="222222"/>
          <w:lang w:val="pt-PT"/>
        </w:rPr>
        <w:t xml:space="preserve"> </w:t>
      </w:r>
      <w:r w:rsidRPr="00A9662F">
        <w:rPr>
          <w:rStyle w:val="hps"/>
          <w:rFonts w:cs="Arial"/>
          <w:color w:val="222222"/>
          <w:lang w:val="pt-PT"/>
        </w:rPr>
        <w:t>aquáticas e peixes</w:t>
      </w:r>
      <w:r w:rsidRPr="00A9662F">
        <w:rPr>
          <w:rFonts w:cs="Arial"/>
          <w:color w:val="222222"/>
          <w:lang w:val="pt-PT"/>
        </w:rPr>
        <w:t xml:space="preserve">. </w:t>
      </w:r>
      <w:r w:rsidRPr="00A9662F">
        <w:rPr>
          <w:rStyle w:val="hps"/>
          <w:rFonts w:cs="Arial"/>
          <w:color w:val="222222"/>
          <w:lang w:val="pt-PT"/>
        </w:rPr>
        <w:t>Por outro lado</w:t>
      </w:r>
      <w:r w:rsidRPr="00A9662F">
        <w:rPr>
          <w:rFonts w:cs="Arial"/>
          <w:color w:val="222222"/>
          <w:lang w:val="pt-PT"/>
        </w:rPr>
        <w:t xml:space="preserve">, os fatores </w:t>
      </w:r>
      <w:r w:rsidRPr="00A9662F">
        <w:rPr>
          <w:rStyle w:val="hps"/>
          <w:rFonts w:cs="Arial"/>
          <w:color w:val="222222"/>
          <w:lang w:val="pt-PT"/>
        </w:rPr>
        <w:t>ambientais</w:t>
      </w:r>
      <w:r w:rsidRPr="00A9662F">
        <w:rPr>
          <w:rFonts w:cs="Arial"/>
          <w:color w:val="222222"/>
          <w:lang w:val="pt-PT"/>
        </w:rPr>
        <w:t xml:space="preserve"> </w:t>
      </w:r>
      <w:r w:rsidRPr="00A9662F">
        <w:rPr>
          <w:rStyle w:val="hps"/>
          <w:rFonts w:cs="Arial"/>
          <w:color w:val="222222"/>
          <w:lang w:val="pt-PT"/>
        </w:rPr>
        <w:t>foram particularmente importantes para</w:t>
      </w:r>
      <w:r w:rsidRPr="00A9662F">
        <w:rPr>
          <w:rFonts w:cs="Arial"/>
          <w:color w:val="222222"/>
          <w:lang w:val="pt-PT"/>
        </w:rPr>
        <w:t xml:space="preserve"> </w:t>
      </w:r>
      <w:r w:rsidRPr="00A9662F">
        <w:rPr>
          <w:rStyle w:val="hps"/>
          <w:rFonts w:cs="Arial"/>
          <w:color w:val="222222"/>
          <w:lang w:val="pt-PT"/>
        </w:rPr>
        <w:t>os organismos com</w:t>
      </w:r>
      <w:r w:rsidRPr="00A9662F">
        <w:rPr>
          <w:rFonts w:cs="Arial"/>
          <w:color w:val="222222"/>
          <w:lang w:val="pt-PT"/>
        </w:rPr>
        <w:t xml:space="preserve"> </w:t>
      </w:r>
      <w:r w:rsidRPr="00A9662F">
        <w:rPr>
          <w:rStyle w:val="hps"/>
          <w:rFonts w:cs="Arial"/>
          <w:color w:val="222222"/>
          <w:lang w:val="pt-PT"/>
        </w:rPr>
        <w:t>alta</w:t>
      </w:r>
      <w:r w:rsidRPr="00A9662F">
        <w:rPr>
          <w:rFonts w:cs="Arial"/>
          <w:color w:val="222222"/>
          <w:lang w:val="pt-PT"/>
        </w:rPr>
        <w:t xml:space="preserve"> </w:t>
      </w:r>
      <w:r w:rsidRPr="00A9662F">
        <w:rPr>
          <w:rStyle w:val="hps"/>
          <w:rFonts w:cs="Arial"/>
          <w:color w:val="222222"/>
          <w:lang w:val="pt-PT"/>
        </w:rPr>
        <w:t>capacidade de dispersão</w:t>
      </w:r>
      <w:r w:rsidRPr="00A9662F">
        <w:rPr>
          <w:rFonts w:cs="Arial"/>
          <w:color w:val="222222"/>
          <w:lang w:val="pt-PT"/>
        </w:rPr>
        <w:t xml:space="preserve">, como </w:t>
      </w:r>
      <w:r w:rsidRPr="00A9662F">
        <w:rPr>
          <w:rStyle w:val="hps"/>
          <w:rFonts w:cs="Arial"/>
          <w:color w:val="222222"/>
          <w:lang w:val="pt-PT"/>
        </w:rPr>
        <w:t>microalgas</w:t>
      </w:r>
      <w:r w:rsidRPr="00A9662F">
        <w:rPr>
          <w:rFonts w:cs="Arial"/>
          <w:color w:val="222222"/>
          <w:lang w:val="pt-PT"/>
        </w:rPr>
        <w:t xml:space="preserve">, indicando </w:t>
      </w:r>
      <w:r w:rsidRPr="00A9662F">
        <w:rPr>
          <w:rStyle w:val="hps"/>
          <w:rFonts w:cs="Arial"/>
          <w:color w:val="222222"/>
          <w:lang w:val="pt-PT"/>
        </w:rPr>
        <w:t>a importância da triagem das espécies pelas condições ambientais</w:t>
      </w:r>
      <w:r w:rsidRPr="00A9662F">
        <w:rPr>
          <w:rFonts w:cs="Arial"/>
          <w:color w:val="222222"/>
          <w:lang w:val="pt-PT"/>
        </w:rPr>
        <w:t xml:space="preserve"> </w:t>
      </w:r>
      <w:r w:rsidRPr="00A9662F">
        <w:rPr>
          <w:rStyle w:val="hps"/>
          <w:rFonts w:cs="Arial"/>
          <w:color w:val="222222"/>
          <w:lang w:val="pt-PT"/>
        </w:rPr>
        <w:t>na formação da</w:t>
      </w:r>
      <w:r w:rsidRPr="00A9662F">
        <w:rPr>
          <w:rFonts w:cs="Arial"/>
          <w:color w:val="222222"/>
          <w:lang w:val="pt-PT"/>
        </w:rPr>
        <w:t xml:space="preserve"> </w:t>
      </w:r>
      <w:r w:rsidRPr="00A9662F">
        <w:rPr>
          <w:rStyle w:val="hps"/>
          <w:rFonts w:cs="Arial"/>
          <w:color w:val="222222"/>
          <w:lang w:val="pt-PT"/>
        </w:rPr>
        <w:t>estrutura da comunidade</w:t>
      </w:r>
      <w:r w:rsidRPr="00A9662F">
        <w:rPr>
          <w:rFonts w:cs="Arial"/>
          <w:color w:val="222222"/>
          <w:lang w:val="pt-PT"/>
        </w:rPr>
        <w:t xml:space="preserve"> </w:t>
      </w:r>
      <w:r w:rsidRPr="00A9662F">
        <w:rPr>
          <w:rStyle w:val="hps"/>
          <w:rFonts w:cs="Arial"/>
          <w:color w:val="222222"/>
          <w:lang w:val="pt-PT"/>
        </w:rPr>
        <w:t>desses organismos</w:t>
      </w:r>
      <w:r w:rsidRPr="00A9662F">
        <w:rPr>
          <w:rFonts w:cs="Arial"/>
          <w:color w:val="222222"/>
          <w:lang w:val="pt-PT"/>
        </w:rPr>
        <w:t xml:space="preserve">. </w:t>
      </w:r>
      <w:r w:rsidRPr="00A9662F">
        <w:rPr>
          <w:rStyle w:val="hps"/>
          <w:rFonts w:cs="Arial"/>
          <w:color w:val="222222"/>
          <w:lang w:val="pt-PT"/>
        </w:rPr>
        <w:t>A importância das</w:t>
      </w:r>
      <w:r w:rsidRPr="00A9662F">
        <w:rPr>
          <w:rFonts w:cs="Arial"/>
          <w:color w:val="222222"/>
          <w:lang w:val="pt-PT"/>
        </w:rPr>
        <w:t xml:space="preserve"> </w:t>
      </w:r>
      <w:r w:rsidRPr="00A9662F">
        <w:rPr>
          <w:rStyle w:val="hps"/>
          <w:rFonts w:cs="Arial"/>
          <w:color w:val="222222"/>
          <w:lang w:val="pt-PT"/>
        </w:rPr>
        <w:t>distâncias</w:t>
      </w:r>
      <w:r w:rsidRPr="00A9662F">
        <w:rPr>
          <w:rFonts w:cs="Arial"/>
          <w:color w:val="222222"/>
          <w:lang w:val="pt-PT"/>
        </w:rPr>
        <w:t xml:space="preserve"> </w:t>
      </w:r>
      <w:r w:rsidRPr="00A9662F">
        <w:rPr>
          <w:rStyle w:val="hps"/>
          <w:rFonts w:cs="Arial"/>
          <w:color w:val="222222"/>
          <w:lang w:val="pt-PT"/>
        </w:rPr>
        <w:t>de cursos de água</w:t>
      </w:r>
      <w:r w:rsidRPr="00A9662F">
        <w:rPr>
          <w:rFonts w:cs="Arial"/>
          <w:color w:val="222222"/>
          <w:lang w:val="pt-PT"/>
        </w:rPr>
        <w:t xml:space="preserve"> </w:t>
      </w:r>
      <w:r w:rsidRPr="00A9662F">
        <w:rPr>
          <w:rStyle w:val="hps"/>
          <w:rFonts w:cs="Arial"/>
          <w:color w:val="222222"/>
          <w:lang w:val="pt-PT"/>
        </w:rPr>
        <w:t>aumentou quando</w:t>
      </w:r>
      <w:r w:rsidRPr="00A9662F">
        <w:rPr>
          <w:rFonts w:cs="Arial"/>
          <w:color w:val="222222"/>
          <w:lang w:val="pt-PT"/>
        </w:rPr>
        <w:t xml:space="preserve"> </w:t>
      </w:r>
      <w:r w:rsidRPr="00A9662F">
        <w:rPr>
          <w:rStyle w:val="hps"/>
          <w:rFonts w:cs="Arial"/>
          <w:color w:val="222222"/>
          <w:lang w:val="pt-PT"/>
        </w:rPr>
        <w:t>variáveis espaciais</w:t>
      </w:r>
      <w:r w:rsidRPr="00A9662F">
        <w:rPr>
          <w:rFonts w:cs="Arial"/>
          <w:color w:val="222222"/>
          <w:lang w:val="pt-PT"/>
        </w:rPr>
        <w:t xml:space="preserve"> </w:t>
      </w:r>
      <w:r w:rsidRPr="00A9662F">
        <w:rPr>
          <w:rStyle w:val="hps"/>
          <w:rFonts w:cs="Arial"/>
          <w:color w:val="222222"/>
          <w:lang w:val="pt-PT"/>
        </w:rPr>
        <w:t>foram os principais</w:t>
      </w:r>
      <w:r w:rsidRPr="00A9662F">
        <w:rPr>
          <w:rFonts w:cs="Arial"/>
          <w:color w:val="222222"/>
          <w:lang w:val="pt-PT"/>
        </w:rPr>
        <w:t xml:space="preserve"> </w:t>
      </w:r>
      <w:r w:rsidRPr="00A9662F">
        <w:rPr>
          <w:rStyle w:val="hps"/>
          <w:rFonts w:cs="Arial"/>
          <w:color w:val="222222"/>
          <w:lang w:val="pt-PT"/>
        </w:rPr>
        <w:t xml:space="preserve">fatores na estrutura da metacomunidade. </w:t>
      </w:r>
    </w:p>
    <w:p w:rsidR="00625EAA" w:rsidRDefault="00625EAA" w:rsidP="005604FE">
      <w:pPr>
        <w:rPr>
          <w:rStyle w:val="hps"/>
          <w:rFonts w:cs="Arial"/>
          <w:color w:val="222222"/>
          <w:lang w:val="pt-PT"/>
        </w:rPr>
      </w:pPr>
      <w:r w:rsidRPr="00B64630">
        <w:t xml:space="preserve">Matsumura-Tudisi &amp; Tundisi (2003) verificaram, no estudo das mudanças de composição do zooplâncton de reservatórios do Estado de São Paulo, que os copépodes </w:t>
      </w:r>
      <w:r w:rsidRPr="00B64630">
        <w:rPr>
          <w:rFonts w:cs="Times-Roman"/>
        </w:rPr>
        <w:t>Calanoida apresentam um alto grau de endemismo</w:t>
      </w:r>
      <w:r>
        <w:rPr>
          <w:rFonts w:cs="Times-Roman"/>
        </w:rPr>
        <w:t>,</w:t>
      </w:r>
      <w:r w:rsidRPr="00B64630">
        <w:rPr>
          <w:rFonts w:cs="Times-Roman"/>
        </w:rPr>
        <w:t xml:space="preserve"> co</w:t>
      </w:r>
      <w:r>
        <w:rPr>
          <w:rFonts w:cs="Times-Roman"/>
        </w:rPr>
        <w:t>m</w:t>
      </w:r>
      <w:r w:rsidRPr="00B64630">
        <w:rPr>
          <w:rFonts w:cs="Times-Roman"/>
        </w:rPr>
        <w:t xml:space="preserve"> distribuição geográfica restrita. </w:t>
      </w:r>
      <w:r w:rsidRPr="00B64630">
        <w:rPr>
          <w:rStyle w:val="hps"/>
          <w:rFonts w:cs="Arial"/>
          <w:color w:val="222222"/>
          <w:lang w:val="pt-PT"/>
        </w:rPr>
        <w:t>Este</w:t>
      </w:r>
      <w:r w:rsidRPr="00B64630">
        <w:rPr>
          <w:rFonts w:cs="Arial"/>
          <w:color w:val="222222"/>
          <w:lang w:val="pt-PT"/>
        </w:rPr>
        <w:t xml:space="preserve"> </w:t>
      </w:r>
      <w:r w:rsidRPr="00B64630">
        <w:rPr>
          <w:rStyle w:val="hps"/>
          <w:rFonts w:cs="Arial"/>
          <w:color w:val="222222"/>
          <w:lang w:val="pt-PT"/>
        </w:rPr>
        <w:t>endemismo</w:t>
      </w:r>
      <w:r w:rsidRPr="00B64630">
        <w:rPr>
          <w:rFonts w:cs="Arial"/>
          <w:color w:val="222222"/>
          <w:lang w:val="pt-PT"/>
        </w:rPr>
        <w:t xml:space="preserve"> </w:t>
      </w:r>
      <w:r w:rsidRPr="00B64630">
        <w:rPr>
          <w:rStyle w:val="hps"/>
          <w:rFonts w:cs="Arial"/>
          <w:color w:val="222222"/>
          <w:lang w:val="pt-PT"/>
        </w:rPr>
        <w:t>pode</w:t>
      </w:r>
      <w:r w:rsidRPr="00B64630">
        <w:rPr>
          <w:rFonts w:cs="Arial"/>
          <w:color w:val="222222"/>
          <w:lang w:val="pt-PT"/>
        </w:rPr>
        <w:t xml:space="preserve"> </w:t>
      </w:r>
      <w:r w:rsidRPr="00B64630">
        <w:rPr>
          <w:rStyle w:val="hps"/>
          <w:rFonts w:cs="Arial"/>
          <w:color w:val="222222"/>
          <w:lang w:val="pt-PT"/>
        </w:rPr>
        <w:t>ser uma resposta</w:t>
      </w:r>
      <w:r w:rsidRPr="00B64630">
        <w:rPr>
          <w:rFonts w:cs="Arial"/>
          <w:color w:val="222222"/>
          <w:lang w:val="pt-PT"/>
        </w:rPr>
        <w:t xml:space="preserve"> </w:t>
      </w:r>
      <w:r w:rsidRPr="00B64630">
        <w:rPr>
          <w:rStyle w:val="hps"/>
          <w:rFonts w:cs="Arial"/>
          <w:color w:val="222222"/>
          <w:lang w:val="pt-PT"/>
        </w:rPr>
        <w:t>à</w:t>
      </w:r>
      <w:r w:rsidRPr="00B64630">
        <w:rPr>
          <w:rFonts w:cs="Arial"/>
          <w:color w:val="222222"/>
          <w:lang w:val="pt-PT"/>
        </w:rPr>
        <w:t xml:space="preserve"> </w:t>
      </w:r>
      <w:r w:rsidRPr="00B64630">
        <w:rPr>
          <w:rStyle w:val="hps"/>
          <w:rFonts w:cs="Arial"/>
          <w:color w:val="222222"/>
          <w:lang w:val="pt-PT"/>
        </w:rPr>
        <w:t>sensibilidade destes</w:t>
      </w:r>
      <w:r w:rsidRPr="00B64630">
        <w:rPr>
          <w:rFonts w:cs="Arial"/>
          <w:color w:val="222222"/>
          <w:lang w:val="pt-PT"/>
        </w:rPr>
        <w:t xml:space="preserve"> </w:t>
      </w:r>
      <w:r w:rsidRPr="00B64630">
        <w:rPr>
          <w:rStyle w:val="hps"/>
          <w:rFonts w:cs="Arial"/>
          <w:color w:val="222222"/>
          <w:lang w:val="pt-PT"/>
        </w:rPr>
        <w:t>organismos</w:t>
      </w:r>
      <w:r w:rsidRPr="00B64630">
        <w:rPr>
          <w:rFonts w:cs="Arial"/>
          <w:color w:val="222222"/>
          <w:lang w:val="pt-PT"/>
        </w:rPr>
        <w:t xml:space="preserve"> </w:t>
      </w:r>
      <w:r w:rsidRPr="00B64630">
        <w:rPr>
          <w:rStyle w:val="hps"/>
          <w:rFonts w:cs="Arial"/>
          <w:color w:val="222222"/>
          <w:lang w:val="pt-PT"/>
        </w:rPr>
        <w:t>às alterações nos fatores</w:t>
      </w:r>
      <w:r w:rsidRPr="00B64630">
        <w:rPr>
          <w:rFonts w:cs="Arial"/>
          <w:color w:val="222222"/>
          <w:lang w:val="pt-PT"/>
        </w:rPr>
        <w:t xml:space="preserve"> </w:t>
      </w:r>
      <w:r w:rsidRPr="00B64630">
        <w:rPr>
          <w:rStyle w:val="hps"/>
          <w:rFonts w:cs="Arial"/>
          <w:color w:val="222222"/>
          <w:lang w:val="pt-PT"/>
        </w:rPr>
        <w:t>químicos</w:t>
      </w:r>
      <w:r w:rsidRPr="00B64630">
        <w:rPr>
          <w:rFonts w:cs="Arial"/>
          <w:color w:val="222222"/>
          <w:lang w:val="pt-PT"/>
        </w:rPr>
        <w:t xml:space="preserve"> </w:t>
      </w:r>
      <w:r w:rsidRPr="00B64630">
        <w:rPr>
          <w:rStyle w:val="hps"/>
          <w:rFonts w:cs="Arial"/>
          <w:color w:val="222222"/>
          <w:lang w:val="pt-PT"/>
        </w:rPr>
        <w:t>e</w:t>
      </w:r>
      <w:r w:rsidRPr="00B64630">
        <w:rPr>
          <w:rFonts w:cs="Arial"/>
          <w:color w:val="222222"/>
          <w:lang w:val="pt-PT"/>
        </w:rPr>
        <w:t xml:space="preserve"> </w:t>
      </w:r>
      <w:r w:rsidRPr="00B64630">
        <w:rPr>
          <w:rStyle w:val="hps"/>
          <w:rFonts w:cs="Arial"/>
          <w:color w:val="222222"/>
          <w:lang w:val="pt-PT"/>
        </w:rPr>
        <w:t>físicos, tais</w:t>
      </w:r>
      <w:r w:rsidRPr="00B64630">
        <w:rPr>
          <w:rFonts w:cs="Arial"/>
          <w:color w:val="222222"/>
          <w:lang w:val="pt-PT"/>
        </w:rPr>
        <w:t xml:space="preserve"> </w:t>
      </w:r>
      <w:r w:rsidRPr="00B64630">
        <w:rPr>
          <w:rStyle w:val="hps"/>
          <w:rFonts w:cs="Arial"/>
          <w:color w:val="222222"/>
          <w:lang w:val="pt-PT"/>
        </w:rPr>
        <w:t>como pH</w:t>
      </w:r>
      <w:r w:rsidRPr="00B64630">
        <w:rPr>
          <w:rFonts w:cs="Arial"/>
          <w:color w:val="222222"/>
          <w:lang w:val="pt-PT"/>
        </w:rPr>
        <w:t xml:space="preserve">, </w:t>
      </w:r>
      <w:r w:rsidRPr="00B64630">
        <w:rPr>
          <w:rStyle w:val="hps"/>
          <w:rFonts w:cs="Arial"/>
          <w:color w:val="222222"/>
          <w:lang w:val="pt-PT"/>
        </w:rPr>
        <w:t>condutividade</w:t>
      </w:r>
      <w:r w:rsidRPr="00B64630">
        <w:rPr>
          <w:rFonts w:cs="Arial"/>
          <w:color w:val="222222"/>
          <w:lang w:val="pt-PT"/>
        </w:rPr>
        <w:t xml:space="preserve"> </w:t>
      </w:r>
      <w:r w:rsidRPr="00B64630">
        <w:rPr>
          <w:rStyle w:val="hps"/>
          <w:rFonts w:cs="Arial"/>
          <w:color w:val="222222"/>
          <w:lang w:val="pt-PT"/>
        </w:rPr>
        <w:t>e</w:t>
      </w:r>
      <w:r w:rsidRPr="00B64630">
        <w:rPr>
          <w:rFonts w:cs="Arial"/>
          <w:color w:val="222222"/>
          <w:lang w:val="pt-PT"/>
        </w:rPr>
        <w:t xml:space="preserve"> </w:t>
      </w:r>
      <w:r w:rsidRPr="00B64630">
        <w:rPr>
          <w:rStyle w:val="hps"/>
          <w:rFonts w:cs="Arial"/>
          <w:color w:val="222222"/>
          <w:lang w:val="pt-PT"/>
        </w:rPr>
        <w:t>composição</w:t>
      </w:r>
      <w:r w:rsidRPr="00B64630">
        <w:rPr>
          <w:rFonts w:cs="Arial"/>
          <w:color w:val="222222"/>
          <w:lang w:val="pt-PT"/>
        </w:rPr>
        <w:t xml:space="preserve"> </w:t>
      </w:r>
      <w:r w:rsidRPr="00B64630">
        <w:rPr>
          <w:rStyle w:val="hps"/>
          <w:rFonts w:cs="Arial"/>
          <w:color w:val="222222"/>
          <w:lang w:val="pt-PT"/>
        </w:rPr>
        <w:t>iónica.</w:t>
      </w:r>
      <w:r>
        <w:rPr>
          <w:rStyle w:val="hps"/>
          <w:rFonts w:cs="Arial"/>
          <w:color w:val="222222"/>
          <w:lang w:val="pt-PT"/>
        </w:rPr>
        <w:t xml:space="preserve"> </w:t>
      </w:r>
    </w:p>
    <w:p w:rsidR="00625EAA" w:rsidRPr="00A15A9D" w:rsidRDefault="00625EAA" w:rsidP="005604FE">
      <w:pPr>
        <w:rPr>
          <w:rFonts w:cs="Times-Roman"/>
        </w:rPr>
      </w:pPr>
      <w:r w:rsidRPr="00A15A9D">
        <w:rPr>
          <w:rStyle w:val="hps"/>
          <w:rFonts w:cs="Arial"/>
          <w:color w:val="222222"/>
          <w:lang w:val="pt-PT"/>
        </w:rPr>
        <w:t>Estas diferenças entre os grupos que compõem o zooplâncton também foi observada por Dallas &amp; Drake (2014) que observaram, em um conjunto de lagos do nordeste dos Estados Unidos, que enquanto</w:t>
      </w:r>
      <w:r w:rsidRPr="00A15A9D">
        <w:rPr>
          <w:rFonts w:cs="Arial"/>
          <w:color w:val="222222"/>
          <w:lang w:val="pt-PT"/>
        </w:rPr>
        <w:t xml:space="preserve"> as variáveis ambientais </w:t>
      </w:r>
      <w:r w:rsidRPr="00A15A9D">
        <w:rPr>
          <w:rStyle w:val="hps"/>
          <w:rFonts w:cs="Arial"/>
          <w:color w:val="222222"/>
          <w:lang w:val="pt-PT"/>
        </w:rPr>
        <w:t>foram</w:t>
      </w:r>
      <w:r w:rsidRPr="00A15A9D">
        <w:rPr>
          <w:rFonts w:cs="Arial"/>
          <w:color w:val="222222"/>
          <w:lang w:val="pt-PT"/>
        </w:rPr>
        <w:t xml:space="preserve"> </w:t>
      </w:r>
      <w:r w:rsidRPr="00A15A9D">
        <w:rPr>
          <w:rStyle w:val="hps"/>
          <w:rFonts w:cs="Arial"/>
          <w:color w:val="222222"/>
          <w:lang w:val="pt-PT"/>
        </w:rPr>
        <w:t>quase</w:t>
      </w:r>
      <w:r w:rsidRPr="00A15A9D">
        <w:rPr>
          <w:rFonts w:cs="Arial"/>
          <w:color w:val="222222"/>
          <w:lang w:val="pt-PT"/>
        </w:rPr>
        <w:t xml:space="preserve"> </w:t>
      </w:r>
      <w:r w:rsidRPr="00A15A9D">
        <w:rPr>
          <w:rStyle w:val="hps"/>
          <w:rFonts w:cs="Arial"/>
          <w:color w:val="222222"/>
          <w:lang w:val="pt-PT"/>
        </w:rPr>
        <w:t>sempre</w:t>
      </w:r>
      <w:r w:rsidRPr="00A15A9D">
        <w:rPr>
          <w:rFonts w:cs="Arial"/>
          <w:color w:val="222222"/>
          <w:lang w:val="pt-PT"/>
        </w:rPr>
        <w:t xml:space="preserve"> </w:t>
      </w:r>
      <w:r w:rsidRPr="00A15A9D">
        <w:rPr>
          <w:rStyle w:val="hps"/>
          <w:rFonts w:cs="Arial"/>
          <w:color w:val="222222"/>
          <w:lang w:val="pt-PT"/>
        </w:rPr>
        <w:t>as</w:t>
      </w:r>
      <w:r w:rsidRPr="00A15A9D">
        <w:rPr>
          <w:rFonts w:cs="Arial"/>
          <w:color w:val="222222"/>
          <w:lang w:val="pt-PT"/>
        </w:rPr>
        <w:t xml:space="preserve"> </w:t>
      </w:r>
      <w:r w:rsidRPr="00A15A9D">
        <w:rPr>
          <w:rStyle w:val="hps"/>
          <w:rFonts w:cs="Arial"/>
          <w:color w:val="222222"/>
          <w:lang w:val="pt-PT"/>
        </w:rPr>
        <w:t>mais importante</w:t>
      </w:r>
      <w:r w:rsidRPr="00A15A9D">
        <w:rPr>
          <w:rFonts w:cs="Arial"/>
          <w:color w:val="222222"/>
          <w:lang w:val="pt-PT"/>
        </w:rPr>
        <w:t xml:space="preserve"> </w:t>
      </w:r>
      <w:r w:rsidRPr="00A15A9D">
        <w:rPr>
          <w:rStyle w:val="hps"/>
          <w:rFonts w:cs="Arial"/>
          <w:color w:val="222222"/>
          <w:lang w:val="pt-PT"/>
        </w:rPr>
        <w:t>para a estrutura</w:t>
      </w:r>
      <w:r w:rsidRPr="00A15A9D">
        <w:rPr>
          <w:rFonts w:cs="Arial"/>
          <w:color w:val="222222"/>
          <w:lang w:val="pt-PT"/>
        </w:rPr>
        <w:t xml:space="preserve"> da </w:t>
      </w:r>
      <w:r w:rsidRPr="00A15A9D">
        <w:rPr>
          <w:rStyle w:val="hps"/>
          <w:rFonts w:cs="Arial"/>
          <w:color w:val="222222"/>
          <w:lang w:val="pt-PT"/>
        </w:rPr>
        <w:t>metacomunidade</w:t>
      </w:r>
      <w:r w:rsidRPr="00A15A9D">
        <w:rPr>
          <w:rFonts w:cs="Arial"/>
          <w:color w:val="222222"/>
          <w:lang w:val="pt-PT"/>
        </w:rPr>
        <w:t xml:space="preserve">, </w:t>
      </w:r>
      <w:r w:rsidRPr="00A15A9D">
        <w:rPr>
          <w:rStyle w:val="hps"/>
          <w:rFonts w:cs="Arial"/>
          <w:color w:val="222222"/>
          <w:lang w:val="pt-PT"/>
        </w:rPr>
        <w:t>a importância</w:t>
      </w:r>
      <w:r w:rsidRPr="00A15A9D">
        <w:rPr>
          <w:rFonts w:cs="Arial"/>
          <w:color w:val="222222"/>
          <w:lang w:val="pt-PT"/>
        </w:rPr>
        <w:t xml:space="preserve"> </w:t>
      </w:r>
      <w:r w:rsidRPr="00A15A9D">
        <w:rPr>
          <w:rStyle w:val="hps"/>
          <w:rFonts w:cs="Arial"/>
          <w:color w:val="222222"/>
          <w:lang w:val="pt-PT"/>
        </w:rPr>
        <w:t>relativa de variáveis</w:t>
      </w:r>
      <w:r w:rsidRPr="00A15A9D">
        <w:rPr>
          <w:rFonts w:cs="Arial"/>
          <w:color w:val="222222"/>
          <w:lang w:val="pt-PT"/>
        </w:rPr>
        <w:t xml:space="preserve"> </w:t>
      </w:r>
      <w:r w:rsidRPr="00A15A9D">
        <w:rPr>
          <w:rStyle w:val="hps"/>
          <w:rFonts w:cs="Arial"/>
          <w:color w:val="222222"/>
          <w:lang w:val="pt-PT"/>
        </w:rPr>
        <w:t>diferiram</w:t>
      </w:r>
      <w:r w:rsidRPr="00A15A9D">
        <w:rPr>
          <w:rFonts w:cs="Arial"/>
          <w:color w:val="222222"/>
          <w:lang w:val="pt-PT"/>
        </w:rPr>
        <w:t xml:space="preserve"> </w:t>
      </w:r>
      <w:r w:rsidRPr="00A15A9D">
        <w:rPr>
          <w:rStyle w:val="hps"/>
          <w:rFonts w:cs="Arial"/>
          <w:color w:val="222222"/>
          <w:lang w:val="pt-PT"/>
        </w:rPr>
        <w:t>entre os</w:t>
      </w:r>
      <w:r w:rsidRPr="00A15A9D">
        <w:rPr>
          <w:rFonts w:cs="Arial"/>
          <w:color w:val="222222"/>
          <w:lang w:val="pt-PT"/>
        </w:rPr>
        <w:t xml:space="preserve"> </w:t>
      </w:r>
      <w:r w:rsidRPr="00A15A9D">
        <w:rPr>
          <w:rStyle w:val="hps"/>
          <w:rFonts w:cs="Arial"/>
          <w:color w:val="222222"/>
          <w:lang w:val="pt-PT"/>
        </w:rPr>
        <w:t>subconjuntos</w:t>
      </w:r>
      <w:r w:rsidRPr="00A15A9D">
        <w:rPr>
          <w:rFonts w:cs="Arial"/>
          <w:color w:val="222222"/>
          <w:lang w:val="pt-PT"/>
        </w:rPr>
        <w:t xml:space="preserve"> </w:t>
      </w:r>
      <w:r w:rsidRPr="00A15A9D">
        <w:rPr>
          <w:rStyle w:val="hps"/>
          <w:rFonts w:cs="Arial"/>
          <w:color w:val="222222"/>
          <w:lang w:val="pt-PT"/>
        </w:rPr>
        <w:t>de zooplâncton</w:t>
      </w:r>
      <w:r w:rsidRPr="00A15A9D">
        <w:rPr>
          <w:rFonts w:cs="Arial"/>
          <w:color w:val="222222"/>
          <w:lang w:val="pt-PT"/>
        </w:rPr>
        <w:t xml:space="preserve">, sugerindo que </w:t>
      </w:r>
      <w:r>
        <w:rPr>
          <w:rFonts w:cs="Arial"/>
          <w:color w:val="222222"/>
          <w:lang w:val="pt-PT"/>
        </w:rPr>
        <w:t>esses</w:t>
      </w:r>
      <w:r w:rsidRPr="00A15A9D">
        <w:rPr>
          <w:rStyle w:val="hps"/>
          <w:rFonts w:cs="Arial"/>
          <w:color w:val="222222"/>
          <w:lang w:val="pt-PT"/>
        </w:rPr>
        <w:t xml:space="preserve"> subconjuntos</w:t>
      </w:r>
      <w:r w:rsidRPr="00A15A9D">
        <w:rPr>
          <w:rFonts w:cs="Arial"/>
          <w:color w:val="222222"/>
          <w:lang w:val="pt-PT"/>
        </w:rPr>
        <w:t xml:space="preserve"> </w:t>
      </w:r>
      <w:r w:rsidRPr="00A15A9D">
        <w:rPr>
          <w:rStyle w:val="hps"/>
          <w:rFonts w:cs="Arial"/>
          <w:color w:val="222222"/>
          <w:lang w:val="pt-PT"/>
        </w:rPr>
        <w:t>diferem em suas tolerâncias</w:t>
      </w:r>
      <w:r w:rsidRPr="00A15A9D">
        <w:rPr>
          <w:rFonts w:cs="Arial"/>
          <w:color w:val="222222"/>
          <w:lang w:val="pt-PT"/>
        </w:rPr>
        <w:t xml:space="preserve"> </w:t>
      </w:r>
      <w:r w:rsidRPr="00A15A9D">
        <w:rPr>
          <w:rStyle w:val="hps"/>
          <w:rFonts w:cs="Arial"/>
          <w:color w:val="222222"/>
          <w:lang w:val="pt-PT"/>
        </w:rPr>
        <w:t>ambientais e</w:t>
      </w:r>
      <w:r w:rsidRPr="00A15A9D">
        <w:rPr>
          <w:rFonts w:cs="Arial"/>
          <w:color w:val="222222"/>
          <w:lang w:val="pt-PT"/>
        </w:rPr>
        <w:t xml:space="preserve"> limitação por </w:t>
      </w:r>
      <w:r w:rsidRPr="00A15A9D">
        <w:rPr>
          <w:rStyle w:val="hps"/>
          <w:rFonts w:cs="Arial"/>
          <w:color w:val="222222"/>
          <w:lang w:val="pt-PT"/>
        </w:rPr>
        <w:t>dispersão</w:t>
      </w:r>
      <w:r w:rsidRPr="00A15A9D">
        <w:rPr>
          <w:rFonts w:cs="Arial"/>
          <w:color w:val="222222"/>
          <w:lang w:val="pt-PT"/>
        </w:rPr>
        <w:t>.</w:t>
      </w:r>
    </w:p>
    <w:p w:rsidR="00625EAA" w:rsidRDefault="00625EAA" w:rsidP="005604FE">
      <w:pPr>
        <w:rPr>
          <w:rFonts w:cs="Times-Roman"/>
        </w:rPr>
      </w:pPr>
      <w:r>
        <w:rPr>
          <w:rFonts w:cs="Times-Roman"/>
        </w:rPr>
        <w:t>As informações da literatura científica apresentadas acima indicam que o contato das águas dos dois reservatórios que serão interligados tem importância maior para os organismos de maior porte, como peixes e macrófitas aquáticas</w:t>
      </w:r>
      <w:r w:rsidR="005604FE">
        <w:rPr>
          <w:rFonts w:cs="Times-Roman"/>
        </w:rPr>
        <w:t>,</w:t>
      </w:r>
      <w:r>
        <w:rPr>
          <w:rFonts w:cs="Times-Roman"/>
        </w:rPr>
        <w:t xml:space="preserve"> e importância </w:t>
      </w:r>
      <w:r w:rsidR="00890D47">
        <w:rPr>
          <w:rFonts w:cs="Times-Roman"/>
        </w:rPr>
        <w:t xml:space="preserve">menor </w:t>
      </w:r>
      <w:r>
        <w:rPr>
          <w:rFonts w:cs="Times-Roman"/>
        </w:rPr>
        <w:t xml:space="preserve">para os organismos do plâncton e também do bentos. </w:t>
      </w:r>
    </w:p>
    <w:p w:rsidR="00AD2478" w:rsidRDefault="00625EAA" w:rsidP="005604FE">
      <w:r>
        <w:rPr>
          <w:rFonts w:cs="Times-Roman"/>
        </w:rPr>
        <w:t xml:space="preserve">Deve-se considerar também a </w:t>
      </w:r>
      <w:r w:rsidRPr="00B64630">
        <w:t>distância relativamente pequena entre os reservatórios que serão interligados</w:t>
      </w:r>
      <w:r w:rsidR="005604FE">
        <w:t xml:space="preserve"> (20 km)</w:t>
      </w:r>
      <w:r>
        <w:t xml:space="preserve">, </w:t>
      </w:r>
      <w:r w:rsidR="009F382B">
        <w:t xml:space="preserve">a </w:t>
      </w:r>
      <w:r>
        <w:t xml:space="preserve">facilidade de dispersão dos organismos menores e ainda a presença de atividade antrópica </w:t>
      </w:r>
      <w:r w:rsidR="005604FE">
        <w:t xml:space="preserve">intensa </w:t>
      </w:r>
      <w:r>
        <w:t>nesses reservatórios</w:t>
      </w:r>
      <w:r w:rsidR="005604FE">
        <w:t xml:space="preserve"> e seu entorno</w:t>
      </w:r>
      <w:r>
        <w:t xml:space="preserve">, </w:t>
      </w:r>
      <w:r w:rsidR="005604FE">
        <w:t>em particular</w:t>
      </w:r>
      <w:r w:rsidR="00AD2478">
        <w:t>:</w:t>
      </w:r>
    </w:p>
    <w:p w:rsidR="00AD2478" w:rsidRDefault="000A564F" w:rsidP="00AD2478">
      <w:pPr>
        <w:pStyle w:val="PargrafodaLista"/>
        <w:numPr>
          <w:ilvl w:val="0"/>
          <w:numId w:val="27"/>
        </w:numPr>
      </w:pPr>
      <w:r>
        <w:t>Turismo</w:t>
      </w:r>
      <w:r w:rsidR="009F382B">
        <w:t>, pesca e</w:t>
      </w:r>
      <w:r w:rsidR="005604FE">
        <w:t xml:space="preserve"> navegação recreativa</w:t>
      </w:r>
      <w:r w:rsidR="009F382B">
        <w:t xml:space="preserve"> nas represas, </w:t>
      </w:r>
      <w:r w:rsidR="00AD2478">
        <w:t>e</w:t>
      </w:r>
    </w:p>
    <w:p w:rsidR="00AD2478" w:rsidRDefault="000A564F" w:rsidP="00AD2478">
      <w:pPr>
        <w:pStyle w:val="PargrafodaLista"/>
        <w:numPr>
          <w:ilvl w:val="0"/>
          <w:numId w:val="27"/>
        </w:numPr>
      </w:pPr>
      <w:r>
        <w:t xml:space="preserve">Piscultura </w:t>
      </w:r>
      <w:r w:rsidR="009F382B">
        <w:t>em inúmeros tanques e açudes em afluentes dos reservatórios</w:t>
      </w:r>
      <w:r w:rsidR="005604FE">
        <w:t xml:space="preserve">. </w:t>
      </w:r>
    </w:p>
    <w:p w:rsidR="00625EAA" w:rsidRDefault="009F382B" w:rsidP="00AD2478">
      <w:r>
        <w:t xml:space="preserve">Estas duas represas constituem </w:t>
      </w:r>
      <w:r w:rsidR="00625EAA">
        <w:t xml:space="preserve">sistemas artificialmente criados, manejados intensamente conforme os objetivos </w:t>
      </w:r>
      <w:r w:rsidR="00AD2478">
        <w:t>e uso múltiplo de suas águas</w:t>
      </w:r>
      <w:r w:rsidR="005604FE">
        <w:t xml:space="preserve">, </w:t>
      </w:r>
      <w:r w:rsidR="00625EAA">
        <w:t>o que significa que impactos na estrutura das comunidades aquáticas já se fizeram presentes.</w:t>
      </w:r>
    </w:p>
    <w:p w:rsidR="005604FE" w:rsidRDefault="005604FE" w:rsidP="005604FE">
      <w:r>
        <w:t xml:space="preserve">Outro fator a considerar é que </w:t>
      </w:r>
      <w:r w:rsidR="009F382B">
        <w:t xml:space="preserve">a </w:t>
      </w:r>
      <w:r>
        <w:t xml:space="preserve">transferência de água </w:t>
      </w:r>
      <w:r w:rsidR="009F382B">
        <w:t xml:space="preserve">entre os reservatórios </w:t>
      </w:r>
      <w:r>
        <w:t>se dará por meio de bombeamento com altura manométrica de 2</w:t>
      </w:r>
      <w:r w:rsidR="00AF7F17">
        <w:t>16</w:t>
      </w:r>
      <w:r>
        <w:t xml:space="preserve"> mca. Isso significa que </w:t>
      </w:r>
      <w:r w:rsidR="009F382B">
        <w:t xml:space="preserve">os organismos (fitoplâncton, zooplâncton, </w:t>
      </w:r>
      <w:r w:rsidR="00E23084">
        <w:t xml:space="preserve">bentos, </w:t>
      </w:r>
      <w:r w:rsidR="009F382B">
        <w:t>peixes</w:t>
      </w:r>
      <w:r w:rsidR="00E23084">
        <w:t>, ovos e larvas</w:t>
      </w:r>
      <w:r w:rsidR="009F382B">
        <w:t>) que sejam sugados na estação elevatória serão submetidos, em uma fração de segundo, a uma variação de pressão de mais de 20 atmosferas</w:t>
      </w:r>
      <w:r w:rsidR="000A564F">
        <w:t>.</w:t>
      </w:r>
      <w:r w:rsidR="009F382B">
        <w:t xml:space="preserve"> </w:t>
      </w:r>
      <w:r w:rsidR="000A564F">
        <w:t xml:space="preserve">Isso </w:t>
      </w:r>
      <w:r w:rsidR="009F382B">
        <w:t xml:space="preserve">equivale a colocar, de repente, um organismo </w:t>
      </w:r>
      <w:r w:rsidR="000A564F">
        <w:t xml:space="preserve">que está </w:t>
      </w:r>
      <w:r w:rsidR="009F382B">
        <w:t xml:space="preserve">em equilíbrio com um ambiente </w:t>
      </w:r>
      <w:r w:rsidR="000A564F">
        <w:t xml:space="preserve">aquático </w:t>
      </w:r>
      <w:r w:rsidR="009F382B">
        <w:t>raso, em outro ambiente a 200</w:t>
      </w:r>
      <w:r w:rsidR="000A564F">
        <w:t>-2</w:t>
      </w:r>
      <w:r w:rsidR="00AF7F17">
        <w:t>1</w:t>
      </w:r>
      <w:r w:rsidR="000A564F">
        <w:t>0</w:t>
      </w:r>
      <w:r w:rsidR="009F382B">
        <w:t xml:space="preserve"> m de profundidade, fazendo-o permanecer </w:t>
      </w:r>
      <w:r w:rsidR="000A564F">
        <w:t xml:space="preserve">com pressões variadas </w:t>
      </w:r>
      <w:r w:rsidR="009F382B">
        <w:t>por cerca de duas horas (tempo de trânsito na adutora).</w:t>
      </w:r>
    </w:p>
    <w:p w:rsidR="00E23084" w:rsidRDefault="00E23084" w:rsidP="005604FE">
      <w:r>
        <w:lastRenderedPageBreak/>
        <w:t>Essas variações bruscas de pressão devem esmagar a maioria dos indivíduos, especialmente os organismos maiores, de estrutura corporal mais complexa. Não se descarta que alguns indivíduos possam sobreviver e se disseminar na represa receptora, somando aos vários processos naturais de transferência de organismos.</w:t>
      </w:r>
    </w:p>
    <w:p w:rsidR="00053E97" w:rsidRPr="00053E97" w:rsidRDefault="00053E97" w:rsidP="00053E97">
      <w:pPr>
        <w:autoSpaceDE w:val="0"/>
        <w:autoSpaceDN w:val="0"/>
        <w:adjustRightInd w:val="0"/>
      </w:pPr>
      <w:r w:rsidRPr="00053E97">
        <w:t>A transposição de águas de uma bacia para outra tem que ser considerada em termos dos riscos envolvidos sob o aspecto ecológico e sob o aspecto dos usos da água.</w:t>
      </w:r>
    </w:p>
    <w:p w:rsidR="00053E97" w:rsidRPr="00053E97" w:rsidRDefault="00053E97" w:rsidP="00053E97">
      <w:pPr>
        <w:autoSpaceDE w:val="0"/>
        <w:autoSpaceDN w:val="0"/>
        <w:adjustRightInd w:val="0"/>
      </w:pPr>
      <w:r w:rsidRPr="00053E97">
        <w:t>Sob o aspecto ecológico, o efeito da transposição depende do grau de similaridade entre as comunidades e do grupo de organismos considerado, e tem relação com a distância entre os ambientes e com suas características físicas.</w:t>
      </w:r>
    </w:p>
    <w:p w:rsidR="00AD2478" w:rsidRPr="00053E97" w:rsidRDefault="00053E97" w:rsidP="005604FE">
      <w:r w:rsidRPr="00053E97">
        <w:t>O</w:t>
      </w:r>
      <w:r w:rsidR="00AD2478" w:rsidRPr="00053E97">
        <w:t xml:space="preserve">s levantamentos disponíveis indicam que os dois reservatórios apresentam </w:t>
      </w:r>
      <w:r w:rsidR="00E23084" w:rsidRPr="00053E97">
        <w:t xml:space="preserve">comunidades de fito, zoo e ictiofauna </w:t>
      </w:r>
      <w:r w:rsidR="00AD2478" w:rsidRPr="00053E97">
        <w:t>com estruturas relativamente similares, embora com características próprias e maior riqueza no Atibainha.</w:t>
      </w:r>
      <w:r w:rsidR="00AF7F17" w:rsidRPr="00053E97">
        <w:t xml:space="preserve"> Nesses grupos, </w:t>
      </w:r>
      <w:r w:rsidR="00AD2478" w:rsidRPr="00053E97">
        <w:t>não foi identificada</w:t>
      </w:r>
      <w:r w:rsidR="00D21E3F" w:rsidRPr="00053E97">
        <w:t>,</w:t>
      </w:r>
      <w:r w:rsidR="00AD2478" w:rsidRPr="00053E97">
        <w:t xml:space="preserve"> </w:t>
      </w:r>
      <w:r w:rsidR="00D21E3F" w:rsidRPr="00053E97">
        <w:t xml:space="preserve">em uma das represas, </w:t>
      </w:r>
      <w:r w:rsidR="00AD2478" w:rsidRPr="00053E97">
        <w:t>espécie que apresente risco ambiental caso venha a se disseminar na outra bacia.</w:t>
      </w:r>
    </w:p>
    <w:p w:rsidR="00053E97" w:rsidRPr="00053E97" w:rsidRDefault="00053E97" w:rsidP="00053E97">
      <w:pPr>
        <w:autoSpaceDE w:val="0"/>
        <w:autoSpaceDN w:val="0"/>
        <w:adjustRightInd w:val="0"/>
      </w:pPr>
      <w:r w:rsidRPr="00053E97">
        <w:t>Outro aspecto a ser considerado sob o aspecto ecológico é o favorecimento para a dispersão de espécies exóticas ou bioinvasoras.</w:t>
      </w:r>
    </w:p>
    <w:p w:rsidR="00AF7F17" w:rsidRPr="00053E97" w:rsidRDefault="00053E97" w:rsidP="005604FE">
      <w:pPr>
        <w:rPr>
          <w:rFonts w:cs="Arial"/>
        </w:rPr>
      </w:pPr>
      <w:r w:rsidRPr="00053E97">
        <w:rPr>
          <w:rFonts w:cs="Arial"/>
        </w:rPr>
        <w:t xml:space="preserve">Na </w:t>
      </w:r>
      <w:r w:rsidR="00AF7F17" w:rsidRPr="00053E97">
        <w:rPr>
          <w:rFonts w:cs="Arial"/>
        </w:rPr>
        <w:t xml:space="preserve">comunidade bentônica foi identificada uma espécie invasora – o molusco gastrópode </w:t>
      </w:r>
      <w:r w:rsidR="00AF7F17" w:rsidRPr="00053E97">
        <w:rPr>
          <w:rFonts w:cs="Arial"/>
          <w:i/>
        </w:rPr>
        <w:t>Melanoides tuberculatus</w:t>
      </w:r>
      <w:r w:rsidR="00AF7F17" w:rsidRPr="00053E97">
        <w:rPr>
          <w:rFonts w:cs="Arial"/>
        </w:rPr>
        <w:t>, que tem também importância sanitária. Essa espécie está bastante disseminada mas, no presente caso, sabe-se de sua presença apenas no Jaguari, uma vez que não foi feita amostragem no Atibainha.</w:t>
      </w:r>
    </w:p>
    <w:p w:rsidR="00011143" w:rsidRPr="00053E97" w:rsidRDefault="00011143" w:rsidP="00011143">
      <w:pPr>
        <w:autoSpaceDE w:val="0"/>
        <w:autoSpaceDN w:val="0"/>
        <w:adjustRightInd w:val="0"/>
      </w:pPr>
      <w:r w:rsidRPr="00053E97">
        <w:t>Evidentemente a transposição favorece esse processo, mesmo considerando que o impacto físico do bombeamento das águas tende a matar os organismos, ou parte deles. Deve-se considerar também que esse molusco já está presente na bacia do Atibaia, no reservatório Salto Grande, e que sua dispersão para o Atibainha pode ocorrer</w:t>
      </w:r>
      <w:r w:rsidR="00260E01">
        <w:t xml:space="preserve"> a partir de diversos locais</w:t>
      </w:r>
      <w:r w:rsidRPr="00053E97">
        <w:t>, mesmo sem a transposição.</w:t>
      </w:r>
    </w:p>
    <w:p w:rsidR="00011143" w:rsidRPr="00053E97" w:rsidRDefault="00011143" w:rsidP="00011143">
      <w:pPr>
        <w:autoSpaceDE w:val="0"/>
        <w:autoSpaceDN w:val="0"/>
        <w:adjustRightInd w:val="0"/>
      </w:pPr>
      <w:r w:rsidRPr="00053E97">
        <w:t xml:space="preserve">Sob o ponto de vista dos usos da água e seus aspectos sanitários a transposição favorece o transporte de poluentes e, no que se refere aos organismos, de formas de resistência de organismos patogênicos ou de substâncias eliminadas por eles, como por exemplo as cianotoxinas liberadas pelas algas azuis, preocupação essa </w:t>
      </w:r>
      <w:r w:rsidR="00D21E3F" w:rsidRPr="00053E97">
        <w:t xml:space="preserve">que foi salientada </w:t>
      </w:r>
      <w:r w:rsidRPr="00053E97">
        <w:t xml:space="preserve">no caso da transposição da Billings para a Guarapiranga (MATSUZAKI, 2007). </w:t>
      </w:r>
      <w:r w:rsidR="00260E01">
        <w:t>Entretanto, as represas Jaguari e Atibainha apresentam valores muito baixos de cianobactérias, microcistinas e saxitoxinas, com o que esse risco não se faz presente neste caso.</w:t>
      </w:r>
    </w:p>
    <w:p w:rsidR="00011143" w:rsidRPr="00053E97" w:rsidRDefault="00011143" w:rsidP="00011143">
      <w:pPr>
        <w:autoSpaceDE w:val="0"/>
        <w:autoSpaceDN w:val="0"/>
        <w:adjustRightInd w:val="0"/>
      </w:pPr>
      <w:r w:rsidRPr="00053E97">
        <w:t xml:space="preserve">No caso das doenças associadas aos parasitas que utilizam o </w:t>
      </w:r>
      <w:r w:rsidRPr="00053E97">
        <w:rPr>
          <w:i/>
        </w:rPr>
        <w:t>Melanoides tuberculatus</w:t>
      </w:r>
      <w:r w:rsidRPr="00053E97">
        <w:t xml:space="preserve"> como hospedeiro intermediário, o risco está associado ao consumo cru ou mal cozido de organismos que se alimentam do molusco e que são o segundo hospedeiro intermediário do parasita, como certos crustáceos e peixes. Esse risco depende da taxa de infestação do molusco pelo parasita. </w:t>
      </w:r>
    </w:p>
    <w:p w:rsidR="00D21E3F" w:rsidRPr="00053E97" w:rsidRDefault="00011143" w:rsidP="00011143">
      <w:pPr>
        <w:autoSpaceDE w:val="0"/>
        <w:autoSpaceDN w:val="0"/>
        <w:adjustRightInd w:val="0"/>
      </w:pPr>
      <w:r w:rsidRPr="00053E97">
        <w:t>Com as informações atualmente disponíveis o risco biológico representado pela transposição proposta parece pequeno, mas não pode ser quantificado com precisão. Para isso são necessários estudos mais detalhados e precisos que não são praticáveis no âmbito de um processo de licenciamento</w:t>
      </w:r>
      <w:r w:rsidR="00D21E3F" w:rsidRPr="00053E97">
        <w:t>,</w:t>
      </w:r>
      <w:r w:rsidRPr="00053E97">
        <w:t xml:space="preserve"> mas que apontam para a necessidade de </w:t>
      </w:r>
      <w:r w:rsidR="00D21E3F" w:rsidRPr="00053E97">
        <w:t xml:space="preserve">programa </w:t>
      </w:r>
      <w:r w:rsidRPr="00053E97">
        <w:t>de estudo</w:t>
      </w:r>
      <w:r w:rsidR="00D21E3F" w:rsidRPr="00053E97">
        <w:t>s</w:t>
      </w:r>
      <w:r w:rsidRPr="00053E97">
        <w:t xml:space="preserve"> e monitoramento que </w:t>
      </w:r>
      <w:r w:rsidR="00D21E3F" w:rsidRPr="00053E97">
        <w:t>verifique e acompanhe, ao longo do tempo:</w:t>
      </w:r>
    </w:p>
    <w:p w:rsidR="006F329C" w:rsidRPr="00053E97" w:rsidRDefault="006F329C" w:rsidP="00D21E3F">
      <w:pPr>
        <w:pStyle w:val="PargrafodaLista"/>
        <w:numPr>
          <w:ilvl w:val="0"/>
          <w:numId w:val="34"/>
        </w:numPr>
        <w:autoSpaceDE w:val="0"/>
        <w:autoSpaceDN w:val="0"/>
        <w:adjustRightInd w:val="0"/>
        <w:ind w:left="357" w:hanging="357"/>
      </w:pPr>
      <w:r w:rsidRPr="00053E97">
        <w:t>A composição do fitoplâncton e zooplâncton em ambas represas;</w:t>
      </w:r>
    </w:p>
    <w:p w:rsidR="006F329C" w:rsidRPr="00053E97" w:rsidRDefault="006F329C" w:rsidP="00D21E3F">
      <w:pPr>
        <w:pStyle w:val="PargrafodaLista"/>
        <w:numPr>
          <w:ilvl w:val="0"/>
          <w:numId w:val="34"/>
        </w:numPr>
        <w:autoSpaceDE w:val="0"/>
        <w:autoSpaceDN w:val="0"/>
        <w:adjustRightInd w:val="0"/>
        <w:ind w:left="357" w:hanging="357"/>
      </w:pPr>
      <w:r w:rsidRPr="00053E97">
        <w:t>A composição da ictiofauna em ambas represas;</w:t>
      </w:r>
    </w:p>
    <w:p w:rsidR="00011143" w:rsidRPr="00053E97" w:rsidRDefault="00D21E3F" w:rsidP="00D21E3F">
      <w:pPr>
        <w:pStyle w:val="PargrafodaLista"/>
        <w:numPr>
          <w:ilvl w:val="0"/>
          <w:numId w:val="34"/>
        </w:numPr>
        <w:autoSpaceDE w:val="0"/>
        <w:autoSpaceDN w:val="0"/>
        <w:adjustRightInd w:val="0"/>
        <w:ind w:left="357" w:hanging="357"/>
      </w:pPr>
      <w:r w:rsidRPr="00053E97">
        <w:t xml:space="preserve">A presença e disseminação do </w:t>
      </w:r>
      <w:r w:rsidR="006F329C" w:rsidRPr="00053E97">
        <w:t xml:space="preserve">molusco </w:t>
      </w:r>
      <w:r w:rsidR="006F329C" w:rsidRPr="00053E97">
        <w:rPr>
          <w:i/>
        </w:rPr>
        <w:t>Melanoides tuberculatus</w:t>
      </w:r>
      <w:r w:rsidR="006F329C" w:rsidRPr="00053E97">
        <w:t xml:space="preserve">: (i) </w:t>
      </w:r>
      <w:r w:rsidRPr="00053E97">
        <w:t>no reservatório Jaguari e no rio Paraíba do Sul, a jusante;</w:t>
      </w:r>
      <w:r w:rsidR="006F329C" w:rsidRPr="00053E97">
        <w:t xml:space="preserve"> (ii) nos reservatórios Atibainha e Paiva Castro, e no rio Atibaia, a jusante do Atibainha;</w:t>
      </w:r>
    </w:p>
    <w:p w:rsidR="00D21E3F" w:rsidRDefault="00D21E3F" w:rsidP="00D21E3F">
      <w:pPr>
        <w:pStyle w:val="PargrafodaLista"/>
        <w:numPr>
          <w:ilvl w:val="0"/>
          <w:numId w:val="34"/>
        </w:numPr>
        <w:autoSpaceDE w:val="0"/>
        <w:autoSpaceDN w:val="0"/>
        <w:adjustRightInd w:val="0"/>
        <w:ind w:left="357" w:hanging="357"/>
      </w:pPr>
      <w:r w:rsidRPr="00053E97">
        <w:t xml:space="preserve">A ocorrência ou não de </w:t>
      </w:r>
      <w:r w:rsidR="006F329C" w:rsidRPr="00053E97">
        <w:t>infestação</w:t>
      </w:r>
      <w:r w:rsidRPr="00053E97">
        <w:t xml:space="preserve"> </w:t>
      </w:r>
      <w:r w:rsidR="006F329C" w:rsidRPr="00053E97">
        <w:t>por vermes trematódeos nos vários ambientes.</w:t>
      </w:r>
    </w:p>
    <w:p w:rsidR="00260E01" w:rsidRPr="00053E97" w:rsidRDefault="00260E01" w:rsidP="00260E01">
      <w:pPr>
        <w:autoSpaceDE w:val="0"/>
        <w:autoSpaceDN w:val="0"/>
        <w:adjustRightInd w:val="0"/>
      </w:pPr>
      <w:r>
        <w:t>Cabe salientar que nenhum dos fatores em pauta apresenta risco para a potabilidade da água que for produzida com participação de águas transpostas da represa Jaguari/CESP.</w:t>
      </w:r>
    </w:p>
    <w:p w:rsidR="009B0339" w:rsidRDefault="00A3238D" w:rsidP="009B0339">
      <w:pPr>
        <w:pStyle w:val="Ttulo3"/>
      </w:pPr>
      <w:bookmarkStart w:id="152" w:name="_Toc411871216"/>
      <w:r>
        <w:lastRenderedPageBreak/>
        <w:t>Áreas Naturais Protegidas</w:t>
      </w:r>
      <w:bookmarkEnd w:id="152"/>
    </w:p>
    <w:p w:rsidR="00A3238D" w:rsidRPr="00253E44" w:rsidRDefault="00A3238D" w:rsidP="00A3238D">
      <w:pPr>
        <w:pStyle w:val="Ttulo4"/>
      </w:pPr>
      <w:bookmarkStart w:id="153" w:name="_Toc411871217"/>
      <w:r>
        <w:t>Reservas da Biosfera – Unesco</w:t>
      </w:r>
      <w:bookmarkEnd w:id="153"/>
    </w:p>
    <w:p w:rsidR="00A3238D" w:rsidRDefault="00A3238D" w:rsidP="00A3238D">
      <w:pPr>
        <w:rPr>
          <w:rFonts w:eastAsia="MS Mincho" w:cs="Arial"/>
          <w:bCs/>
          <w:lang w:val="pt-PT"/>
        </w:rPr>
      </w:pPr>
      <w:r>
        <w:rPr>
          <w:rFonts w:eastAsia="MS Mincho" w:cs="Arial"/>
          <w:bCs/>
          <w:lang w:val="pt-PT"/>
        </w:rPr>
        <w:t>As Unidades de Conservação – U</w:t>
      </w:r>
      <w:r w:rsidR="007B5E9D">
        <w:rPr>
          <w:rFonts w:eastAsia="MS Mincho" w:cs="Arial"/>
          <w:bCs/>
          <w:lang w:val="pt-PT"/>
        </w:rPr>
        <w:t>C</w:t>
      </w:r>
      <w:r>
        <w:rPr>
          <w:rFonts w:eastAsia="MS Mincho" w:cs="Arial"/>
          <w:bCs/>
          <w:lang w:val="pt-PT"/>
        </w:rPr>
        <w:t xml:space="preserve">s, Zonas de Amortecimento e outras áreas protegidas presentes na região de inserção </w:t>
      </w:r>
      <w:r w:rsidRPr="0069310A">
        <w:rPr>
          <w:lang w:eastAsia="pt-BR"/>
        </w:rPr>
        <w:t xml:space="preserve">do </w:t>
      </w:r>
      <w:r w:rsidR="007B5E9D">
        <w:rPr>
          <w:lang w:eastAsia="pt-BR"/>
        </w:rPr>
        <w:t>P</w:t>
      </w:r>
      <w:r w:rsidR="007B5E9D" w:rsidRPr="0069310A">
        <w:rPr>
          <w:lang w:eastAsia="pt-BR"/>
        </w:rPr>
        <w:t xml:space="preserve">rojeto </w:t>
      </w:r>
      <w:r w:rsidRPr="0069310A">
        <w:rPr>
          <w:lang w:eastAsia="pt-BR"/>
        </w:rPr>
        <w:t>d</w:t>
      </w:r>
      <w:r>
        <w:rPr>
          <w:lang w:eastAsia="pt-BR"/>
        </w:rPr>
        <w:t>e</w:t>
      </w:r>
      <w:r w:rsidRPr="0069310A">
        <w:rPr>
          <w:lang w:eastAsia="pt-BR"/>
        </w:rPr>
        <w:t xml:space="preserve"> Interligação Jaguari Atibainha</w:t>
      </w:r>
      <w:r>
        <w:rPr>
          <w:rFonts w:eastAsia="MS Mincho" w:cs="Arial"/>
          <w:bCs/>
          <w:lang w:val="pt-PT"/>
        </w:rPr>
        <w:t xml:space="preserve"> são integrantes do território da Reserva da Biosfera do Cinturão Verde da Cidade de São Paulo (RBCVCSP), integrante da Reserva da Biosfera da Mata Atlântica </w:t>
      </w:r>
      <w:r w:rsidR="007B5E9D">
        <w:rPr>
          <w:rFonts w:eastAsia="MS Mincho" w:cs="Arial"/>
          <w:bCs/>
          <w:lang w:val="pt-PT"/>
        </w:rPr>
        <w:t>–</w:t>
      </w:r>
      <w:r>
        <w:rPr>
          <w:rFonts w:eastAsia="MS Mincho" w:cs="Arial"/>
          <w:bCs/>
          <w:lang w:val="pt-PT"/>
        </w:rPr>
        <w:t xml:space="preserve"> RBMA</w:t>
      </w:r>
      <w:r w:rsidR="007B5E9D">
        <w:rPr>
          <w:rFonts w:eastAsia="MS Mincho" w:cs="Arial"/>
          <w:bCs/>
          <w:lang w:val="pt-PT"/>
        </w:rPr>
        <w:t>,</w:t>
      </w:r>
      <w:r>
        <w:rPr>
          <w:rFonts w:eastAsia="MS Mincho" w:cs="Arial"/>
          <w:bCs/>
          <w:lang w:val="pt-PT"/>
        </w:rPr>
        <w:t xml:space="preserve"> e se encontram relacionadas entre as Áreas Prioritárias para Conservação, Uso Sustentável e Repartição dos Benefícios da Biodiversidade Brasileira (MMA/SBF</w:t>
      </w:r>
      <w:r w:rsidR="007B5E9D">
        <w:rPr>
          <w:rFonts w:eastAsia="MS Mincho" w:cs="Arial"/>
          <w:bCs/>
          <w:lang w:val="pt-PT"/>
        </w:rPr>
        <w:t>-</w:t>
      </w:r>
      <w:r>
        <w:rPr>
          <w:rFonts w:eastAsia="MS Mincho" w:cs="Arial"/>
          <w:bCs/>
          <w:lang w:val="pt-PT"/>
        </w:rPr>
        <w:t xml:space="preserve">2007). A </w:t>
      </w:r>
      <w:r w:rsidRPr="00D4125A">
        <w:rPr>
          <w:rFonts w:eastAsia="MS Mincho" w:cs="Arial"/>
          <w:bCs/>
          <w:lang w:val="pt-PT"/>
        </w:rPr>
        <w:t>Reserva da Biosfera do Cinturão Verde da Cidade de São Paulo</w:t>
      </w:r>
      <w:r>
        <w:rPr>
          <w:rFonts w:eastAsia="MS Mincho" w:cs="Arial"/>
          <w:bCs/>
          <w:lang w:val="pt-PT"/>
        </w:rPr>
        <w:t xml:space="preserve"> –</w:t>
      </w:r>
      <w:r w:rsidRPr="00AB20B4">
        <w:rPr>
          <w:rFonts w:eastAsia="MS Mincho" w:cs="Arial"/>
          <w:bCs/>
          <w:lang w:val="pt-PT"/>
        </w:rPr>
        <w:t xml:space="preserve"> RBCVCSP, integrante da</w:t>
      </w:r>
      <w:r>
        <w:rPr>
          <w:rFonts w:cs="Arial"/>
        </w:rPr>
        <w:t xml:space="preserve"> Rede Mundial de Reservas da Biosfera, do Programa </w:t>
      </w:r>
      <w:r w:rsidRPr="00AC0113">
        <w:rPr>
          <w:rFonts w:cs="Arial"/>
          <w:i/>
        </w:rPr>
        <w:t>Man and Biosphere</w:t>
      </w:r>
      <w:r>
        <w:rPr>
          <w:rFonts w:cs="Arial"/>
        </w:rPr>
        <w:t xml:space="preserve"> (O Homem e a Biosfera), foi instituída em 09/06/1994 pela Unesco, como parte integrante da Reserva da Biosfera da Mata Atlântica. Sua institucionalização plena, no âmbito do País, e do Estado de São Paulo, deu-se pela deliberação n</w:t>
      </w:r>
      <w:r w:rsidRPr="00607519">
        <w:rPr>
          <w:rFonts w:cs="Arial"/>
          <w:vertAlign w:val="superscript"/>
        </w:rPr>
        <w:t>o</w:t>
      </w:r>
      <w:r>
        <w:rPr>
          <w:rFonts w:cs="Arial"/>
        </w:rPr>
        <w:t xml:space="preserve"> 01/2005 de 04/05/2005 de seu Conselho de Gestão, criado pelo Decreto Estadual n</w:t>
      </w:r>
      <w:r w:rsidRPr="00607519">
        <w:rPr>
          <w:rFonts w:cs="Arial"/>
          <w:vertAlign w:val="superscript"/>
        </w:rPr>
        <w:t>o</w:t>
      </w:r>
      <w:r>
        <w:rPr>
          <w:rFonts w:cs="Arial"/>
        </w:rPr>
        <w:t xml:space="preserve"> 47.094, de 18/09/2002, que, por sua vez, se ampara na Lei Federal n</w:t>
      </w:r>
      <w:r w:rsidRPr="00607519">
        <w:rPr>
          <w:rFonts w:cs="Arial"/>
          <w:vertAlign w:val="superscript"/>
        </w:rPr>
        <w:t>o</w:t>
      </w:r>
      <w:r>
        <w:rPr>
          <w:rFonts w:cs="Arial"/>
        </w:rPr>
        <w:t xml:space="preserve"> 9.985, de 18/07/2000 que criou o Sistema Nacional de Unidades de Conservação (SNUC) e em sua regulamentação, dada pelo Decreto Federal n</w:t>
      </w:r>
      <w:r w:rsidRPr="00607519">
        <w:rPr>
          <w:rFonts w:cs="Arial"/>
          <w:vertAlign w:val="superscript"/>
        </w:rPr>
        <w:t>o</w:t>
      </w:r>
      <w:r>
        <w:rPr>
          <w:rFonts w:cs="Arial"/>
        </w:rPr>
        <w:t xml:space="preserve"> 4.340, de 22/08/2002.</w:t>
      </w:r>
    </w:p>
    <w:p w:rsidR="00A3238D" w:rsidRPr="00AB20B4" w:rsidRDefault="00A3238D" w:rsidP="00A3238D">
      <w:pPr>
        <w:rPr>
          <w:rFonts w:eastAsia="MS Mincho" w:cs="Arial"/>
          <w:bCs/>
          <w:lang w:val="pt-PT"/>
        </w:rPr>
      </w:pPr>
      <w:r w:rsidRPr="00AB20B4">
        <w:rPr>
          <w:rFonts w:eastAsia="MS Mincho" w:cs="Arial"/>
          <w:bCs/>
          <w:lang w:val="pt-PT"/>
        </w:rPr>
        <w:t>As atividades e os projetos da RBMA na área de superposição são preferencialmente executados pela coordenação da RBCV</w:t>
      </w:r>
      <w:r w:rsidR="007B5E9D">
        <w:rPr>
          <w:rFonts w:eastAsia="MS Mincho" w:cs="Arial"/>
          <w:bCs/>
          <w:lang w:val="pt-PT"/>
        </w:rPr>
        <w:t>C</w:t>
      </w:r>
      <w:r w:rsidRPr="00AB20B4">
        <w:rPr>
          <w:rFonts w:eastAsia="MS Mincho" w:cs="Arial"/>
          <w:bCs/>
          <w:lang w:val="pt-PT"/>
        </w:rPr>
        <w:t>SP, cuja sede situa-se juntamente com a Secretaria Executiva do CN-RBMA no Horto Florestal de São Paulo.</w:t>
      </w:r>
      <w:r>
        <w:rPr>
          <w:rFonts w:eastAsia="MS Mincho" w:cs="Arial"/>
          <w:bCs/>
          <w:lang w:val="pt-PT"/>
        </w:rPr>
        <w:t xml:space="preserve"> </w:t>
      </w:r>
      <w:r w:rsidRPr="005223B5">
        <w:rPr>
          <w:rFonts w:eastAsia="MS Mincho" w:cs="Arial"/>
          <w:bCs/>
          <w:lang w:val="pt-PT"/>
        </w:rPr>
        <w:t>As ações da RBCV</w:t>
      </w:r>
      <w:r w:rsidR="007B5E9D">
        <w:rPr>
          <w:rFonts w:eastAsia="MS Mincho" w:cs="Arial"/>
          <w:bCs/>
          <w:lang w:val="pt-PT"/>
        </w:rPr>
        <w:t>C</w:t>
      </w:r>
      <w:r w:rsidRPr="005223B5">
        <w:rPr>
          <w:rFonts w:eastAsia="MS Mincho" w:cs="Arial"/>
          <w:bCs/>
          <w:lang w:val="pt-PT"/>
        </w:rPr>
        <w:t xml:space="preserve">SP se concentram em </w:t>
      </w:r>
      <w:r>
        <w:rPr>
          <w:rFonts w:eastAsia="MS Mincho" w:cs="Arial"/>
          <w:bCs/>
          <w:lang w:val="pt-PT"/>
        </w:rPr>
        <w:t>dois</w:t>
      </w:r>
      <w:r w:rsidRPr="005223B5">
        <w:rPr>
          <w:rFonts w:eastAsia="MS Mincho" w:cs="Arial"/>
          <w:bCs/>
          <w:lang w:val="pt-PT"/>
        </w:rPr>
        <w:t xml:space="preserve"> focos principais: o “Programa de Jovens”</w:t>
      </w:r>
      <w:r w:rsidR="007B5E9D">
        <w:rPr>
          <w:rFonts w:eastAsia="MS Mincho" w:cs="Arial"/>
          <w:bCs/>
          <w:lang w:val="pt-PT"/>
        </w:rPr>
        <w:t>,</w:t>
      </w:r>
      <w:r w:rsidRPr="005223B5">
        <w:rPr>
          <w:rFonts w:eastAsia="MS Mincho" w:cs="Arial"/>
          <w:bCs/>
          <w:lang w:val="pt-PT"/>
        </w:rPr>
        <w:t xml:space="preserve"> que promove a inserção social e cursos ecoprofissionalizantes para jovens de regiões periurbanas, e o estudo dos serviços ambientais (água, clima, carbono, etc.) gerados pela Mata Atlântica no entorno das cidades. Esses estudos compõem um dos projetos piloto da “Avaliação do Milênio”</w:t>
      </w:r>
      <w:r>
        <w:rPr>
          <w:rFonts w:eastAsia="MS Mincho" w:cs="Arial"/>
          <w:bCs/>
          <w:lang w:val="pt-PT"/>
        </w:rPr>
        <w:t>,</w:t>
      </w:r>
      <w:r w:rsidRPr="005223B5">
        <w:rPr>
          <w:rFonts w:eastAsia="MS Mincho" w:cs="Arial"/>
          <w:bCs/>
          <w:lang w:val="pt-PT"/>
        </w:rPr>
        <w:t xml:space="preserve"> que envolve a análise global dos ecossistemas.</w:t>
      </w:r>
    </w:p>
    <w:p w:rsidR="00A3238D" w:rsidRDefault="00A3238D" w:rsidP="00A3238D">
      <w:pPr>
        <w:rPr>
          <w:rFonts w:cs="Arial"/>
        </w:rPr>
      </w:pPr>
      <w:r>
        <w:rPr>
          <w:rFonts w:cs="Arial"/>
        </w:rPr>
        <w:t xml:space="preserve">A RBCVCSP </w:t>
      </w:r>
      <w:r w:rsidRPr="00DC50E0">
        <w:rPr>
          <w:rFonts w:cs="Arial"/>
        </w:rPr>
        <w:t>compreende 7</w:t>
      </w:r>
      <w:r>
        <w:rPr>
          <w:rFonts w:cs="Arial"/>
        </w:rPr>
        <w:t>2 municípios agrupados em torno da cidade de São Paulo. De acordo com os preceitos do Programa MAB, a RBCV</w:t>
      </w:r>
      <w:r w:rsidR="007B5E9D">
        <w:rPr>
          <w:rFonts w:cs="Arial"/>
        </w:rPr>
        <w:t>C</w:t>
      </w:r>
      <w:r>
        <w:rPr>
          <w:rFonts w:cs="Arial"/>
        </w:rPr>
        <w:t>SP compreende três tipos de zonas:</w:t>
      </w:r>
    </w:p>
    <w:p w:rsidR="00A3238D" w:rsidRDefault="00A3238D" w:rsidP="00A3238D">
      <w:pPr>
        <w:rPr>
          <w:rFonts w:cs="Arial"/>
        </w:rPr>
      </w:pPr>
      <w:r w:rsidRPr="008913A1">
        <w:rPr>
          <w:rFonts w:cs="Arial"/>
          <w:u w:val="single"/>
        </w:rPr>
        <w:t>Zonas Núcleo</w:t>
      </w:r>
      <w:r>
        <w:rPr>
          <w:rFonts w:cs="Arial"/>
        </w:rPr>
        <w:t>: representam áreas significativas de ecossistemas específicos. No caso da RBCVCSP, as Zonas Núcleo são em sua maioria compostas por Unidades de Conservação Estaduais, englobando principalmente remanescentes da Mata Atlântica e algumas áreas de Cerrado. A maior parte destas Zonas Núcleo está sob a administração direta da Fundação</w:t>
      </w:r>
      <w:r w:rsidRPr="00D4125A">
        <w:rPr>
          <w:rFonts w:cs="Arial"/>
          <w:highlight w:val="yellow"/>
        </w:rPr>
        <w:t xml:space="preserve"> </w:t>
      </w:r>
      <w:r w:rsidRPr="00394C1E">
        <w:rPr>
          <w:rFonts w:cs="Arial"/>
        </w:rPr>
        <w:t>Florestal, órgão</w:t>
      </w:r>
      <w:r>
        <w:rPr>
          <w:rFonts w:cs="Arial"/>
        </w:rPr>
        <w:t xml:space="preserve"> da </w:t>
      </w:r>
      <w:r w:rsidR="007B5E9D">
        <w:rPr>
          <w:rFonts w:cs="Arial"/>
        </w:rPr>
        <w:t>SMA-SP</w:t>
      </w:r>
      <w:r>
        <w:rPr>
          <w:rFonts w:cs="Arial"/>
        </w:rPr>
        <w:t xml:space="preserve">. </w:t>
      </w:r>
    </w:p>
    <w:p w:rsidR="00A3238D" w:rsidRDefault="00A3238D" w:rsidP="00A3238D">
      <w:pPr>
        <w:rPr>
          <w:rFonts w:cs="Arial"/>
        </w:rPr>
      </w:pPr>
      <w:r w:rsidRPr="008913A1">
        <w:rPr>
          <w:rFonts w:cs="Arial"/>
          <w:u w:val="single"/>
        </w:rPr>
        <w:t xml:space="preserve">Zonas </w:t>
      </w:r>
      <w:r>
        <w:rPr>
          <w:rFonts w:cs="Arial"/>
          <w:u w:val="single"/>
        </w:rPr>
        <w:t xml:space="preserve">de Amortecimento ou </w:t>
      </w:r>
      <w:r w:rsidRPr="008913A1">
        <w:rPr>
          <w:rFonts w:cs="Arial"/>
          <w:u w:val="single"/>
        </w:rPr>
        <w:t>Tampão</w:t>
      </w:r>
      <w:r>
        <w:rPr>
          <w:rFonts w:cs="Arial"/>
        </w:rPr>
        <w:t>: são constituídas por áreas adjacentes às Zonas Núcleo. Nestas áreas, todas as atividades desenvolvidas, sejam econômicas ou de qualquer outra natureza, devem adequar</w:t>
      </w:r>
      <w:r w:rsidR="007B5E9D">
        <w:rPr>
          <w:rFonts w:cs="Arial"/>
        </w:rPr>
        <w:t>-se</w:t>
      </w:r>
      <w:r>
        <w:rPr>
          <w:rFonts w:cs="Arial"/>
        </w:rPr>
        <w:t xml:space="preserve"> às características de cada Zona Núcleo de forma a garantir uma total preservação dos ecossistemas envolvidos. As Zonas Tampão da RBCVCSP abrigam outros espaços possuídos ou não pelo Estado, como Áreas de Proteção de Mananciais (APRMs) e Áreas de Proteção Ambiental (APAs).</w:t>
      </w:r>
    </w:p>
    <w:p w:rsidR="00A3238D" w:rsidRDefault="00A3238D" w:rsidP="00A3238D">
      <w:pPr>
        <w:rPr>
          <w:rFonts w:cs="Arial"/>
        </w:rPr>
      </w:pPr>
      <w:r w:rsidRPr="008913A1">
        <w:rPr>
          <w:rFonts w:cs="Arial"/>
          <w:u w:val="single"/>
        </w:rPr>
        <w:t>Zonas de Transição</w:t>
      </w:r>
      <w:r>
        <w:rPr>
          <w:rFonts w:cs="Arial"/>
        </w:rPr>
        <w:t xml:space="preserve">: são constituídas por áreas externas às Zonas Tampão e permitem um uso mais intensivo, porém não destrutivo, do solo e seus recursos ambientais. Nestas áreas os preceitos do Programa MAB estimulam práticas voltadas para o Desenvolvimento Sustentável. </w:t>
      </w:r>
    </w:p>
    <w:p w:rsidR="00A3238D" w:rsidRDefault="00F05FCB" w:rsidP="00A3238D">
      <w:pPr>
        <w:rPr>
          <w:rFonts w:cs="Arial"/>
        </w:rPr>
      </w:pPr>
      <w:r>
        <w:rPr>
          <w:rFonts w:eastAsia="MS Mincho" w:cs="Arial"/>
          <w:bCs/>
          <w:lang w:val="pt-PT"/>
        </w:rPr>
        <w:t xml:space="preserve">A </w:t>
      </w:r>
      <w:r w:rsidR="00A3238D" w:rsidRPr="00A702DC">
        <w:rPr>
          <w:rFonts w:eastAsia="MS Mincho" w:cs="Arial"/>
          <w:b/>
          <w:bCs/>
          <w:lang w:val="pt-PT"/>
        </w:rPr>
        <w:t>Figura</w:t>
      </w:r>
      <w:r w:rsidR="00002970" w:rsidRPr="00A702DC">
        <w:rPr>
          <w:rFonts w:eastAsia="MS Mincho" w:cs="Arial"/>
          <w:b/>
          <w:bCs/>
          <w:lang w:val="pt-PT"/>
        </w:rPr>
        <w:t xml:space="preserve"> </w:t>
      </w:r>
      <w:r w:rsidR="00A702DC" w:rsidRPr="00A702DC">
        <w:rPr>
          <w:rFonts w:eastAsia="MS Mincho" w:cs="Arial"/>
          <w:b/>
          <w:bCs/>
          <w:lang w:val="pt-PT"/>
        </w:rPr>
        <w:t>6.4.6</w:t>
      </w:r>
      <w:r w:rsidR="00A702DC">
        <w:rPr>
          <w:rFonts w:eastAsia="MS Mincho" w:cs="Arial"/>
          <w:b/>
          <w:bCs/>
          <w:lang w:val="pt-PT"/>
        </w:rPr>
        <w:t>-1</w:t>
      </w:r>
      <w:r w:rsidR="00A3238D" w:rsidRPr="008E7C57">
        <w:rPr>
          <w:rFonts w:eastAsia="MS Mincho" w:cs="Arial"/>
          <w:b/>
          <w:bCs/>
          <w:lang w:val="pt-PT"/>
        </w:rPr>
        <w:t xml:space="preserve"> </w:t>
      </w:r>
      <w:r w:rsidR="007B5E9D" w:rsidRPr="007B5E9D">
        <w:rPr>
          <w:rFonts w:eastAsia="MS Mincho" w:cs="Arial"/>
          <w:bCs/>
          <w:lang w:val="pt-PT"/>
        </w:rPr>
        <w:t>es</w:t>
      </w:r>
      <w:r w:rsidR="00002970">
        <w:rPr>
          <w:rFonts w:eastAsia="MS Mincho" w:cs="Arial"/>
          <w:bCs/>
          <w:lang w:val="pt-PT"/>
        </w:rPr>
        <w:t>cala 1:</w:t>
      </w:r>
      <w:r w:rsidR="007B5E9D">
        <w:rPr>
          <w:rFonts w:eastAsia="MS Mincho" w:cs="Arial"/>
          <w:bCs/>
          <w:lang w:val="pt-PT"/>
        </w:rPr>
        <w:t xml:space="preserve">250.000 </w:t>
      </w:r>
      <w:r>
        <w:rPr>
          <w:rFonts w:eastAsia="MS Mincho" w:cs="Arial"/>
          <w:bCs/>
          <w:lang w:val="pt-PT"/>
        </w:rPr>
        <w:t xml:space="preserve">apresenta </w:t>
      </w:r>
      <w:r w:rsidR="00A3238D">
        <w:rPr>
          <w:rFonts w:eastAsia="MS Mincho" w:cs="Arial"/>
          <w:bCs/>
          <w:lang w:val="pt-PT"/>
        </w:rPr>
        <w:t xml:space="preserve">o eixo do empreendimento em relação ao território da RBCVCSP. </w:t>
      </w:r>
      <w:r w:rsidR="00A3238D">
        <w:rPr>
          <w:rFonts w:cs="Arial"/>
        </w:rPr>
        <w:t xml:space="preserve">Observa-se que o traçado da </w:t>
      </w:r>
      <w:r w:rsidR="007B5E9D">
        <w:rPr>
          <w:rFonts w:cs="Arial"/>
        </w:rPr>
        <w:t>I</w:t>
      </w:r>
      <w:r w:rsidR="00A3238D">
        <w:rPr>
          <w:rFonts w:cs="Arial"/>
        </w:rPr>
        <w:t>nterligação</w:t>
      </w:r>
      <w:r w:rsidR="007B5E9D">
        <w:rPr>
          <w:rFonts w:cs="Arial"/>
        </w:rPr>
        <w:t>, vias de acesso local</w:t>
      </w:r>
      <w:r w:rsidR="00A3238D">
        <w:rPr>
          <w:rFonts w:cs="Arial"/>
        </w:rPr>
        <w:t xml:space="preserve"> e demais instalações do empreendimento se encontram totalmente em terrenos d</w:t>
      </w:r>
      <w:r w:rsidR="00A3238D" w:rsidRPr="00773AFF">
        <w:rPr>
          <w:rFonts w:cs="Arial"/>
        </w:rPr>
        <w:t xml:space="preserve">a </w:t>
      </w:r>
      <w:r w:rsidR="00A3238D" w:rsidRPr="000F0F6C">
        <w:rPr>
          <w:rFonts w:cs="Arial"/>
          <w:u w:val="single"/>
        </w:rPr>
        <w:t xml:space="preserve">Zona de Amortecimento (Zona Tampão) </w:t>
      </w:r>
      <w:r w:rsidR="00A3238D" w:rsidRPr="007B5E9D">
        <w:rPr>
          <w:rFonts w:cs="Arial"/>
          <w:u w:val="single"/>
        </w:rPr>
        <w:t xml:space="preserve">da </w:t>
      </w:r>
      <w:r w:rsidR="007B5E9D" w:rsidRPr="007B5E9D">
        <w:rPr>
          <w:rFonts w:cs="Arial"/>
          <w:u w:val="single"/>
        </w:rPr>
        <w:t>RBCVCSP</w:t>
      </w:r>
      <w:r w:rsidR="00A3238D">
        <w:rPr>
          <w:rFonts w:cs="Arial"/>
        </w:rPr>
        <w:t>.</w:t>
      </w:r>
    </w:p>
    <w:p w:rsidR="00A3238D" w:rsidRDefault="00A3238D" w:rsidP="0098722C">
      <w:pPr>
        <w:rPr>
          <w:lang w:val="pt-PT"/>
        </w:rPr>
      </w:pPr>
      <w:r w:rsidRPr="00CA560A">
        <w:rPr>
          <w:lang w:val="pt-PT"/>
        </w:rPr>
        <w:t>No Art. 41 da Lei nº 9</w:t>
      </w:r>
      <w:r>
        <w:rPr>
          <w:lang w:val="pt-PT"/>
        </w:rPr>
        <w:t>.</w:t>
      </w:r>
      <w:r w:rsidRPr="00CA560A">
        <w:rPr>
          <w:lang w:val="pt-PT"/>
        </w:rPr>
        <w:t>985</w:t>
      </w:r>
      <w:r>
        <w:rPr>
          <w:lang w:val="pt-PT"/>
        </w:rPr>
        <w:t xml:space="preserve">, que instituiu o SNUC, </w:t>
      </w:r>
      <w:r w:rsidRPr="00CA560A">
        <w:rPr>
          <w:lang w:val="pt-PT"/>
        </w:rPr>
        <w:t>a Reserva da Biosfera é definida como um modelo, adotado internacionalmente, de gestão integrada, participativa e sustentável dos recursos naturais, com os objetivos básicos de preservação da diversidade biológica, o desenvolvimento de atividades de pesquisa, o monitoramento a</w:t>
      </w:r>
      <w:r>
        <w:rPr>
          <w:lang w:val="pt-PT"/>
        </w:rPr>
        <w:t xml:space="preserve">mbiental, a educação ambiental, </w:t>
      </w:r>
      <w:r w:rsidRPr="00CA560A">
        <w:rPr>
          <w:lang w:val="pt-PT"/>
        </w:rPr>
        <w:t xml:space="preserve">o desenvolvimento sustentável e a melhoria da qualidade de vida das populações. Segundo os termos da lei, a Reserva da Biosfera é constituída por uma ou várias </w:t>
      </w:r>
      <w:r>
        <w:rPr>
          <w:lang w:val="pt-PT"/>
        </w:rPr>
        <w:t>Z</w:t>
      </w:r>
      <w:r w:rsidRPr="00CA560A">
        <w:rPr>
          <w:lang w:val="pt-PT"/>
        </w:rPr>
        <w:t xml:space="preserve">onas de </w:t>
      </w:r>
      <w:r>
        <w:rPr>
          <w:lang w:val="pt-PT"/>
        </w:rPr>
        <w:t>A</w:t>
      </w:r>
      <w:r w:rsidRPr="00CA560A">
        <w:rPr>
          <w:lang w:val="pt-PT"/>
        </w:rPr>
        <w:t>mortecimento, onde só são admitidas atividades que não resultem em dano para as áreas-núcleo</w:t>
      </w:r>
      <w:r w:rsidRPr="008A1400">
        <w:rPr>
          <w:lang w:val="pt-PT"/>
        </w:rPr>
        <w:t>.</w:t>
      </w:r>
    </w:p>
    <w:p w:rsidR="00F05FCB" w:rsidRPr="007938F3" w:rsidRDefault="00F05FCB" w:rsidP="00F05FCB">
      <w:pPr>
        <w:rPr>
          <w:b/>
          <w:lang w:val="pt-PT"/>
        </w:rPr>
      </w:pPr>
      <w:r w:rsidRPr="007938F3">
        <w:rPr>
          <w:b/>
          <w:highlight w:val="yellow"/>
          <w:lang w:val="pt-PT"/>
        </w:rPr>
        <w:lastRenderedPageBreak/>
        <w:t>Figura 6.4.6-1</w:t>
      </w:r>
      <w:r w:rsidR="007938F3" w:rsidRPr="007938F3">
        <w:rPr>
          <w:b/>
          <w:highlight w:val="yellow"/>
          <w:lang w:val="pt-PT"/>
        </w:rPr>
        <w:t xml:space="preserve">. </w:t>
      </w:r>
      <w:r w:rsidR="007938F3" w:rsidRPr="007938F3">
        <w:rPr>
          <w:b/>
          <w:highlight w:val="yellow"/>
        </w:rPr>
        <w:t>Reserva da Biosfera do Cinturão Verde da Cidade de São Paulo – RBCVSP</w:t>
      </w:r>
      <w:r w:rsidRPr="007938F3">
        <w:rPr>
          <w:b/>
          <w:lang w:val="pt-PT"/>
        </w:rPr>
        <w:t xml:space="preserve"> </w:t>
      </w:r>
    </w:p>
    <w:p w:rsidR="00F05FCB" w:rsidRDefault="00F05FCB">
      <w:pPr>
        <w:spacing w:after="200" w:line="276" w:lineRule="auto"/>
        <w:jc w:val="left"/>
        <w:rPr>
          <w:lang w:val="pt-PT"/>
        </w:rPr>
      </w:pPr>
      <w:r>
        <w:rPr>
          <w:lang w:val="pt-PT"/>
        </w:rPr>
        <w:br w:type="page"/>
      </w:r>
    </w:p>
    <w:p w:rsidR="0098722C" w:rsidRDefault="0098722C" w:rsidP="00FA7BDB">
      <w:pPr>
        <w:rPr>
          <w:lang w:val="pt-PT"/>
        </w:rPr>
      </w:pPr>
      <w:r>
        <w:rPr>
          <w:lang w:val="pt-PT"/>
        </w:rPr>
        <w:lastRenderedPageBreak/>
        <w:t>Pelo conceito de área</w:t>
      </w:r>
      <w:r w:rsidR="00A65D24">
        <w:rPr>
          <w:lang w:val="pt-PT"/>
        </w:rPr>
        <w:t>-</w:t>
      </w:r>
      <w:r>
        <w:rPr>
          <w:lang w:val="pt-PT"/>
        </w:rPr>
        <w:t xml:space="preserve">núcleo, </w:t>
      </w:r>
      <w:r w:rsidR="00A65D24">
        <w:rPr>
          <w:lang w:val="pt-PT"/>
        </w:rPr>
        <w:t xml:space="preserve">destinada à proteção integral da natureza, </w:t>
      </w:r>
      <w:r>
        <w:rPr>
          <w:lang w:val="pt-PT"/>
        </w:rPr>
        <w:t xml:space="preserve">a mais próxima </w:t>
      </w:r>
      <w:r w:rsidR="00A65D24">
        <w:rPr>
          <w:lang w:val="pt-PT"/>
        </w:rPr>
        <w:t>seria</w:t>
      </w:r>
      <w:r>
        <w:rPr>
          <w:lang w:val="pt-PT"/>
        </w:rPr>
        <w:t xml:space="preserve"> o Parque Estadual Itaberaba</w:t>
      </w:r>
      <w:r w:rsidR="00A65D24">
        <w:rPr>
          <w:lang w:val="pt-PT"/>
        </w:rPr>
        <w:t xml:space="preserve">. O traçado da adutora da Interligação situa-se a mais de 2 km do limite do Parque, no ponto de maior proximidade, e todos os </w:t>
      </w:r>
      <w:r w:rsidR="00FA7BDB">
        <w:rPr>
          <w:lang w:val="pt-PT"/>
        </w:rPr>
        <w:t xml:space="preserve">pequenos </w:t>
      </w:r>
      <w:r w:rsidR="00A65D24">
        <w:rPr>
          <w:lang w:val="pt-PT"/>
        </w:rPr>
        <w:t xml:space="preserve">cursos d’água </w:t>
      </w:r>
      <w:r w:rsidR="00FA7BDB">
        <w:rPr>
          <w:lang w:val="pt-PT"/>
        </w:rPr>
        <w:t>que cortam o traçado nascem fora do Parque e drenam para fora dele, em sentido norte. Nesse trecho, o limite municipal Santa Isabel – Igaratá acompanha o divisor de águas local.</w:t>
      </w:r>
    </w:p>
    <w:p w:rsidR="00FA7BDB" w:rsidRDefault="00FA7BDB" w:rsidP="00FA7BDB">
      <w:pPr>
        <w:rPr>
          <w:lang w:val="pt-PT"/>
        </w:rPr>
      </w:pPr>
      <w:r>
        <w:rPr>
          <w:lang w:val="pt-PT"/>
        </w:rPr>
        <w:t>Portanto, a obra de implantação da Interligação não interfer</w:t>
      </w:r>
      <w:r w:rsidR="00245262">
        <w:rPr>
          <w:lang w:val="pt-PT"/>
        </w:rPr>
        <w:t>e</w:t>
      </w:r>
      <w:r>
        <w:rPr>
          <w:lang w:val="pt-PT"/>
        </w:rPr>
        <w:t xml:space="preserve"> em áreas-núcleo da Reserva da Biosfera, sendo sua construção e presença </w:t>
      </w:r>
      <w:r w:rsidR="00245262">
        <w:rPr>
          <w:lang w:val="pt-PT"/>
        </w:rPr>
        <w:t>admissível na Z</w:t>
      </w:r>
      <w:r w:rsidR="00245262" w:rsidRPr="00CA560A">
        <w:rPr>
          <w:lang w:val="pt-PT"/>
        </w:rPr>
        <w:t xml:space="preserve">ona de </w:t>
      </w:r>
      <w:r w:rsidR="00245262">
        <w:rPr>
          <w:lang w:val="pt-PT"/>
        </w:rPr>
        <w:t>A</w:t>
      </w:r>
      <w:r w:rsidR="00245262" w:rsidRPr="00CA560A">
        <w:rPr>
          <w:lang w:val="pt-PT"/>
        </w:rPr>
        <w:t>mortecimento</w:t>
      </w:r>
      <w:r w:rsidR="00245262">
        <w:rPr>
          <w:lang w:val="pt-PT"/>
        </w:rPr>
        <w:t xml:space="preserve"> da </w:t>
      </w:r>
      <w:r w:rsidR="00245262">
        <w:rPr>
          <w:rFonts w:eastAsia="MS Mincho" w:cs="Arial"/>
          <w:bCs/>
          <w:lang w:val="pt-PT"/>
        </w:rPr>
        <w:t>RBCVCSP.</w:t>
      </w:r>
    </w:p>
    <w:p w:rsidR="00A3238D" w:rsidRPr="00253E44" w:rsidRDefault="00A3238D" w:rsidP="00A3238D">
      <w:pPr>
        <w:pStyle w:val="Ttulo4"/>
      </w:pPr>
      <w:bookmarkStart w:id="154" w:name="_Toc411871218"/>
      <w:r w:rsidRPr="00253E44">
        <w:t xml:space="preserve">Unidades de Conservação </w:t>
      </w:r>
      <w:r w:rsidR="007B5E9D">
        <w:t>do</w:t>
      </w:r>
      <w:r>
        <w:t xml:space="preserve"> </w:t>
      </w:r>
      <w:r w:rsidRPr="00253E44">
        <w:t>SNUC</w:t>
      </w:r>
      <w:bookmarkEnd w:id="154"/>
    </w:p>
    <w:p w:rsidR="00B13BF5" w:rsidRDefault="00A3238D" w:rsidP="00A3238D">
      <w:pPr>
        <w:rPr>
          <w:lang w:eastAsia="pt-BR"/>
        </w:rPr>
      </w:pPr>
      <w:r>
        <w:rPr>
          <w:lang w:eastAsia="pt-BR"/>
        </w:rPr>
        <w:t xml:space="preserve">Na região do </w:t>
      </w:r>
      <w:r w:rsidR="007B5E9D">
        <w:rPr>
          <w:lang w:eastAsia="pt-BR"/>
        </w:rPr>
        <w:t xml:space="preserve">Projeto </w:t>
      </w:r>
      <w:r>
        <w:rPr>
          <w:lang w:eastAsia="pt-BR"/>
        </w:rPr>
        <w:t xml:space="preserve">da Interligação </w:t>
      </w:r>
      <w:r w:rsidRPr="0069310A">
        <w:rPr>
          <w:lang w:eastAsia="pt-BR"/>
        </w:rPr>
        <w:t>Jaguari</w:t>
      </w:r>
      <w:r>
        <w:rPr>
          <w:lang w:eastAsia="pt-BR"/>
        </w:rPr>
        <w:t xml:space="preserve"> </w:t>
      </w:r>
      <w:r w:rsidRPr="0069310A">
        <w:rPr>
          <w:lang w:eastAsia="pt-BR"/>
        </w:rPr>
        <w:t xml:space="preserve">Atibainha </w:t>
      </w:r>
      <w:r>
        <w:rPr>
          <w:lang w:eastAsia="pt-BR"/>
        </w:rPr>
        <w:t>observa-se a presença de áreas naturais protegidas</w:t>
      </w:r>
      <w:r w:rsidRPr="0069310A">
        <w:rPr>
          <w:lang w:eastAsia="pt-BR"/>
        </w:rPr>
        <w:t xml:space="preserve"> </w:t>
      </w:r>
      <w:r>
        <w:rPr>
          <w:lang w:eastAsia="pt-BR"/>
        </w:rPr>
        <w:t xml:space="preserve">na forma de </w:t>
      </w:r>
      <w:r w:rsidRPr="0069310A">
        <w:rPr>
          <w:lang w:eastAsia="pt-BR"/>
        </w:rPr>
        <w:t xml:space="preserve">unidades de conservação </w:t>
      </w:r>
      <w:r>
        <w:rPr>
          <w:lang w:eastAsia="pt-BR"/>
        </w:rPr>
        <w:t>(UCs) integrantes do Sistema Nacional de Unidades de Conservação (</w:t>
      </w:r>
      <w:r w:rsidRPr="0069310A">
        <w:rPr>
          <w:lang w:eastAsia="pt-BR"/>
        </w:rPr>
        <w:t>SNUC</w:t>
      </w:r>
      <w:r>
        <w:rPr>
          <w:lang w:eastAsia="pt-BR"/>
        </w:rPr>
        <w:t xml:space="preserve">), </w:t>
      </w:r>
      <w:r w:rsidRPr="00950672">
        <w:rPr>
          <w:lang w:eastAsia="pt-BR"/>
        </w:rPr>
        <w:t xml:space="preserve">sendo </w:t>
      </w:r>
      <w:r>
        <w:rPr>
          <w:lang w:eastAsia="pt-BR"/>
        </w:rPr>
        <w:t>4</w:t>
      </w:r>
      <w:r w:rsidRPr="00950672">
        <w:rPr>
          <w:lang w:eastAsia="pt-BR"/>
        </w:rPr>
        <w:t xml:space="preserve"> </w:t>
      </w:r>
      <w:r>
        <w:rPr>
          <w:lang w:eastAsia="pt-BR"/>
        </w:rPr>
        <w:t xml:space="preserve">UCs </w:t>
      </w:r>
      <w:r w:rsidRPr="00950672">
        <w:rPr>
          <w:lang w:eastAsia="pt-BR"/>
        </w:rPr>
        <w:t xml:space="preserve">de Proteção Integral, parcialmente por meio de suas Zonas de Amortecimento (ZAs), e </w:t>
      </w:r>
      <w:r w:rsidR="00B13BF5" w:rsidRPr="00B13BF5">
        <w:rPr>
          <w:lang w:eastAsia="pt-BR"/>
        </w:rPr>
        <w:t>8</w:t>
      </w:r>
      <w:r>
        <w:rPr>
          <w:lang w:eastAsia="pt-BR"/>
        </w:rPr>
        <w:t xml:space="preserve"> UCs de Uso Sustentável</w:t>
      </w:r>
      <w:r w:rsidRPr="00950672">
        <w:rPr>
          <w:lang w:eastAsia="pt-BR"/>
        </w:rPr>
        <w:t xml:space="preserve">. </w:t>
      </w:r>
    </w:p>
    <w:p w:rsidR="00A3238D" w:rsidRDefault="00A3238D" w:rsidP="00A3238D">
      <w:pPr>
        <w:rPr>
          <w:lang w:eastAsia="pt-BR"/>
        </w:rPr>
      </w:pPr>
      <w:r w:rsidRPr="00950672">
        <w:rPr>
          <w:lang w:eastAsia="pt-BR"/>
        </w:rPr>
        <w:t xml:space="preserve">As </w:t>
      </w:r>
      <w:r>
        <w:rPr>
          <w:lang w:eastAsia="pt-BR"/>
        </w:rPr>
        <w:t>unidades de conservação do SNUC presentes na região de inserção e nas áreas de influência d</w:t>
      </w:r>
      <w:r w:rsidRPr="00950672">
        <w:rPr>
          <w:lang w:eastAsia="pt-BR"/>
        </w:rPr>
        <w:t>o projeto em estudo</w:t>
      </w:r>
      <w:r w:rsidR="00002970">
        <w:rPr>
          <w:lang w:eastAsia="pt-BR"/>
        </w:rPr>
        <w:t xml:space="preserve"> estão sintetizadas na </w:t>
      </w:r>
      <w:r w:rsidR="00A702DC">
        <w:rPr>
          <w:b/>
          <w:lang w:eastAsia="pt-BR"/>
        </w:rPr>
        <w:t>Tabela 6.4.6-1</w:t>
      </w:r>
      <w:r>
        <w:rPr>
          <w:lang w:eastAsia="pt-BR"/>
        </w:rPr>
        <w:t xml:space="preserve"> a seguir</w:t>
      </w:r>
      <w:r w:rsidRPr="00950672">
        <w:rPr>
          <w:lang w:eastAsia="pt-BR"/>
        </w:rPr>
        <w:t>:</w:t>
      </w:r>
      <w:r>
        <w:rPr>
          <w:lang w:eastAsia="pt-BR"/>
        </w:rPr>
        <w:t xml:space="preserve"> </w:t>
      </w:r>
    </w:p>
    <w:p w:rsidR="00A3238D" w:rsidRPr="00002970" w:rsidRDefault="00002970" w:rsidP="00002970">
      <w:pPr>
        <w:pStyle w:val="Quadro"/>
      </w:pPr>
      <w:r w:rsidRPr="00002970">
        <w:t>Tabela 6.4.</w:t>
      </w:r>
      <w:r w:rsidR="008D44BE">
        <w:t>6-1</w:t>
      </w:r>
      <w:r w:rsidRPr="00002970">
        <w:t xml:space="preserve"> </w:t>
      </w:r>
      <w:r w:rsidR="00A3238D" w:rsidRPr="00002970">
        <w:t>– Presença de UCs (SNUC) nas Áreas de Influência do Empreendimento</w:t>
      </w:r>
    </w:p>
    <w:tbl>
      <w:tblPr>
        <w:tblStyle w:val="Tabelacomgrade"/>
        <w:tblW w:w="9606" w:type="dxa"/>
        <w:tblLayout w:type="fixed"/>
        <w:tblCellMar>
          <w:left w:w="57" w:type="dxa"/>
          <w:right w:w="57" w:type="dxa"/>
        </w:tblCellMar>
        <w:tblLook w:val="04A0" w:firstRow="1" w:lastRow="0" w:firstColumn="1" w:lastColumn="0" w:noHBand="0" w:noVBand="1"/>
      </w:tblPr>
      <w:tblGrid>
        <w:gridCol w:w="1232"/>
        <w:gridCol w:w="1680"/>
        <w:gridCol w:w="3292"/>
        <w:gridCol w:w="1842"/>
        <w:gridCol w:w="1560"/>
      </w:tblGrid>
      <w:tr w:rsidR="00A3238D" w:rsidRPr="00EE5FA2" w:rsidTr="00A52105">
        <w:trPr>
          <w:cantSplit/>
          <w:tblHeader/>
        </w:trPr>
        <w:tc>
          <w:tcPr>
            <w:tcW w:w="1232" w:type="dxa"/>
            <w:shd w:val="clear" w:color="auto" w:fill="D9D9D9" w:themeFill="background1" w:themeFillShade="D9"/>
            <w:vAlign w:val="center"/>
          </w:tcPr>
          <w:p w:rsidR="00A3238D" w:rsidRPr="00EE5FA2" w:rsidRDefault="00A3238D" w:rsidP="00B81B5D">
            <w:pPr>
              <w:spacing w:after="0"/>
              <w:jc w:val="center"/>
              <w:rPr>
                <w:rFonts w:eastAsia="MS Mincho" w:cs="Arial"/>
                <w:b/>
                <w:bCs/>
                <w:sz w:val="18"/>
                <w:szCs w:val="18"/>
                <w:lang w:val="pt-PT"/>
              </w:rPr>
            </w:pPr>
            <w:r w:rsidRPr="00EE5FA2">
              <w:rPr>
                <w:rFonts w:eastAsia="MS Mincho" w:cs="Arial"/>
                <w:b/>
                <w:bCs/>
                <w:sz w:val="18"/>
                <w:szCs w:val="18"/>
                <w:lang w:val="pt-PT"/>
              </w:rPr>
              <w:t>Tipo de Proteção</w:t>
            </w:r>
          </w:p>
        </w:tc>
        <w:tc>
          <w:tcPr>
            <w:tcW w:w="1680" w:type="dxa"/>
            <w:shd w:val="clear" w:color="auto" w:fill="D9D9D9" w:themeFill="background1" w:themeFillShade="D9"/>
            <w:vAlign w:val="center"/>
          </w:tcPr>
          <w:p w:rsidR="00A3238D" w:rsidRPr="00EE5FA2" w:rsidRDefault="00A3238D" w:rsidP="00B81B5D">
            <w:pPr>
              <w:suppressAutoHyphens/>
              <w:spacing w:after="0"/>
              <w:jc w:val="center"/>
              <w:rPr>
                <w:rFonts w:eastAsia="MS Mincho" w:cs="Arial"/>
                <w:b/>
                <w:bCs/>
                <w:sz w:val="18"/>
                <w:szCs w:val="18"/>
                <w:lang w:val="pt-PT"/>
              </w:rPr>
            </w:pPr>
            <w:r w:rsidRPr="00EE5FA2">
              <w:rPr>
                <w:rFonts w:eastAsia="MS Mincho" w:cs="Arial"/>
                <w:b/>
                <w:bCs/>
                <w:sz w:val="18"/>
                <w:szCs w:val="18"/>
                <w:lang w:val="pt-PT"/>
              </w:rPr>
              <w:t>Denominação</w:t>
            </w:r>
          </w:p>
        </w:tc>
        <w:tc>
          <w:tcPr>
            <w:tcW w:w="3292" w:type="dxa"/>
            <w:shd w:val="clear" w:color="auto" w:fill="D9D9D9" w:themeFill="background1" w:themeFillShade="D9"/>
            <w:vAlign w:val="center"/>
          </w:tcPr>
          <w:p w:rsidR="00A3238D" w:rsidRPr="00EE5FA2" w:rsidRDefault="00EE5FA2" w:rsidP="00EE5FA2">
            <w:pPr>
              <w:spacing w:after="0"/>
              <w:jc w:val="center"/>
              <w:rPr>
                <w:rFonts w:cs="Arial"/>
                <w:b/>
                <w:sz w:val="18"/>
                <w:szCs w:val="18"/>
              </w:rPr>
            </w:pPr>
            <w:r>
              <w:rPr>
                <w:rFonts w:cs="Arial"/>
                <w:b/>
                <w:sz w:val="18"/>
                <w:szCs w:val="18"/>
                <w:lang w:val="pt-PT"/>
              </w:rPr>
              <w:t xml:space="preserve">Interface com </w:t>
            </w:r>
            <w:r w:rsidR="00A3238D" w:rsidRPr="00EE5FA2">
              <w:rPr>
                <w:rFonts w:cs="Arial"/>
                <w:b/>
                <w:sz w:val="18"/>
                <w:szCs w:val="18"/>
              </w:rPr>
              <w:t xml:space="preserve">o </w:t>
            </w:r>
            <w:r w:rsidRPr="00EE5FA2">
              <w:rPr>
                <w:rFonts w:cs="Arial"/>
                <w:b/>
                <w:sz w:val="18"/>
                <w:szCs w:val="18"/>
              </w:rPr>
              <w:t xml:space="preserve">Projeto </w:t>
            </w:r>
            <w:r w:rsidR="00A3238D" w:rsidRPr="00EE5FA2">
              <w:rPr>
                <w:rFonts w:cs="Arial"/>
                <w:b/>
                <w:sz w:val="18"/>
                <w:szCs w:val="18"/>
              </w:rPr>
              <w:t>(AII)</w:t>
            </w:r>
          </w:p>
        </w:tc>
        <w:tc>
          <w:tcPr>
            <w:tcW w:w="1842" w:type="dxa"/>
            <w:shd w:val="clear" w:color="auto" w:fill="D9D9D9" w:themeFill="background1" w:themeFillShade="D9"/>
            <w:vAlign w:val="center"/>
          </w:tcPr>
          <w:p w:rsidR="00A3238D" w:rsidRPr="00EE5FA2" w:rsidRDefault="00A3238D" w:rsidP="00B81B5D">
            <w:pPr>
              <w:spacing w:after="0"/>
              <w:jc w:val="center"/>
              <w:rPr>
                <w:rFonts w:cs="Arial"/>
                <w:b/>
                <w:sz w:val="18"/>
                <w:szCs w:val="18"/>
              </w:rPr>
            </w:pPr>
            <w:r w:rsidRPr="00EE5FA2">
              <w:rPr>
                <w:rFonts w:cs="Arial"/>
                <w:b/>
                <w:sz w:val="18"/>
                <w:szCs w:val="18"/>
              </w:rPr>
              <w:t>Afetação direta (AID e/ou ADA)</w:t>
            </w:r>
          </w:p>
        </w:tc>
        <w:tc>
          <w:tcPr>
            <w:tcW w:w="1560" w:type="dxa"/>
            <w:shd w:val="clear" w:color="auto" w:fill="D9D9D9" w:themeFill="background1" w:themeFillShade="D9"/>
            <w:vAlign w:val="center"/>
          </w:tcPr>
          <w:p w:rsidR="00A3238D" w:rsidRPr="00EE5FA2" w:rsidRDefault="00A3238D" w:rsidP="00B81B5D">
            <w:pPr>
              <w:spacing w:after="0"/>
              <w:jc w:val="center"/>
              <w:rPr>
                <w:rFonts w:cs="Arial"/>
                <w:b/>
                <w:sz w:val="18"/>
                <w:szCs w:val="18"/>
              </w:rPr>
            </w:pPr>
            <w:r w:rsidRPr="00EE5FA2">
              <w:rPr>
                <w:rFonts w:cs="Arial"/>
                <w:b/>
                <w:sz w:val="18"/>
                <w:szCs w:val="18"/>
              </w:rPr>
              <w:t>Gestão</w:t>
            </w:r>
          </w:p>
        </w:tc>
      </w:tr>
      <w:tr w:rsidR="00A3238D" w:rsidRPr="00EE5FA2" w:rsidTr="00A52105">
        <w:trPr>
          <w:cantSplit/>
        </w:trPr>
        <w:tc>
          <w:tcPr>
            <w:tcW w:w="1232" w:type="dxa"/>
            <w:vMerge w:val="restart"/>
            <w:shd w:val="clear" w:color="auto" w:fill="C2D69B" w:themeFill="accent3" w:themeFillTint="99"/>
            <w:vAlign w:val="center"/>
          </w:tcPr>
          <w:p w:rsidR="00A3238D" w:rsidRPr="00EE5FA2" w:rsidRDefault="00A3238D" w:rsidP="00B81B5D">
            <w:pPr>
              <w:spacing w:after="0"/>
              <w:jc w:val="center"/>
              <w:rPr>
                <w:rFonts w:eastAsia="MS Mincho" w:cs="Arial"/>
                <w:b/>
                <w:bCs/>
                <w:sz w:val="18"/>
                <w:szCs w:val="18"/>
                <w:lang w:val="pt-PT"/>
              </w:rPr>
            </w:pPr>
            <w:r w:rsidRPr="00EE5FA2">
              <w:rPr>
                <w:rFonts w:eastAsia="MS Mincho" w:cs="Arial"/>
                <w:b/>
                <w:bCs/>
                <w:sz w:val="18"/>
                <w:szCs w:val="18"/>
                <w:lang w:val="pt-PT"/>
              </w:rPr>
              <w:t>UCs de Proteção Integral</w:t>
            </w:r>
          </w:p>
        </w:tc>
        <w:tc>
          <w:tcPr>
            <w:tcW w:w="1680" w:type="dxa"/>
            <w:shd w:val="clear" w:color="auto" w:fill="C2D69B" w:themeFill="accent3" w:themeFillTint="99"/>
            <w:vAlign w:val="center"/>
          </w:tcPr>
          <w:p w:rsidR="00A3238D" w:rsidRPr="00EE5FA2" w:rsidRDefault="00A3238D" w:rsidP="00B81B5D">
            <w:pPr>
              <w:suppressAutoHyphens/>
              <w:spacing w:after="0"/>
              <w:jc w:val="left"/>
              <w:rPr>
                <w:rFonts w:eastAsia="MS Mincho" w:cs="Arial"/>
                <w:bCs/>
                <w:sz w:val="18"/>
                <w:szCs w:val="18"/>
                <w:lang w:val="pt-PT"/>
              </w:rPr>
            </w:pPr>
            <w:r w:rsidRPr="00EE5FA2">
              <w:rPr>
                <w:rFonts w:eastAsia="MS Mincho" w:cs="Arial"/>
                <w:bCs/>
                <w:sz w:val="18"/>
                <w:szCs w:val="18"/>
                <w:lang w:val="pt-PT"/>
              </w:rPr>
              <w:t>Parque Estadual de Itaberaba</w:t>
            </w:r>
          </w:p>
        </w:tc>
        <w:tc>
          <w:tcPr>
            <w:tcW w:w="3292" w:type="dxa"/>
            <w:shd w:val="clear" w:color="auto" w:fill="C2D69B" w:themeFill="accent3" w:themeFillTint="99"/>
            <w:vAlign w:val="center"/>
          </w:tcPr>
          <w:p w:rsidR="00A3238D" w:rsidRPr="00EE5FA2" w:rsidRDefault="00EE5FA2" w:rsidP="00EE5FA2">
            <w:pPr>
              <w:spacing w:after="0"/>
              <w:jc w:val="left"/>
              <w:rPr>
                <w:rFonts w:cs="Arial"/>
                <w:sz w:val="18"/>
                <w:szCs w:val="18"/>
              </w:rPr>
            </w:pPr>
            <w:r w:rsidRPr="00EE5FA2">
              <w:rPr>
                <w:rFonts w:cs="Arial"/>
                <w:sz w:val="18"/>
                <w:szCs w:val="18"/>
              </w:rPr>
              <w:t xml:space="preserve">O Parque e sua ZA situam-se, em grande parte, na bacia do reservatório Jaguari e, </w:t>
            </w:r>
            <w:r w:rsidR="00A3238D" w:rsidRPr="00EE5FA2">
              <w:rPr>
                <w:rFonts w:cs="Arial"/>
                <w:sz w:val="18"/>
                <w:szCs w:val="18"/>
              </w:rPr>
              <w:t>parcialmente</w:t>
            </w:r>
            <w:r w:rsidRPr="00EE5FA2">
              <w:rPr>
                <w:rFonts w:cs="Arial"/>
                <w:sz w:val="18"/>
                <w:szCs w:val="18"/>
              </w:rPr>
              <w:t>,</w:t>
            </w:r>
            <w:r w:rsidR="00A3238D" w:rsidRPr="00EE5FA2">
              <w:rPr>
                <w:rFonts w:cs="Arial"/>
                <w:sz w:val="18"/>
                <w:szCs w:val="18"/>
              </w:rPr>
              <w:t xml:space="preserve"> </w:t>
            </w:r>
            <w:r w:rsidRPr="00EE5FA2">
              <w:rPr>
                <w:rFonts w:cs="Arial"/>
                <w:sz w:val="18"/>
                <w:szCs w:val="18"/>
              </w:rPr>
              <w:t>na bacia do Atibainha, ambas integrantes da AII.</w:t>
            </w:r>
          </w:p>
        </w:tc>
        <w:tc>
          <w:tcPr>
            <w:tcW w:w="1842" w:type="dxa"/>
            <w:shd w:val="clear" w:color="auto" w:fill="C2D69B" w:themeFill="accent3" w:themeFillTint="99"/>
            <w:vAlign w:val="center"/>
          </w:tcPr>
          <w:p w:rsidR="00A3238D" w:rsidRPr="00EE5FA2" w:rsidRDefault="00A3238D" w:rsidP="00EE5FA2">
            <w:pPr>
              <w:spacing w:after="0"/>
              <w:jc w:val="center"/>
              <w:rPr>
                <w:rFonts w:eastAsia="Times New Roman" w:cs="Arial"/>
                <w:bCs/>
                <w:sz w:val="18"/>
                <w:szCs w:val="18"/>
                <w:lang w:eastAsia="ar-SA"/>
              </w:rPr>
            </w:pPr>
            <w:r w:rsidRPr="00EE5FA2">
              <w:rPr>
                <w:rFonts w:cs="Arial"/>
                <w:sz w:val="18"/>
                <w:szCs w:val="18"/>
              </w:rPr>
              <w:t xml:space="preserve">Adutora intercepta a ZA do Parque em trecho de </w:t>
            </w:r>
            <w:r w:rsidRPr="00EE5FA2">
              <w:rPr>
                <w:rFonts w:cs="Arial"/>
                <w:b/>
                <w:sz w:val="18"/>
                <w:szCs w:val="18"/>
              </w:rPr>
              <w:t xml:space="preserve">3,3 km </w:t>
            </w:r>
            <w:r w:rsidRPr="00EE5FA2">
              <w:rPr>
                <w:rFonts w:cs="Arial"/>
                <w:sz w:val="18"/>
                <w:szCs w:val="18"/>
              </w:rPr>
              <w:t>em Igaratá</w:t>
            </w:r>
          </w:p>
        </w:tc>
        <w:tc>
          <w:tcPr>
            <w:tcW w:w="1560" w:type="dxa"/>
            <w:vMerge w:val="restart"/>
            <w:shd w:val="clear" w:color="auto" w:fill="C2D69B" w:themeFill="accent3" w:themeFillTint="99"/>
            <w:vAlign w:val="center"/>
          </w:tcPr>
          <w:p w:rsidR="00A3238D" w:rsidRPr="00EE5FA2" w:rsidRDefault="00A3238D" w:rsidP="00B81B5D">
            <w:pPr>
              <w:spacing w:after="0"/>
              <w:jc w:val="left"/>
              <w:rPr>
                <w:rFonts w:eastAsia="Times New Roman" w:cs="Arial"/>
                <w:bCs/>
                <w:sz w:val="18"/>
                <w:szCs w:val="18"/>
                <w:lang w:eastAsia="ar-SA"/>
              </w:rPr>
            </w:pPr>
            <w:r w:rsidRPr="00EE5FA2">
              <w:rPr>
                <w:rFonts w:eastAsia="Times New Roman" w:cs="Arial"/>
                <w:bCs/>
                <w:sz w:val="18"/>
                <w:szCs w:val="18"/>
                <w:lang w:eastAsia="ar-SA"/>
              </w:rPr>
              <w:t>Fundação Florestal / SMA</w:t>
            </w:r>
          </w:p>
        </w:tc>
      </w:tr>
      <w:tr w:rsidR="00A3238D" w:rsidRPr="00EE5FA2" w:rsidTr="00A52105">
        <w:trPr>
          <w:cantSplit/>
        </w:trPr>
        <w:tc>
          <w:tcPr>
            <w:tcW w:w="1232" w:type="dxa"/>
            <w:vMerge/>
            <w:shd w:val="clear" w:color="auto" w:fill="C2D69B" w:themeFill="accent3" w:themeFillTint="99"/>
            <w:vAlign w:val="center"/>
          </w:tcPr>
          <w:p w:rsidR="00A3238D" w:rsidRPr="00EE5FA2" w:rsidRDefault="00A3238D" w:rsidP="00B81B5D">
            <w:pPr>
              <w:spacing w:after="0"/>
              <w:rPr>
                <w:rFonts w:cs="Arial"/>
                <w:sz w:val="18"/>
                <w:szCs w:val="18"/>
              </w:rPr>
            </w:pPr>
          </w:p>
        </w:tc>
        <w:tc>
          <w:tcPr>
            <w:tcW w:w="1680" w:type="dxa"/>
            <w:shd w:val="clear" w:color="auto" w:fill="C2D69B" w:themeFill="accent3" w:themeFillTint="99"/>
            <w:vAlign w:val="center"/>
          </w:tcPr>
          <w:p w:rsidR="00A3238D" w:rsidRPr="00EE5FA2" w:rsidRDefault="00A3238D" w:rsidP="00B81B5D">
            <w:pPr>
              <w:suppressAutoHyphens/>
              <w:spacing w:after="0"/>
              <w:jc w:val="left"/>
              <w:rPr>
                <w:rFonts w:eastAsia="MS Mincho" w:cs="Arial"/>
                <w:bCs/>
                <w:sz w:val="18"/>
                <w:szCs w:val="18"/>
                <w:lang w:val="pt-PT"/>
              </w:rPr>
            </w:pPr>
            <w:r w:rsidRPr="00EE5FA2">
              <w:rPr>
                <w:rFonts w:eastAsia="MS Mincho" w:cs="Arial"/>
                <w:bCs/>
                <w:sz w:val="18"/>
                <w:szCs w:val="18"/>
                <w:lang w:val="pt-PT"/>
              </w:rPr>
              <w:t>Parque Estadual de Itapetinga</w:t>
            </w:r>
          </w:p>
        </w:tc>
        <w:tc>
          <w:tcPr>
            <w:tcW w:w="3292" w:type="dxa"/>
            <w:shd w:val="clear" w:color="auto" w:fill="C2D69B" w:themeFill="accent3" w:themeFillTint="99"/>
            <w:vAlign w:val="center"/>
          </w:tcPr>
          <w:p w:rsidR="00A3238D" w:rsidRPr="00EE5FA2" w:rsidRDefault="00A3238D" w:rsidP="00B81B5D">
            <w:pPr>
              <w:spacing w:after="0"/>
              <w:jc w:val="left"/>
              <w:rPr>
                <w:rFonts w:cs="Arial"/>
                <w:sz w:val="18"/>
                <w:szCs w:val="18"/>
              </w:rPr>
            </w:pPr>
            <w:r w:rsidRPr="00EE5FA2">
              <w:rPr>
                <w:rFonts w:cs="Arial"/>
                <w:sz w:val="18"/>
                <w:szCs w:val="18"/>
              </w:rPr>
              <w:t>ZA abrange parcialmente terrenos do município de Nazaré Paulista (AII)</w:t>
            </w:r>
          </w:p>
        </w:tc>
        <w:tc>
          <w:tcPr>
            <w:tcW w:w="1842" w:type="dxa"/>
            <w:shd w:val="clear" w:color="auto" w:fill="C2D69B" w:themeFill="accent3" w:themeFillTint="99"/>
            <w:vAlign w:val="center"/>
          </w:tcPr>
          <w:p w:rsidR="00A3238D" w:rsidRPr="00EE5FA2" w:rsidRDefault="00EE5FA2" w:rsidP="00B81B5D">
            <w:pPr>
              <w:spacing w:after="0"/>
              <w:jc w:val="center"/>
              <w:rPr>
                <w:rFonts w:cs="Arial"/>
                <w:sz w:val="18"/>
                <w:szCs w:val="18"/>
              </w:rPr>
            </w:pPr>
            <w:r w:rsidRPr="00EE5FA2">
              <w:rPr>
                <w:rFonts w:cs="Arial"/>
                <w:sz w:val="18"/>
                <w:szCs w:val="18"/>
              </w:rPr>
              <w:t>Não há</w:t>
            </w:r>
          </w:p>
        </w:tc>
        <w:tc>
          <w:tcPr>
            <w:tcW w:w="1560" w:type="dxa"/>
            <w:vMerge/>
            <w:shd w:val="clear" w:color="auto" w:fill="C2D69B" w:themeFill="accent3" w:themeFillTint="99"/>
            <w:vAlign w:val="center"/>
          </w:tcPr>
          <w:p w:rsidR="00A3238D" w:rsidRPr="00EE5FA2" w:rsidRDefault="00A3238D" w:rsidP="00B81B5D">
            <w:pPr>
              <w:spacing w:after="0"/>
              <w:jc w:val="left"/>
              <w:rPr>
                <w:rFonts w:cs="Arial"/>
                <w:sz w:val="18"/>
                <w:szCs w:val="18"/>
              </w:rPr>
            </w:pPr>
          </w:p>
        </w:tc>
      </w:tr>
      <w:tr w:rsidR="00A3238D" w:rsidRPr="00EE5FA2" w:rsidTr="00A52105">
        <w:trPr>
          <w:cantSplit/>
        </w:trPr>
        <w:tc>
          <w:tcPr>
            <w:tcW w:w="1232" w:type="dxa"/>
            <w:vMerge/>
            <w:shd w:val="clear" w:color="auto" w:fill="C2D69B" w:themeFill="accent3" w:themeFillTint="99"/>
            <w:vAlign w:val="center"/>
          </w:tcPr>
          <w:p w:rsidR="00A3238D" w:rsidRPr="00EE5FA2" w:rsidRDefault="00A3238D" w:rsidP="00B81B5D">
            <w:pPr>
              <w:spacing w:after="0"/>
              <w:rPr>
                <w:rFonts w:cs="Arial"/>
                <w:sz w:val="18"/>
                <w:szCs w:val="18"/>
              </w:rPr>
            </w:pPr>
          </w:p>
        </w:tc>
        <w:tc>
          <w:tcPr>
            <w:tcW w:w="1680" w:type="dxa"/>
            <w:shd w:val="clear" w:color="auto" w:fill="C2D69B" w:themeFill="accent3" w:themeFillTint="99"/>
            <w:vAlign w:val="center"/>
          </w:tcPr>
          <w:p w:rsidR="00A3238D" w:rsidRPr="00EE5FA2" w:rsidRDefault="00A3238D" w:rsidP="00B81B5D">
            <w:pPr>
              <w:suppressAutoHyphens/>
              <w:spacing w:after="0"/>
              <w:jc w:val="left"/>
              <w:rPr>
                <w:rFonts w:eastAsia="MS Mincho" w:cs="Arial"/>
                <w:bCs/>
                <w:sz w:val="18"/>
                <w:szCs w:val="18"/>
                <w:lang w:val="pt-PT"/>
              </w:rPr>
            </w:pPr>
            <w:r w:rsidRPr="00EE5FA2">
              <w:rPr>
                <w:rFonts w:eastAsia="MS Mincho" w:cs="Arial"/>
                <w:bCs/>
                <w:sz w:val="18"/>
                <w:szCs w:val="18"/>
                <w:lang w:val="pt-PT"/>
              </w:rPr>
              <w:t>Monumento Natural Estadual da Pedra Grande</w:t>
            </w:r>
          </w:p>
        </w:tc>
        <w:tc>
          <w:tcPr>
            <w:tcW w:w="3292" w:type="dxa"/>
            <w:shd w:val="clear" w:color="auto" w:fill="C2D69B" w:themeFill="accent3" w:themeFillTint="99"/>
            <w:vAlign w:val="center"/>
          </w:tcPr>
          <w:p w:rsidR="00A3238D" w:rsidRPr="00EE5FA2" w:rsidRDefault="00A3238D" w:rsidP="00B81B5D">
            <w:pPr>
              <w:spacing w:after="0"/>
              <w:jc w:val="left"/>
              <w:rPr>
                <w:rFonts w:cs="Arial"/>
                <w:sz w:val="18"/>
                <w:szCs w:val="18"/>
              </w:rPr>
            </w:pPr>
            <w:r w:rsidRPr="00EE5FA2">
              <w:rPr>
                <w:rFonts w:cs="Arial"/>
                <w:sz w:val="18"/>
                <w:szCs w:val="18"/>
              </w:rPr>
              <w:t>ZA abrange parcialmente terrenos do município de Nazaré Paulista (AII)</w:t>
            </w:r>
          </w:p>
        </w:tc>
        <w:tc>
          <w:tcPr>
            <w:tcW w:w="1842" w:type="dxa"/>
            <w:shd w:val="clear" w:color="auto" w:fill="C2D69B" w:themeFill="accent3" w:themeFillTint="99"/>
            <w:vAlign w:val="center"/>
          </w:tcPr>
          <w:p w:rsidR="00A3238D" w:rsidRPr="00EE5FA2" w:rsidRDefault="00EE5FA2" w:rsidP="00B81B5D">
            <w:pPr>
              <w:spacing w:after="0"/>
              <w:jc w:val="center"/>
              <w:rPr>
                <w:rFonts w:cs="Arial"/>
                <w:sz w:val="18"/>
                <w:szCs w:val="18"/>
              </w:rPr>
            </w:pPr>
            <w:r>
              <w:rPr>
                <w:rFonts w:cs="Arial"/>
                <w:sz w:val="18"/>
                <w:szCs w:val="18"/>
              </w:rPr>
              <w:t>Não há</w:t>
            </w:r>
          </w:p>
        </w:tc>
        <w:tc>
          <w:tcPr>
            <w:tcW w:w="1560" w:type="dxa"/>
            <w:vMerge/>
            <w:shd w:val="clear" w:color="auto" w:fill="C2D69B" w:themeFill="accent3" w:themeFillTint="99"/>
            <w:vAlign w:val="center"/>
          </w:tcPr>
          <w:p w:rsidR="00A3238D" w:rsidRPr="00EE5FA2" w:rsidRDefault="00A3238D" w:rsidP="00B81B5D">
            <w:pPr>
              <w:spacing w:after="0"/>
              <w:jc w:val="left"/>
              <w:rPr>
                <w:rFonts w:cs="Arial"/>
                <w:sz w:val="18"/>
                <w:szCs w:val="18"/>
              </w:rPr>
            </w:pPr>
          </w:p>
        </w:tc>
      </w:tr>
      <w:tr w:rsidR="00A3238D" w:rsidRPr="00EE5FA2" w:rsidTr="00A52105">
        <w:trPr>
          <w:cantSplit/>
        </w:trPr>
        <w:tc>
          <w:tcPr>
            <w:tcW w:w="1232" w:type="dxa"/>
            <w:vMerge/>
            <w:shd w:val="clear" w:color="auto" w:fill="C2D69B" w:themeFill="accent3" w:themeFillTint="99"/>
            <w:vAlign w:val="center"/>
          </w:tcPr>
          <w:p w:rsidR="00A3238D" w:rsidRPr="00EE5FA2" w:rsidRDefault="00A3238D" w:rsidP="00B81B5D">
            <w:pPr>
              <w:spacing w:after="0"/>
              <w:rPr>
                <w:rFonts w:cs="Arial"/>
                <w:sz w:val="18"/>
                <w:szCs w:val="18"/>
              </w:rPr>
            </w:pPr>
          </w:p>
        </w:tc>
        <w:tc>
          <w:tcPr>
            <w:tcW w:w="1680" w:type="dxa"/>
            <w:shd w:val="clear" w:color="auto" w:fill="C2D69B" w:themeFill="accent3" w:themeFillTint="99"/>
            <w:vAlign w:val="center"/>
          </w:tcPr>
          <w:p w:rsidR="00A3238D" w:rsidRPr="00EE5FA2" w:rsidRDefault="00A3238D" w:rsidP="00B81B5D">
            <w:pPr>
              <w:suppressAutoHyphens/>
              <w:spacing w:after="0"/>
              <w:jc w:val="left"/>
              <w:rPr>
                <w:rFonts w:cs="Arial"/>
                <w:sz w:val="18"/>
                <w:szCs w:val="18"/>
              </w:rPr>
            </w:pPr>
            <w:r w:rsidRPr="00EE5FA2">
              <w:rPr>
                <w:rFonts w:eastAsia="MS Mincho" w:cs="Arial"/>
                <w:bCs/>
                <w:sz w:val="18"/>
                <w:szCs w:val="18"/>
                <w:lang w:val="pt-PT"/>
              </w:rPr>
              <w:t>Parque Estadual da Cantareira</w:t>
            </w:r>
          </w:p>
        </w:tc>
        <w:tc>
          <w:tcPr>
            <w:tcW w:w="3292" w:type="dxa"/>
            <w:shd w:val="clear" w:color="auto" w:fill="C2D69B" w:themeFill="accent3" w:themeFillTint="99"/>
            <w:vAlign w:val="center"/>
          </w:tcPr>
          <w:p w:rsidR="00A3238D" w:rsidRPr="00EE5FA2" w:rsidRDefault="00A3238D" w:rsidP="0074157E">
            <w:pPr>
              <w:spacing w:after="0"/>
              <w:jc w:val="left"/>
              <w:rPr>
                <w:rFonts w:cs="Arial"/>
                <w:sz w:val="18"/>
                <w:szCs w:val="18"/>
              </w:rPr>
            </w:pPr>
            <w:r w:rsidRPr="00EE5FA2">
              <w:rPr>
                <w:rFonts w:cs="Arial"/>
                <w:sz w:val="18"/>
                <w:szCs w:val="18"/>
              </w:rPr>
              <w:t>ZA abrange parc</w:t>
            </w:r>
            <w:r w:rsidR="0074157E">
              <w:rPr>
                <w:rFonts w:cs="Arial"/>
                <w:sz w:val="18"/>
                <w:szCs w:val="18"/>
              </w:rPr>
              <w:t xml:space="preserve">elas das bacias dos reservatórios Jaguari e Atibainha, integrantes da </w:t>
            </w:r>
            <w:r w:rsidRPr="00EE5FA2">
              <w:rPr>
                <w:rFonts w:cs="Arial"/>
                <w:sz w:val="18"/>
                <w:szCs w:val="18"/>
              </w:rPr>
              <w:t>AII</w:t>
            </w:r>
          </w:p>
        </w:tc>
        <w:tc>
          <w:tcPr>
            <w:tcW w:w="1842" w:type="dxa"/>
            <w:shd w:val="clear" w:color="auto" w:fill="C2D69B" w:themeFill="accent3" w:themeFillTint="99"/>
            <w:vAlign w:val="center"/>
          </w:tcPr>
          <w:p w:rsidR="00A3238D" w:rsidRPr="00EE5FA2" w:rsidRDefault="0074157E" w:rsidP="00B81B5D">
            <w:pPr>
              <w:spacing w:after="0"/>
              <w:jc w:val="center"/>
              <w:rPr>
                <w:rFonts w:cs="Arial"/>
                <w:sz w:val="18"/>
                <w:szCs w:val="18"/>
              </w:rPr>
            </w:pPr>
            <w:r>
              <w:rPr>
                <w:rFonts w:cs="Arial"/>
                <w:sz w:val="18"/>
                <w:szCs w:val="18"/>
              </w:rPr>
              <w:t>Não há</w:t>
            </w:r>
          </w:p>
        </w:tc>
        <w:tc>
          <w:tcPr>
            <w:tcW w:w="1560" w:type="dxa"/>
            <w:vMerge/>
            <w:shd w:val="clear" w:color="auto" w:fill="C2D69B" w:themeFill="accent3" w:themeFillTint="99"/>
            <w:vAlign w:val="center"/>
          </w:tcPr>
          <w:p w:rsidR="00A3238D" w:rsidRPr="00EE5FA2" w:rsidRDefault="00A3238D" w:rsidP="00B81B5D">
            <w:pPr>
              <w:spacing w:after="0"/>
              <w:jc w:val="left"/>
              <w:rPr>
                <w:rFonts w:cs="Arial"/>
                <w:sz w:val="18"/>
                <w:szCs w:val="18"/>
              </w:rPr>
            </w:pPr>
          </w:p>
        </w:tc>
      </w:tr>
      <w:tr w:rsidR="00A3238D" w:rsidRPr="00EE5FA2" w:rsidTr="00A52105">
        <w:trPr>
          <w:cantSplit/>
        </w:trPr>
        <w:tc>
          <w:tcPr>
            <w:tcW w:w="1232" w:type="dxa"/>
            <w:vMerge w:val="restart"/>
            <w:shd w:val="clear" w:color="auto" w:fill="EAF1DD" w:themeFill="accent3" w:themeFillTint="33"/>
            <w:vAlign w:val="center"/>
          </w:tcPr>
          <w:p w:rsidR="00A3238D" w:rsidRDefault="00A3238D" w:rsidP="00B81B5D">
            <w:pPr>
              <w:suppressAutoHyphens/>
              <w:spacing w:after="0"/>
              <w:jc w:val="center"/>
              <w:rPr>
                <w:rFonts w:eastAsia="MS Mincho" w:cs="Arial"/>
                <w:b/>
                <w:bCs/>
                <w:sz w:val="18"/>
                <w:szCs w:val="18"/>
                <w:lang w:val="pt-PT"/>
              </w:rPr>
            </w:pPr>
            <w:r w:rsidRPr="00EE5FA2">
              <w:rPr>
                <w:rFonts w:eastAsia="MS Mincho" w:cs="Arial"/>
                <w:b/>
                <w:bCs/>
                <w:sz w:val="18"/>
                <w:szCs w:val="18"/>
                <w:lang w:val="pt-PT"/>
              </w:rPr>
              <w:t>UCs de Uso Sustentável</w:t>
            </w:r>
          </w:p>
          <w:p w:rsidR="00D54314" w:rsidRPr="00EE5FA2" w:rsidRDefault="00D54314" w:rsidP="00B81B5D">
            <w:pPr>
              <w:suppressAutoHyphens/>
              <w:spacing w:after="0"/>
              <w:jc w:val="center"/>
              <w:rPr>
                <w:rFonts w:eastAsia="MS Mincho" w:cs="Arial"/>
                <w:b/>
                <w:bCs/>
                <w:sz w:val="18"/>
                <w:szCs w:val="18"/>
                <w:lang w:val="pt-PT"/>
              </w:rPr>
            </w:pPr>
          </w:p>
        </w:tc>
        <w:tc>
          <w:tcPr>
            <w:tcW w:w="1680" w:type="dxa"/>
            <w:shd w:val="clear" w:color="auto" w:fill="EAF1DD" w:themeFill="accent3" w:themeFillTint="33"/>
            <w:vAlign w:val="center"/>
          </w:tcPr>
          <w:p w:rsidR="00A3238D" w:rsidRPr="00EE5FA2" w:rsidRDefault="00A3238D" w:rsidP="00B81B5D">
            <w:pPr>
              <w:suppressAutoHyphens/>
              <w:spacing w:after="0"/>
              <w:jc w:val="left"/>
              <w:rPr>
                <w:rFonts w:eastAsia="MS Mincho" w:cs="Arial"/>
                <w:bCs/>
                <w:sz w:val="18"/>
                <w:szCs w:val="18"/>
                <w:lang w:val="pt-PT"/>
              </w:rPr>
            </w:pPr>
            <w:r w:rsidRPr="00EE5FA2">
              <w:rPr>
                <w:rFonts w:eastAsia="MS Mincho" w:cs="Arial"/>
                <w:bCs/>
                <w:sz w:val="18"/>
                <w:szCs w:val="18"/>
                <w:lang w:val="pt-PT"/>
              </w:rPr>
              <w:t>APA Federal Mananciais do Rio Paraíba do Sul</w:t>
            </w:r>
          </w:p>
        </w:tc>
        <w:tc>
          <w:tcPr>
            <w:tcW w:w="3292" w:type="dxa"/>
            <w:shd w:val="clear" w:color="auto" w:fill="EAF1DD" w:themeFill="accent3" w:themeFillTint="33"/>
            <w:vAlign w:val="center"/>
          </w:tcPr>
          <w:p w:rsidR="00A3238D" w:rsidRPr="00EE5FA2" w:rsidRDefault="0074157E" w:rsidP="0074157E">
            <w:pPr>
              <w:spacing w:after="0"/>
              <w:jc w:val="left"/>
              <w:rPr>
                <w:rFonts w:cs="Arial"/>
                <w:sz w:val="18"/>
                <w:szCs w:val="18"/>
              </w:rPr>
            </w:pPr>
            <w:r>
              <w:rPr>
                <w:rFonts w:cs="Arial"/>
                <w:sz w:val="18"/>
                <w:szCs w:val="18"/>
              </w:rPr>
              <w:t>Setor da APA abrange grande parte da bacia do reservatório Jaguari, integrante da AII.</w:t>
            </w:r>
          </w:p>
        </w:tc>
        <w:tc>
          <w:tcPr>
            <w:tcW w:w="1842" w:type="dxa"/>
            <w:shd w:val="clear" w:color="auto" w:fill="EAF1DD" w:themeFill="accent3" w:themeFillTint="33"/>
            <w:vAlign w:val="center"/>
          </w:tcPr>
          <w:p w:rsidR="00A3238D" w:rsidRPr="00076F69" w:rsidRDefault="00076F69" w:rsidP="00076F69">
            <w:pPr>
              <w:spacing w:after="0"/>
              <w:jc w:val="center"/>
              <w:rPr>
                <w:rFonts w:cs="Arial"/>
                <w:bCs/>
                <w:sz w:val="18"/>
                <w:szCs w:val="18"/>
              </w:rPr>
            </w:pPr>
            <w:r w:rsidRPr="00076F69">
              <w:rPr>
                <w:rFonts w:cs="Arial"/>
                <w:sz w:val="18"/>
                <w:szCs w:val="18"/>
              </w:rPr>
              <w:t xml:space="preserve">Reservatório Jaguari, captação, </w:t>
            </w:r>
            <w:r w:rsidR="00D54314">
              <w:rPr>
                <w:rFonts w:cs="Arial"/>
                <w:sz w:val="18"/>
                <w:szCs w:val="18"/>
              </w:rPr>
              <w:t xml:space="preserve">elevatória, </w:t>
            </w:r>
            <w:r w:rsidR="00A3238D" w:rsidRPr="00076F69">
              <w:rPr>
                <w:rFonts w:cs="Arial"/>
                <w:sz w:val="18"/>
                <w:szCs w:val="18"/>
              </w:rPr>
              <w:t>trecho de 13,5 km de adutora</w:t>
            </w:r>
            <w:r w:rsidRPr="00076F69">
              <w:rPr>
                <w:rFonts w:cs="Arial"/>
                <w:sz w:val="18"/>
                <w:szCs w:val="18"/>
              </w:rPr>
              <w:t>,</w:t>
            </w:r>
            <w:r w:rsidR="00A3238D" w:rsidRPr="00076F69">
              <w:rPr>
                <w:rFonts w:cs="Arial"/>
                <w:sz w:val="18"/>
                <w:szCs w:val="18"/>
              </w:rPr>
              <w:t xml:space="preserve"> </w:t>
            </w:r>
            <w:r w:rsidRPr="00076F69">
              <w:rPr>
                <w:rFonts w:cs="Arial"/>
                <w:sz w:val="18"/>
                <w:szCs w:val="18"/>
              </w:rPr>
              <w:t xml:space="preserve">emboque </w:t>
            </w:r>
            <w:r w:rsidR="00A3238D" w:rsidRPr="00076F69">
              <w:rPr>
                <w:rFonts w:cs="Arial"/>
                <w:sz w:val="18"/>
                <w:szCs w:val="18"/>
              </w:rPr>
              <w:t>e 1,</w:t>
            </w:r>
            <w:r w:rsidR="00405133" w:rsidRPr="00076F69">
              <w:rPr>
                <w:rFonts w:cs="Arial"/>
                <w:sz w:val="18"/>
                <w:szCs w:val="18"/>
              </w:rPr>
              <w:t>4</w:t>
            </w:r>
            <w:r w:rsidR="00A3238D" w:rsidRPr="00076F69">
              <w:rPr>
                <w:rFonts w:cs="Arial"/>
                <w:sz w:val="18"/>
                <w:szCs w:val="18"/>
              </w:rPr>
              <w:t xml:space="preserve"> km </w:t>
            </w:r>
            <w:r w:rsidRPr="00076F69">
              <w:rPr>
                <w:rFonts w:cs="Arial"/>
                <w:sz w:val="18"/>
                <w:szCs w:val="18"/>
              </w:rPr>
              <w:t>de</w:t>
            </w:r>
            <w:r w:rsidR="00A3238D" w:rsidRPr="00076F69">
              <w:rPr>
                <w:rFonts w:cs="Arial"/>
                <w:sz w:val="18"/>
                <w:szCs w:val="18"/>
              </w:rPr>
              <w:t xml:space="preserve"> túnel</w:t>
            </w:r>
          </w:p>
        </w:tc>
        <w:tc>
          <w:tcPr>
            <w:tcW w:w="1560" w:type="dxa"/>
            <w:shd w:val="clear" w:color="auto" w:fill="EAF1DD" w:themeFill="accent3" w:themeFillTint="33"/>
            <w:vAlign w:val="center"/>
          </w:tcPr>
          <w:p w:rsidR="00A3238D" w:rsidRPr="00EE5FA2" w:rsidRDefault="00A3238D" w:rsidP="00B81B5D">
            <w:pPr>
              <w:spacing w:after="0"/>
              <w:jc w:val="left"/>
              <w:rPr>
                <w:rFonts w:cs="Arial"/>
                <w:sz w:val="18"/>
                <w:szCs w:val="18"/>
              </w:rPr>
            </w:pPr>
            <w:r w:rsidRPr="00EE5FA2">
              <w:rPr>
                <w:rFonts w:cs="Arial"/>
                <w:bCs/>
                <w:sz w:val="18"/>
                <w:szCs w:val="18"/>
              </w:rPr>
              <w:t>ICMBio - Instituto Chico Mendes de Conservação da Biodiversidade</w:t>
            </w:r>
          </w:p>
        </w:tc>
      </w:tr>
      <w:tr w:rsidR="0074157E" w:rsidRPr="00EE5FA2" w:rsidTr="00A52105">
        <w:trPr>
          <w:cantSplit/>
        </w:trPr>
        <w:tc>
          <w:tcPr>
            <w:tcW w:w="1232" w:type="dxa"/>
            <w:vMerge/>
            <w:shd w:val="clear" w:color="auto" w:fill="EAF1DD" w:themeFill="accent3" w:themeFillTint="33"/>
            <w:vAlign w:val="center"/>
          </w:tcPr>
          <w:p w:rsidR="0074157E" w:rsidRPr="00EE5FA2" w:rsidRDefault="0074157E" w:rsidP="00B81B5D">
            <w:pPr>
              <w:spacing w:after="0"/>
              <w:rPr>
                <w:rFonts w:cs="Arial"/>
                <w:sz w:val="18"/>
                <w:szCs w:val="18"/>
              </w:rPr>
            </w:pPr>
          </w:p>
        </w:tc>
        <w:tc>
          <w:tcPr>
            <w:tcW w:w="1680" w:type="dxa"/>
            <w:shd w:val="clear" w:color="auto" w:fill="EAF1DD" w:themeFill="accent3" w:themeFillTint="33"/>
            <w:vAlign w:val="center"/>
          </w:tcPr>
          <w:p w:rsidR="0074157E" w:rsidRPr="00EE5FA2" w:rsidRDefault="0074157E" w:rsidP="00B81B5D">
            <w:pPr>
              <w:suppressAutoHyphens/>
              <w:spacing w:after="0"/>
              <w:jc w:val="left"/>
              <w:rPr>
                <w:rFonts w:eastAsia="MS Mincho" w:cs="Arial"/>
                <w:bCs/>
                <w:sz w:val="18"/>
                <w:szCs w:val="18"/>
                <w:lang w:val="pt-PT"/>
              </w:rPr>
            </w:pPr>
            <w:r w:rsidRPr="00EE5FA2">
              <w:rPr>
                <w:rFonts w:eastAsia="MS Mincho" w:cs="Arial"/>
                <w:bCs/>
                <w:sz w:val="18"/>
                <w:szCs w:val="18"/>
                <w:lang w:val="pt-PT"/>
              </w:rPr>
              <w:t>APA Estadual Sistema Cantareira</w:t>
            </w:r>
          </w:p>
        </w:tc>
        <w:tc>
          <w:tcPr>
            <w:tcW w:w="3292" w:type="dxa"/>
            <w:vMerge w:val="restart"/>
            <w:shd w:val="clear" w:color="auto" w:fill="EAF1DD" w:themeFill="accent3" w:themeFillTint="33"/>
            <w:vAlign w:val="center"/>
          </w:tcPr>
          <w:p w:rsidR="0074157E" w:rsidRPr="00EE5FA2" w:rsidRDefault="0074157E" w:rsidP="00B81B5D">
            <w:pPr>
              <w:spacing w:after="0"/>
              <w:jc w:val="left"/>
              <w:rPr>
                <w:rFonts w:cs="Arial"/>
                <w:sz w:val="18"/>
                <w:szCs w:val="18"/>
              </w:rPr>
            </w:pPr>
            <w:r w:rsidRPr="00EE5FA2">
              <w:rPr>
                <w:rFonts w:cs="Arial"/>
                <w:sz w:val="18"/>
                <w:szCs w:val="18"/>
              </w:rPr>
              <w:t>Bacia do reservatório Atibainha nos municípios de Piracaia e Nazaré Paulista (AII)</w:t>
            </w:r>
          </w:p>
        </w:tc>
        <w:tc>
          <w:tcPr>
            <w:tcW w:w="1842" w:type="dxa"/>
            <w:vMerge w:val="restart"/>
            <w:shd w:val="clear" w:color="auto" w:fill="EAF1DD" w:themeFill="accent3" w:themeFillTint="33"/>
            <w:vAlign w:val="center"/>
          </w:tcPr>
          <w:p w:rsidR="0074157E" w:rsidRPr="00EE5FA2" w:rsidRDefault="00076F69" w:rsidP="00076F69">
            <w:pPr>
              <w:spacing w:after="0"/>
              <w:jc w:val="center"/>
              <w:rPr>
                <w:rFonts w:cs="Arial"/>
                <w:sz w:val="18"/>
                <w:szCs w:val="18"/>
              </w:rPr>
            </w:pPr>
            <w:r>
              <w:rPr>
                <w:rFonts w:cs="Arial"/>
                <w:sz w:val="18"/>
                <w:szCs w:val="18"/>
              </w:rPr>
              <w:t xml:space="preserve">Reservatório Atibainha, </w:t>
            </w:r>
            <w:r w:rsidR="0074157E" w:rsidRPr="00EE5FA2">
              <w:rPr>
                <w:rFonts w:cs="Arial"/>
                <w:sz w:val="18"/>
                <w:szCs w:val="18"/>
              </w:rPr>
              <w:t xml:space="preserve">trecho de </w:t>
            </w:r>
            <w:r w:rsidR="0074157E" w:rsidRPr="00076F69">
              <w:rPr>
                <w:rFonts w:cs="Arial"/>
                <w:sz w:val="18"/>
                <w:szCs w:val="18"/>
              </w:rPr>
              <w:t>4,</w:t>
            </w:r>
            <w:r w:rsidR="00405133" w:rsidRPr="00076F69">
              <w:rPr>
                <w:rFonts w:cs="Arial"/>
                <w:sz w:val="18"/>
                <w:szCs w:val="18"/>
              </w:rPr>
              <w:t>8</w:t>
            </w:r>
            <w:r w:rsidR="0074157E" w:rsidRPr="00076F69">
              <w:rPr>
                <w:rFonts w:cs="Arial"/>
                <w:sz w:val="18"/>
                <w:szCs w:val="18"/>
              </w:rPr>
              <w:t xml:space="preserve"> km de túnel</w:t>
            </w:r>
            <w:r w:rsidR="00031E14" w:rsidRPr="00076F69">
              <w:rPr>
                <w:rFonts w:cs="Arial"/>
                <w:sz w:val="18"/>
                <w:szCs w:val="18"/>
              </w:rPr>
              <w:t>,</w:t>
            </w:r>
            <w:r w:rsidR="0074157E" w:rsidRPr="00076F69">
              <w:rPr>
                <w:rFonts w:cs="Arial"/>
                <w:sz w:val="18"/>
                <w:szCs w:val="18"/>
              </w:rPr>
              <w:t xml:space="preserve"> </w:t>
            </w:r>
            <w:r>
              <w:rPr>
                <w:rFonts w:cs="Arial"/>
                <w:sz w:val="18"/>
                <w:szCs w:val="18"/>
              </w:rPr>
              <w:t xml:space="preserve">janela de acesso, </w:t>
            </w:r>
            <w:r w:rsidR="0074157E" w:rsidRPr="00076F69">
              <w:rPr>
                <w:rFonts w:cs="Arial"/>
                <w:sz w:val="18"/>
                <w:szCs w:val="18"/>
              </w:rPr>
              <w:t xml:space="preserve">0,5 km de túnel </w:t>
            </w:r>
            <w:r>
              <w:rPr>
                <w:rFonts w:cs="Arial"/>
                <w:sz w:val="18"/>
                <w:szCs w:val="18"/>
              </w:rPr>
              <w:t>auxiliar</w:t>
            </w:r>
            <w:r w:rsidR="00031E14" w:rsidRPr="00076F69">
              <w:rPr>
                <w:rFonts w:cs="Arial"/>
                <w:sz w:val="18"/>
                <w:szCs w:val="18"/>
              </w:rPr>
              <w:t>, e desemboque</w:t>
            </w:r>
            <w:r w:rsidR="0074157E" w:rsidRPr="00EE5FA2">
              <w:rPr>
                <w:rFonts w:cs="Arial"/>
                <w:sz w:val="18"/>
                <w:szCs w:val="18"/>
              </w:rPr>
              <w:t xml:space="preserve"> </w:t>
            </w:r>
            <w:r w:rsidR="00031E14">
              <w:rPr>
                <w:rFonts w:cs="Arial"/>
                <w:sz w:val="18"/>
                <w:szCs w:val="18"/>
              </w:rPr>
              <w:t>na represa Atibainha</w:t>
            </w:r>
          </w:p>
        </w:tc>
        <w:tc>
          <w:tcPr>
            <w:tcW w:w="1560" w:type="dxa"/>
            <w:vMerge w:val="restart"/>
            <w:shd w:val="clear" w:color="auto" w:fill="EAF1DD" w:themeFill="accent3" w:themeFillTint="33"/>
            <w:vAlign w:val="center"/>
          </w:tcPr>
          <w:p w:rsidR="0074157E" w:rsidRDefault="0074157E" w:rsidP="0074157E">
            <w:pPr>
              <w:spacing w:after="0"/>
              <w:jc w:val="left"/>
              <w:rPr>
                <w:rFonts w:cs="Arial"/>
                <w:sz w:val="18"/>
                <w:szCs w:val="18"/>
              </w:rPr>
            </w:pPr>
            <w:r>
              <w:rPr>
                <w:rFonts w:cs="Arial"/>
                <w:sz w:val="18"/>
                <w:szCs w:val="18"/>
              </w:rPr>
              <w:t>Estas três APAs</w:t>
            </w:r>
            <w:r w:rsidRPr="00EE5FA2">
              <w:rPr>
                <w:rFonts w:cs="Arial"/>
                <w:sz w:val="18"/>
                <w:szCs w:val="18"/>
              </w:rPr>
              <w:t xml:space="preserve"> possuem Conselho Gestor Unificado</w:t>
            </w:r>
          </w:p>
          <w:p w:rsidR="0074157E" w:rsidRPr="00EE5FA2" w:rsidRDefault="0074157E" w:rsidP="0074157E">
            <w:pPr>
              <w:spacing w:after="0"/>
              <w:jc w:val="left"/>
              <w:rPr>
                <w:rFonts w:cs="Arial"/>
                <w:sz w:val="18"/>
                <w:szCs w:val="18"/>
              </w:rPr>
            </w:pPr>
            <w:r>
              <w:rPr>
                <w:rFonts w:cs="Arial"/>
                <w:sz w:val="18"/>
                <w:szCs w:val="18"/>
              </w:rPr>
              <w:t>(</w:t>
            </w:r>
            <w:r w:rsidRPr="00EE5FA2">
              <w:rPr>
                <w:rFonts w:cs="Arial"/>
                <w:sz w:val="18"/>
                <w:szCs w:val="18"/>
              </w:rPr>
              <w:t>APAs Piracantareira</w:t>
            </w:r>
            <w:r>
              <w:rPr>
                <w:rFonts w:cs="Arial"/>
                <w:sz w:val="18"/>
                <w:szCs w:val="18"/>
              </w:rPr>
              <w:t>)</w:t>
            </w:r>
          </w:p>
        </w:tc>
      </w:tr>
      <w:tr w:rsidR="0074157E" w:rsidRPr="00EE5FA2" w:rsidTr="00A52105">
        <w:trPr>
          <w:cantSplit/>
        </w:trPr>
        <w:tc>
          <w:tcPr>
            <w:tcW w:w="1232" w:type="dxa"/>
            <w:vMerge/>
            <w:shd w:val="clear" w:color="auto" w:fill="EAF1DD" w:themeFill="accent3" w:themeFillTint="33"/>
            <w:vAlign w:val="center"/>
          </w:tcPr>
          <w:p w:rsidR="0074157E" w:rsidRPr="00EE5FA2" w:rsidRDefault="0074157E" w:rsidP="00B81B5D">
            <w:pPr>
              <w:spacing w:after="0"/>
              <w:rPr>
                <w:rFonts w:cs="Arial"/>
                <w:sz w:val="18"/>
                <w:szCs w:val="18"/>
              </w:rPr>
            </w:pPr>
          </w:p>
        </w:tc>
        <w:tc>
          <w:tcPr>
            <w:tcW w:w="1680" w:type="dxa"/>
            <w:shd w:val="clear" w:color="auto" w:fill="EAF1DD" w:themeFill="accent3" w:themeFillTint="33"/>
            <w:vAlign w:val="center"/>
          </w:tcPr>
          <w:p w:rsidR="0074157E" w:rsidRPr="00EE5FA2" w:rsidRDefault="0074157E" w:rsidP="00B81B5D">
            <w:pPr>
              <w:spacing w:after="0"/>
              <w:jc w:val="left"/>
              <w:rPr>
                <w:rFonts w:cs="Arial"/>
                <w:sz w:val="18"/>
                <w:szCs w:val="18"/>
              </w:rPr>
            </w:pPr>
            <w:r w:rsidRPr="00EE5FA2">
              <w:rPr>
                <w:rFonts w:eastAsia="MS Mincho" w:cs="Arial"/>
                <w:bCs/>
                <w:sz w:val="18"/>
                <w:szCs w:val="18"/>
                <w:lang w:val="pt-PT"/>
              </w:rPr>
              <w:t>APA Estadual Piracicaba / Juqueri Mirim – Área II</w:t>
            </w:r>
          </w:p>
        </w:tc>
        <w:tc>
          <w:tcPr>
            <w:tcW w:w="3292" w:type="dxa"/>
            <w:vMerge/>
            <w:shd w:val="clear" w:color="auto" w:fill="EAF1DD" w:themeFill="accent3" w:themeFillTint="33"/>
            <w:vAlign w:val="center"/>
          </w:tcPr>
          <w:p w:rsidR="0074157E" w:rsidRPr="00EE5FA2" w:rsidRDefault="0074157E" w:rsidP="00B81B5D">
            <w:pPr>
              <w:spacing w:after="0"/>
              <w:jc w:val="left"/>
              <w:rPr>
                <w:rFonts w:cs="Arial"/>
                <w:sz w:val="18"/>
                <w:szCs w:val="18"/>
              </w:rPr>
            </w:pPr>
          </w:p>
        </w:tc>
        <w:tc>
          <w:tcPr>
            <w:tcW w:w="1842" w:type="dxa"/>
            <w:vMerge/>
            <w:shd w:val="clear" w:color="auto" w:fill="EAF1DD" w:themeFill="accent3" w:themeFillTint="33"/>
            <w:vAlign w:val="center"/>
          </w:tcPr>
          <w:p w:rsidR="0074157E" w:rsidRPr="00EE5FA2" w:rsidRDefault="0074157E" w:rsidP="00B81B5D">
            <w:pPr>
              <w:spacing w:after="0"/>
              <w:jc w:val="center"/>
              <w:rPr>
                <w:rFonts w:cs="Arial"/>
                <w:sz w:val="18"/>
                <w:szCs w:val="18"/>
              </w:rPr>
            </w:pPr>
          </w:p>
        </w:tc>
        <w:tc>
          <w:tcPr>
            <w:tcW w:w="1560" w:type="dxa"/>
            <w:vMerge/>
            <w:shd w:val="clear" w:color="auto" w:fill="EAF1DD" w:themeFill="accent3" w:themeFillTint="33"/>
            <w:vAlign w:val="center"/>
          </w:tcPr>
          <w:p w:rsidR="0074157E" w:rsidRPr="00EE5FA2" w:rsidRDefault="0074157E" w:rsidP="00B81B5D">
            <w:pPr>
              <w:spacing w:after="0"/>
              <w:jc w:val="left"/>
              <w:rPr>
                <w:rFonts w:cs="Arial"/>
                <w:sz w:val="18"/>
                <w:szCs w:val="18"/>
              </w:rPr>
            </w:pPr>
          </w:p>
        </w:tc>
      </w:tr>
      <w:tr w:rsidR="00A3238D" w:rsidRPr="00EE5FA2" w:rsidTr="00A52105">
        <w:trPr>
          <w:cantSplit/>
        </w:trPr>
        <w:tc>
          <w:tcPr>
            <w:tcW w:w="1232" w:type="dxa"/>
            <w:vMerge/>
            <w:shd w:val="clear" w:color="auto" w:fill="EAF1DD" w:themeFill="accent3" w:themeFillTint="33"/>
            <w:vAlign w:val="center"/>
          </w:tcPr>
          <w:p w:rsidR="00A3238D" w:rsidRPr="00EE5FA2" w:rsidRDefault="00A3238D" w:rsidP="00B81B5D">
            <w:pPr>
              <w:spacing w:after="0"/>
              <w:rPr>
                <w:rFonts w:cs="Arial"/>
                <w:sz w:val="18"/>
                <w:szCs w:val="18"/>
              </w:rPr>
            </w:pPr>
          </w:p>
        </w:tc>
        <w:tc>
          <w:tcPr>
            <w:tcW w:w="1680" w:type="dxa"/>
            <w:shd w:val="clear" w:color="auto" w:fill="EAF1DD" w:themeFill="accent3" w:themeFillTint="33"/>
            <w:vAlign w:val="center"/>
          </w:tcPr>
          <w:p w:rsidR="00A3238D" w:rsidRPr="00EE5FA2" w:rsidRDefault="00A3238D" w:rsidP="00B81B5D">
            <w:pPr>
              <w:suppressAutoHyphens/>
              <w:spacing w:after="0"/>
              <w:jc w:val="left"/>
              <w:rPr>
                <w:rFonts w:eastAsia="MS Mincho" w:cs="Arial"/>
                <w:bCs/>
                <w:sz w:val="18"/>
                <w:szCs w:val="18"/>
                <w:lang w:val="pt-PT"/>
              </w:rPr>
            </w:pPr>
            <w:r w:rsidRPr="00EE5FA2">
              <w:rPr>
                <w:rFonts w:eastAsia="MS Mincho" w:cs="Arial"/>
                <w:bCs/>
                <w:sz w:val="18"/>
                <w:szCs w:val="18"/>
                <w:lang w:val="pt-PT"/>
              </w:rPr>
              <w:t xml:space="preserve">APA </w:t>
            </w:r>
            <w:r w:rsidR="003B197B">
              <w:rPr>
                <w:rFonts w:eastAsia="MS Mincho" w:cs="Arial"/>
                <w:bCs/>
                <w:sz w:val="18"/>
                <w:szCs w:val="18"/>
                <w:lang w:val="pt-PT"/>
              </w:rPr>
              <w:t xml:space="preserve">Estadual </w:t>
            </w:r>
            <w:r w:rsidRPr="00EE5FA2">
              <w:rPr>
                <w:rFonts w:eastAsia="MS Mincho" w:cs="Arial"/>
                <w:bCs/>
                <w:sz w:val="18"/>
                <w:szCs w:val="18"/>
                <w:lang w:val="pt-PT"/>
              </w:rPr>
              <w:t>Represa Bairro da Usina</w:t>
            </w:r>
          </w:p>
        </w:tc>
        <w:tc>
          <w:tcPr>
            <w:tcW w:w="3292" w:type="dxa"/>
            <w:shd w:val="clear" w:color="auto" w:fill="EAF1DD" w:themeFill="accent3" w:themeFillTint="33"/>
            <w:vAlign w:val="center"/>
          </w:tcPr>
          <w:p w:rsidR="00A3238D" w:rsidRPr="00EE5FA2" w:rsidRDefault="00A3238D" w:rsidP="0074157E">
            <w:pPr>
              <w:spacing w:after="0"/>
              <w:jc w:val="left"/>
              <w:rPr>
                <w:rFonts w:cs="Arial"/>
                <w:sz w:val="18"/>
                <w:szCs w:val="18"/>
              </w:rPr>
            </w:pPr>
            <w:r w:rsidRPr="00EE5FA2">
              <w:rPr>
                <w:rFonts w:cs="Arial"/>
                <w:sz w:val="18"/>
                <w:szCs w:val="18"/>
              </w:rPr>
              <w:t xml:space="preserve">Não há interveniência com essa APA </w:t>
            </w:r>
            <w:r w:rsidR="0074157E">
              <w:rPr>
                <w:rFonts w:cs="Arial"/>
                <w:sz w:val="18"/>
                <w:szCs w:val="18"/>
              </w:rPr>
              <w:t>em Atibaia.</w:t>
            </w:r>
            <w:r w:rsidRPr="00EE5FA2">
              <w:rPr>
                <w:rFonts w:cs="Arial"/>
                <w:sz w:val="18"/>
                <w:szCs w:val="18"/>
              </w:rPr>
              <w:t xml:space="preserve"> </w:t>
            </w:r>
            <w:r w:rsidR="0074157E">
              <w:rPr>
                <w:rFonts w:cs="Arial"/>
                <w:sz w:val="18"/>
                <w:szCs w:val="18"/>
              </w:rPr>
              <w:t>E</w:t>
            </w:r>
            <w:r w:rsidRPr="00EE5FA2">
              <w:rPr>
                <w:rFonts w:cs="Arial"/>
                <w:sz w:val="18"/>
                <w:szCs w:val="18"/>
              </w:rPr>
              <w:t xml:space="preserve">sta UC integra as APAs Piracantareira, </w:t>
            </w:r>
            <w:r w:rsidR="004E70CD">
              <w:rPr>
                <w:rFonts w:cs="Arial"/>
                <w:sz w:val="18"/>
                <w:szCs w:val="18"/>
              </w:rPr>
              <w:t>com gestão unificada</w:t>
            </w:r>
          </w:p>
        </w:tc>
        <w:tc>
          <w:tcPr>
            <w:tcW w:w="1842" w:type="dxa"/>
            <w:shd w:val="clear" w:color="auto" w:fill="EAF1DD" w:themeFill="accent3" w:themeFillTint="33"/>
            <w:vAlign w:val="center"/>
          </w:tcPr>
          <w:p w:rsidR="00A3238D" w:rsidRPr="00EE5FA2" w:rsidRDefault="0074157E" w:rsidP="00B81B5D">
            <w:pPr>
              <w:spacing w:after="0"/>
              <w:jc w:val="center"/>
              <w:rPr>
                <w:rFonts w:cs="Arial"/>
                <w:sz w:val="18"/>
                <w:szCs w:val="18"/>
              </w:rPr>
            </w:pPr>
            <w:r>
              <w:rPr>
                <w:rFonts w:cs="Arial"/>
                <w:sz w:val="18"/>
                <w:szCs w:val="18"/>
              </w:rPr>
              <w:t>Não há</w:t>
            </w:r>
          </w:p>
        </w:tc>
        <w:tc>
          <w:tcPr>
            <w:tcW w:w="1560" w:type="dxa"/>
            <w:vMerge/>
            <w:shd w:val="clear" w:color="auto" w:fill="EAF1DD" w:themeFill="accent3" w:themeFillTint="33"/>
            <w:vAlign w:val="center"/>
          </w:tcPr>
          <w:p w:rsidR="00A3238D" w:rsidRPr="00EE5FA2" w:rsidRDefault="00A3238D" w:rsidP="00B81B5D">
            <w:pPr>
              <w:spacing w:after="0"/>
              <w:jc w:val="left"/>
              <w:rPr>
                <w:rFonts w:cs="Arial"/>
                <w:sz w:val="18"/>
                <w:szCs w:val="18"/>
              </w:rPr>
            </w:pPr>
          </w:p>
        </w:tc>
      </w:tr>
      <w:tr w:rsidR="0074157E" w:rsidRPr="00EE5FA2" w:rsidTr="00A52105">
        <w:trPr>
          <w:cantSplit/>
        </w:trPr>
        <w:tc>
          <w:tcPr>
            <w:tcW w:w="1232" w:type="dxa"/>
            <w:vMerge/>
            <w:shd w:val="clear" w:color="auto" w:fill="EAF1DD" w:themeFill="accent3" w:themeFillTint="33"/>
            <w:vAlign w:val="center"/>
          </w:tcPr>
          <w:p w:rsidR="0074157E" w:rsidRPr="00EE5FA2" w:rsidRDefault="0074157E" w:rsidP="0074157E">
            <w:pPr>
              <w:spacing w:after="0"/>
              <w:rPr>
                <w:rFonts w:cs="Arial"/>
                <w:sz w:val="18"/>
                <w:szCs w:val="18"/>
              </w:rPr>
            </w:pPr>
          </w:p>
        </w:tc>
        <w:tc>
          <w:tcPr>
            <w:tcW w:w="1680" w:type="dxa"/>
            <w:shd w:val="clear" w:color="auto" w:fill="EAF1DD" w:themeFill="accent3" w:themeFillTint="33"/>
            <w:vAlign w:val="center"/>
          </w:tcPr>
          <w:p w:rsidR="0074157E" w:rsidRPr="00EE5FA2" w:rsidRDefault="0074157E" w:rsidP="0074157E">
            <w:pPr>
              <w:suppressAutoHyphens/>
              <w:spacing w:after="0"/>
              <w:jc w:val="left"/>
              <w:rPr>
                <w:rFonts w:eastAsia="MS Mincho" w:cs="Arial"/>
                <w:bCs/>
                <w:sz w:val="18"/>
                <w:szCs w:val="18"/>
                <w:lang w:val="pt-PT"/>
              </w:rPr>
            </w:pPr>
            <w:r w:rsidRPr="00EE5FA2">
              <w:rPr>
                <w:rFonts w:eastAsia="MS Mincho" w:cs="Arial"/>
                <w:bCs/>
                <w:sz w:val="18"/>
                <w:szCs w:val="18"/>
                <w:lang w:val="pt-PT"/>
              </w:rPr>
              <w:t>APA Estadual São Francisco Xavier</w:t>
            </w:r>
          </w:p>
        </w:tc>
        <w:tc>
          <w:tcPr>
            <w:tcW w:w="3292" w:type="dxa"/>
            <w:shd w:val="clear" w:color="auto" w:fill="EAF1DD" w:themeFill="accent3" w:themeFillTint="33"/>
            <w:vAlign w:val="center"/>
          </w:tcPr>
          <w:p w:rsidR="0074157E" w:rsidRPr="00EE5FA2" w:rsidRDefault="0074157E" w:rsidP="0074157E">
            <w:pPr>
              <w:spacing w:after="0"/>
              <w:jc w:val="left"/>
              <w:rPr>
                <w:rFonts w:cs="Arial"/>
                <w:sz w:val="18"/>
                <w:szCs w:val="18"/>
              </w:rPr>
            </w:pPr>
            <w:r w:rsidRPr="00EE5FA2">
              <w:rPr>
                <w:rFonts w:cs="Arial"/>
                <w:sz w:val="18"/>
                <w:szCs w:val="18"/>
              </w:rPr>
              <w:t>ZPM (curva 1.400 m até o limite do município de São José dos Campos, em zona de cabeceira dos afluentes do rio do Peixe); ZCB (curva 1.400 metros e 1.100 metros na sub-bacia do rio do Peixe) - AII</w:t>
            </w:r>
          </w:p>
        </w:tc>
        <w:tc>
          <w:tcPr>
            <w:tcW w:w="1842" w:type="dxa"/>
            <w:shd w:val="clear" w:color="auto" w:fill="EAF1DD" w:themeFill="accent3" w:themeFillTint="33"/>
            <w:vAlign w:val="center"/>
          </w:tcPr>
          <w:p w:rsidR="0074157E" w:rsidRPr="00EE5FA2" w:rsidRDefault="0074157E" w:rsidP="0074157E">
            <w:pPr>
              <w:spacing w:after="0"/>
              <w:jc w:val="center"/>
              <w:rPr>
                <w:rFonts w:eastAsia="Times New Roman" w:cs="Arial"/>
                <w:bCs/>
                <w:sz w:val="18"/>
                <w:szCs w:val="18"/>
                <w:lang w:eastAsia="ar-SA"/>
              </w:rPr>
            </w:pPr>
            <w:r>
              <w:rPr>
                <w:rFonts w:cs="Arial"/>
                <w:sz w:val="18"/>
                <w:szCs w:val="18"/>
              </w:rPr>
              <w:t>Não há</w:t>
            </w:r>
          </w:p>
        </w:tc>
        <w:tc>
          <w:tcPr>
            <w:tcW w:w="1560" w:type="dxa"/>
            <w:shd w:val="clear" w:color="auto" w:fill="EAF1DD" w:themeFill="accent3" w:themeFillTint="33"/>
            <w:vAlign w:val="center"/>
          </w:tcPr>
          <w:p w:rsidR="0074157E" w:rsidRPr="00EE5FA2" w:rsidRDefault="0074157E" w:rsidP="0074157E">
            <w:pPr>
              <w:spacing w:after="0"/>
              <w:jc w:val="left"/>
              <w:rPr>
                <w:rFonts w:cs="Arial"/>
                <w:sz w:val="18"/>
                <w:szCs w:val="18"/>
              </w:rPr>
            </w:pPr>
            <w:r w:rsidRPr="00EE5FA2">
              <w:rPr>
                <w:rFonts w:eastAsia="Times New Roman" w:cs="Arial"/>
                <w:bCs/>
                <w:sz w:val="18"/>
                <w:szCs w:val="18"/>
                <w:lang w:eastAsia="ar-SA"/>
              </w:rPr>
              <w:t>Fundação Florestal / SMA</w:t>
            </w:r>
          </w:p>
        </w:tc>
      </w:tr>
      <w:tr w:rsidR="0074157E" w:rsidRPr="00EE5FA2" w:rsidTr="00A52105">
        <w:trPr>
          <w:cantSplit/>
        </w:trPr>
        <w:tc>
          <w:tcPr>
            <w:tcW w:w="1232" w:type="dxa"/>
            <w:vMerge/>
            <w:shd w:val="clear" w:color="auto" w:fill="EAF1DD" w:themeFill="accent3" w:themeFillTint="33"/>
            <w:vAlign w:val="center"/>
          </w:tcPr>
          <w:p w:rsidR="0074157E" w:rsidRPr="00EE5FA2" w:rsidRDefault="0074157E" w:rsidP="0074157E">
            <w:pPr>
              <w:spacing w:after="0"/>
              <w:rPr>
                <w:rFonts w:cs="Arial"/>
                <w:sz w:val="18"/>
                <w:szCs w:val="18"/>
              </w:rPr>
            </w:pPr>
          </w:p>
        </w:tc>
        <w:tc>
          <w:tcPr>
            <w:tcW w:w="1680" w:type="dxa"/>
            <w:shd w:val="clear" w:color="auto" w:fill="EAF1DD" w:themeFill="accent3" w:themeFillTint="33"/>
            <w:vAlign w:val="center"/>
          </w:tcPr>
          <w:p w:rsidR="0074157E" w:rsidRPr="00EE5FA2" w:rsidRDefault="0074157E" w:rsidP="0074157E">
            <w:pPr>
              <w:suppressAutoHyphens/>
              <w:spacing w:after="0"/>
              <w:jc w:val="left"/>
              <w:rPr>
                <w:rFonts w:eastAsia="MS Mincho" w:cs="Arial"/>
                <w:bCs/>
                <w:sz w:val="18"/>
                <w:szCs w:val="18"/>
                <w:lang w:val="pt-PT"/>
              </w:rPr>
            </w:pPr>
            <w:r w:rsidRPr="00EE5FA2">
              <w:rPr>
                <w:rFonts w:eastAsia="MS Mincho" w:cs="Arial"/>
                <w:bCs/>
                <w:sz w:val="18"/>
                <w:szCs w:val="18"/>
                <w:lang w:val="pt-PT"/>
              </w:rPr>
              <w:t>Floresta Estadual de Guarulhos</w:t>
            </w:r>
          </w:p>
        </w:tc>
        <w:tc>
          <w:tcPr>
            <w:tcW w:w="3292" w:type="dxa"/>
            <w:shd w:val="clear" w:color="auto" w:fill="EAF1DD" w:themeFill="accent3" w:themeFillTint="33"/>
            <w:vAlign w:val="center"/>
          </w:tcPr>
          <w:p w:rsidR="0074157E" w:rsidRPr="00EE5FA2" w:rsidRDefault="00031E14" w:rsidP="00031E14">
            <w:pPr>
              <w:spacing w:after="0"/>
              <w:jc w:val="left"/>
              <w:rPr>
                <w:rFonts w:cs="Arial"/>
                <w:sz w:val="18"/>
                <w:szCs w:val="18"/>
              </w:rPr>
            </w:pPr>
            <w:r>
              <w:rPr>
                <w:rFonts w:cs="Arial"/>
                <w:sz w:val="18"/>
                <w:szCs w:val="18"/>
              </w:rPr>
              <w:t xml:space="preserve">Situa-se nas cabeceiras </w:t>
            </w:r>
            <w:r w:rsidRPr="00EE5FA2">
              <w:rPr>
                <w:rFonts w:cs="Arial"/>
                <w:sz w:val="18"/>
                <w:szCs w:val="18"/>
              </w:rPr>
              <w:t>do rio Jaguar</w:t>
            </w:r>
            <w:r>
              <w:rPr>
                <w:rFonts w:cs="Arial"/>
                <w:sz w:val="18"/>
                <w:szCs w:val="18"/>
              </w:rPr>
              <w:t>i, que faz parte da AII</w:t>
            </w:r>
          </w:p>
        </w:tc>
        <w:tc>
          <w:tcPr>
            <w:tcW w:w="1842" w:type="dxa"/>
            <w:shd w:val="clear" w:color="auto" w:fill="EAF1DD" w:themeFill="accent3" w:themeFillTint="33"/>
            <w:vAlign w:val="center"/>
          </w:tcPr>
          <w:p w:rsidR="0074157E" w:rsidRPr="00EE5FA2" w:rsidRDefault="0074157E" w:rsidP="0074157E">
            <w:pPr>
              <w:spacing w:after="0"/>
              <w:jc w:val="center"/>
              <w:rPr>
                <w:rFonts w:eastAsia="Times New Roman" w:cs="Arial"/>
                <w:bCs/>
                <w:sz w:val="18"/>
                <w:szCs w:val="18"/>
                <w:lang w:eastAsia="ar-SA"/>
              </w:rPr>
            </w:pPr>
            <w:r>
              <w:rPr>
                <w:rFonts w:cs="Arial"/>
                <w:sz w:val="18"/>
                <w:szCs w:val="18"/>
              </w:rPr>
              <w:t>Não há</w:t>
            </w:r>
          </w:p>
        </w:tc>
        <w:tc>
          <w:tcPr>
            <w:tcW w:w="1560" w:type="dxa"/>
            <w:shd w:val="clear" w:color="auto" w:fill="EAF1DD" w:themeFill="accent3" w:themeFillTint="33"/>
            <w:vAlign w:val="center"/>
          </w:tcPr>
          <w:p w:rsidR="0074157E" w:rsidRPr="00EE5FA2" w:rsidRDefault="0074157E" w:rsidP="0074157E">
            <w:pPr>
              <w:spacing w:after="0"/>
              <w:jc w:val="left"/>
              <w:rPr>
                <w:rFonts w:cs="Arial"/>
                <w:sz w:val="18"/>
                <w:szCs w:val="18"/>
              </w:rPr>
            </w:pPr>
            <w:r w:rsidRPr="00EE5FA2">
              <w:rPr>
                <w:rFonts w:eastAsia="Times New Roman" w:cs="Arial"/>
                <w:bCs/>
                <w:sz w:val="18"/>
                <w:szCs w:val="18"/>
                <w:lang w:eastAsia="ar-SA"/>
              </w:rPr>
              <w:t>Instituto Florestal / SMA</w:t>
            </w:r>
          </w:p>
        </w:tc>
      </w:tr>
      <w:tr w:rsidR="0074157E" w:rsidRPr="00EE5FA2" w:rsidTr="00A52105">
        <w:trPr>
          <w:cantSplit/>
        </w:trPr>
        <w:tc>
          <w:tcPr>
            <w:tcW w:w="1232" w:type="dxa"/>
            <w:vMerge/>
            <w:shd w:val="clear" w:color="auto" w:fill="EAF1DD" w:themeFill="accent3" w:themeFillTint="33"/>
            <w:vAlign w:val="center"/>
          </w:tcPr>
          <w:p w:rsidR="0074157E" w:rsidRPr="00EE5FA2" w:rsidRDefault="0074157E" w:rsidP="0074157E">
            <w:pPr>
              <w:spacing w:after="0"/>
              <w:rPr>
                <w:rFonts w:cs="Arial"/>
                <w:sz w:val="18"/>
                <w:szCs w:val="18"/>
              </w:rPr>
            </w:pPr>
          </w:p>
        </w:tc>
        <w:tc>
          <w:tcPr>
            <w:tcW w:w="1680" w:type="dxa"/>
            <w:shd w:val="clear" w:color="auto" w:fill="EAF1DD" w:themeFill="accent3" w:themeFillTint="33"/>
            <w:vAlign w:val="center"/>
          </w:tcPr>
          <w:p w:rsidR="0074157E" w:rsidRPr="00EE5FA2" w:rsidRDefault="0074157E" w:rsidP="0074157E">
            <w:pPr>
              <w:suppressAutoHyphens/>
              <w:spacing w:after="0"/>
              <w:jc w:val="left"/>
              <w:rPr>
                <w:rFonts w:eastAsia="MS Mincho" w:cs="Arial"/>
                <w:bCs/>
                <w:sz w:val="18"/>
                <w:szCs w:val="18"/>
                <w:lang w:val="pt-PT"/>
              </w:rPr>
            </w:pPr>
            <w:r w:rsidRPr="00EE5FA2">
              <w:rPr>
                <w:rFonts w:cs="Arial"/>
                <w:sz w:val="18"/>
                <w:szCs w:val="18"/>
                <w:lang w:val="pt-PT"/>
              </w:rPr>
              <w:t>RPPN Fazenda Rio dos Pilões</w:t>
            </w:r>
          </w:p>
        </w:tc>
        <w:tc>
          <w:tcPr>
            <w:tcW w:w="3292" w:type="dxa"/>
            <w:shd w:val="clear" w:color="auto" w:fill="EAF1DD" w:themeFill="accent3" w:themeFillTint="33"/>
            <w:vAlign w:val="center"/>
          </w:tcPr>
          <w:p w:rsidR="0074157E" w:rsidRPr="00EE5FA2" w:rsidRDefault="00031E14" w:rsidP="00031E14">
            <w:pPr>
              <w:spacing w:after="0"/>
              <w:jc w:val="left"/>
              <w:rPr>
                <w:rFonts w:cs="Arial"/>
                <w:sz w:val="18"/>
                <w:szCs w:val="18"/>
              </w:rPr>
            </w:pPr>
            <w:r>
              <w:rPr>
                <w:rFonts w:cs="Arial"/>
                <w:sz w:val="18"/>
                <w:szCs w:val="18"/>
              </w:rPr>
              <w:t xml:space="preserve">Situa-se na </w:t>
            </w:r>
            <w:r w:rsidRPr="00EE5FA2">
              <w:rPr>
                <w:rFonts w:cs="Arial"/>
                <w:sz w:val="18"/>
                <w:szCs w:val="18"/>
              </w:rPr>
              <w:t>bacia do rio Jaguari</w:t>
            </w:r>
            <w:r>
              <w:rPr>
                <w:rFonts w:cs="Arial"/>
                <w:sz w:val="18"/>
                <w:szCs w:val="18"/>
              </w:rPr>
              <w:t xml:space="preserve">, </w:t>
            </w:r>
            <w:r w:rsidRPr="00EE5FA2">
              <w:rPr>
                <w:rFonts w:cs="Arial"/>
                <w:sz w:val="18"/>
                <w:szCs w:val="18"/>
              </w:rPr>
              <w:t xml:space="preserve">sub-bacia do rio dos Pilões, </w:t>
            </w:r>
            <w:r>
              <w:rPr>
                <w:rFonts w:cs="Arial"/>
                <w:sz w:val="18"/>
                <w:szCs w:val="18"/>
              </w:rPr>
              <w:t>(m</w:t>
            </w:r>
            <w:r w:rsidR="0074157E" w:rsidRPr="00EE5FA2">
              <w:rPr>
                <w:rFonts w:cs="Arial"/>
                <w:sz w:val="18"/>
                <w:szCs w:val="18"/>
              </w:rPr>
              <w:t>unicípio de Santa Isabel</w:t>
            </w:r>
            <w:r>
              <w:rPr>
                <w:rFonts w:cs="Arial"/>
                <w:sz w:val="18"/>
                <w:szCs w:val="18"/>
              </w:rPr>
              <w:t>), que</w:t>
            </w:r>
            <w:r w:rsidR="0074157E" w:rsidRPr="00EE5FA2">
              <w:rPr>
                <w:rFonts w:cs="Arial"/>
                <w:sz w:val="18"/>
                <w:szCs w:val="18"/>
              </w:rPr>
              <w:t xml:space="preserve"> faz parte da AII</w:t>
            </w:r>
          </w:p>
        </w:tc>
        <w:tc>
          <w:tcPr>
            <w:tcW w:w="1842" w:type="dxa"/>
            <w:shd w:val="clear" w:color="auto" w:fill="EAF1DD" w:themeFill="accent3" w:themeFillTint="33"/>
            <w:vAlign w:val="center"/>
          </w:tcPr>
          <w:p w:rsidR="0074157E" w:rsidRPr="00EE5FA2" w:rsidRDefault="0074157E" w:rsidP="0074157E">
            <w:pPr>
              <w:spacing w:after="0"/>
              <w:jc w:val="center"/>
              <w:rPr>
                <w:rFonts w:cs="Arial"/>
                <w:sz w:val="18"/>
                <w:szCs w:val="18"/>
              </w:rPr>
            </w:pPr>
            <w:r>
              <w:rPr>
                <w:rFonts w:cs="Arial"/>
                <w:sz w:val="18"/>
                <w:szCs w:val="18"/>
              </w:rPr>
              <w:t>Não há</w:t>
            </w:r>
          </w:p>
        </w:tc>
        <w:tc>
          <w:tcPr>
            <w:tcW w:w="1560" w:type="dxa"/>
            <w:shd w:val="clear" w:color="auto" w:fill="EAF1DD" w:themeFill="accent3" w:themeFillTint="33"/>
            <w:vAlign w:val="center"/>
          </w:tcPr>
          <w:p w:rsidR="0074157E" w:rsidRPr="00EE5FA2" w:rsidRDefault="0074157E" w:rsidP="0074157E">
            <w:pPr>
              <w:spacing w:after="0"/>
              <w:jc w:val="left"/>
              <w:rPr>
                <w:rFonts w:cs="Arial"/>
                <w:sz w:val="18"/>
                <w:szCs w:val="18"/>
              </w:rPr>
            </w:pPr>
            <w:r w:rsidRPr="00EE5FA2">
              <w:rPr>
                <w:rFonts w:cs="Arial"/>
                <w:sz w:val="18"/>
                <w:szCs w:val="18"/>
              </w:rPr>
              <w:t>APRI – Associação dos Proprietários em Reserva Ibirapitanga</w:t>
            </w:r>
          </w:p>
        </w:tc>
      </w:tr>
      <w:tr w:rsidR="0074157E" w:rsidRPr="00EE5FA2" w:rsidTr="00A52105">
        <w:trPr>
          <w:cantSplit/>
        </w:trPr>
        <w:tc>
          <w:tcPr>
            <w:tcW w:w="1232" w:type="dxa"/>
            <w:vMerge/>
            <w:shd w:val="clear" w:color="auto" w:fill="EAF1DD" w:themeFill="accent3" w:themeFillTint="33"/>
            <w:vAlign w:val="center"/>
          </w:tcPr>
          <w:p w:rsidR="0074157E" w:rsidRPr="00EE5FA2" w:rsidRDefault="0074157E" w:rsidP="0074157E">
            <w:pPr>
              <w:spacing w:after="0"/>
              <w:rPr>
                <w:rFonts w:cs="Arial"/>
                <w:sz w:val="18"/>
                <w:szCs w:val="18"/>
              </w:rPr>
            </w:pPr>
          </w:p>
        </w:tc>
        <w:tc>
          <w:tcPr>
            <w:tcW w:w="1680" w:type="dxa"/>
            <w:shd w:val="clear" w:color="auto" w:fill="EAF1DD" w:themeFill="accent3" w:themeFillTint="33"/>
            <w:vAlign w:val="center"/>
          </w:tcPr>
          <w:p w:rsidR="0074157E" w:rsidRPr="00EE5FA2" w:rsidRDefault="0074157E" w:rsidP="0074157E">
            <w:pPr>
              <w:suppressAutoHyphens/>
              <w:spacing w:after="0"/>
              <w:jc w:val="left"/>
              <w:rPr>
                <w:rFonts w:eastAsia="MS Mincho" w:cs="Arial"/>
                <w:bCs/>
                <w:sz w:val="18"/>
                <w:szCs w:val="18"/>
                <w:lang w:val="pt-PT"/>
              </w:rPr>
            </w:pPr>
            <w:r w:rsidRPr="00EE5FA2">
              <w:rPr>
                <w:rFonts w:cs="Arial"/>
                <w:sz w:val="18"/>
                <w:szCs w:val="18"/>
              </w:rPr>
              <w:t xml:space="preserve">APA Estadual Jaguari / Rio do Peixe </w:t>
            </w:r>
          </w:p>
        </w:tc>
        <w:tc>
          <w:tcPr>
            <w:tcW w:w="3292" w:type="dxa"/>
            <w:shd w:val="clear" w:color="auto" w:fill="EAF1DD" w:themeFill="accent3" w:themeFillTint="33"/>
            <w:vAlign w:val="center"/>
          </w:tcPr>
          <w:p w:rsidR="0074157E" w:rsidRPr="00EE5FA2" w:rsidRDefault="00031E14" w:rsidP="00031E14">
            <w:pPr>
              <w:spacing w:after="0"/>
              <w:jc w:val="left"/>
              <w:rPr>
                <w:rFonts w:cs="Arial"/>
                <w:sz w:val="18"/>
                <w:szCs w:val="18"/>
              </w:rPr>
            </w:pPr>
            <w:r>
              <w:rPr>
                <w:rFonts w:cs="Arial"/>
                <w:sz w:val="18"/>
                <w:szCs w:val="18"/>
              </w:rPr>
              <w:t xml:space="preserve">Situa-se na </w:t>
            </w:r>
            <w:r w:rsidRPr="00EE5FA2">
              <w:rPr>
                <w:rFonts w:cs="Arial"/>
                <w:sz w:val="18"/>
                <w:szCs w:val="18"/>
              </w:rPr>
              <w:t>bacia do rio Jaguari</w:t>
            </w:r>
            <w:r>
              <w:rPr>
                <w:rFonts w:cs="Arial"/>
                <w:sz w:val="18"/>
                <w:szCs w:val="18"/>
              </w:rPr>
              <w:t xml:space="preserve">, </w:t>
            </w:r>
            <w:r w:rsidRPr="00EE5FA2">
              <w:rPr>
                <w:rFonts w:cs="Arial"/>
                <w:sz w:val="18"/>
                <w:szCs w:val="18"/>
              </w:rPr>
              <w:t xml:space="preserve">sub-bacia do rio do Peixe </w:t>
            </w:r>
            <w:r>
              <w:rPr>
                <w:rFonts w:cs="Arial"/>
                <w:sz w:val="18"/>
                <w:szCs w:val="18"/>
              </w:rPr>
              <w:t>(m</w:t>
            </w:r>
            <w:r w:rsidR="0074157E" w:rsidRPr="00EE5FA2">
              <w:rPr>
                <w:rFonts w:cs="Arial"/>
                <w:sz w:val="18"/>
                <w:szCs w:val="18"/>
              </w:rPr>
              <w:t xml:space="preserve">unicípio de </w:t>
            </w:r>
            <w:r>
              <w:rPr>
                <w:rFonts w:cs="Arial"/>
                <w:sz w:val="18"/>
                <w:szCs w:val="18"/>
              </w:rPr>
              <w:t xml:space="preserve">SJC), que </w:t>
            </w:r>
            <w:r w:rsidR="0074157E" w:rsidRPr="00EE5FA2">
              <w:rPr>
                <w:rFonts w:cs="Arial"/>
                <w:sz w:val="18"/>
                <w:szCs w:val="18"/>
              </w:rPr>
              <w:t>faz parte da AII</w:t>
            </w:r>
          </w:p>
        </w:tc>
        <w:tc>
          <w:tcPr>
            <w:tcW w:w="1842" w:type="dxa"/>
            <w:shd w:val="clear" w:color="auto" w:fill="EAF1DD" w:themeFill="accent3" w:themeFillTint="33"/>
            <w:vAlign w:val="center"/>
          </w:tcPr>
          <w:p w:rsidR="0074157E" w:rsidRPr="00EE5FA2" w:rsidRDefault="0074157E" w:rsidP="0074157E">
            <w:pPr>
              <w:spacing w:after="0"/>
              <w:jc w:val="center"/>
              <w:rPr>
                <w:rFonts w:eastAsia="Times New Roman" w:cs="Arial"/>
                <w:bCs/>
                <w:sz w:val="18"/>
                <w:szCs w:val="18"/>
                <w:highlight w:val="yellow"/>
                <w:lang w:eastAsia="ar-SA"/>
              </w:rPr>
            </w:pPr>
            <w:r>
              <w:rPr>
                <w:rFonts w:cs="Arial"/>
                <w:sz w:val="18"/>
                <w:szCs w:val="18"/>
              </w:rPr>
              <w:t>Não há</w:t>
            </w:r>
          </w:p>
        </w:tc>
        <w:tc>
          <w:tcPr>
            <w:tcW w:w="1560" w:type="dxa"/>
            <w:shd w:val="clear" w:color="auto" w:fill="EAF1DD" w:themeFill="accent3" w:themeFillTint="33"/>
            <w:vAlign w:val="center"/>
          </w:tcPr>
          <w:p w:rsidR="0074157E" w:rsidRPr="00EE5FA2" w:rsidRDefault="0074157E" w:rsidP="0074157E">
            <w:pPr>
              <w:spacing w:after="0"/>
              <w:jc w:val="left"/>
              <w:rPr>
                <w:rFonts w:cs="Arial"/>
                <w:sz w:val="18"/>
                <w:szCs w:val="18"/>
                <w:highlight w:val="yellow"/>
              </w:rPr>
            </w:pPr>
            <w:r w:rsidRPr="00EE5FA2">
              <w:rPr>
                <w:rFonts w:eastAsia="Times New Roman" w:cs="Arial"/>
                <w:bCs/>
                <w:sz w:val="18"/>
                <w:szCs w:val="18"/>
                <w:lang w:eastAsia="ar-SA"/>
              </w:rPr>
              <w:t>Fundação Florestal / SMA</w:t>
            </w:r>
          </w:p>
        </w:tc>
      </w:tr>
      <w:tr w:rsidR="00D54314" w:rsidRPr="00EE5FA2" w:rsidTr="00A52105">
        <w:trPr>
          <w:cantSplit/>
        </w:trPr>
        <w:tc>
          <w:tcPr>
            <w:tcW w:w="1232" w:type="dxa"/>
            <w:vMerge/>
            <w:shd w:val="clear" w:color="auto" w:fill="EAF1DD" w:themeFill="accent3" w:themeFillTint="33"/>
            <w:vAlign w:val="center"/>
          </w:tcPr>
          <w:p w:rsidR="00D54314" w:rsidRPr="00EE5FA2" w:rsidRDefault="00D54314" w:rsidP="00D54314">
            <w:pPr>
              <w:spacing w:after="0"/>
              <w:rPr>
                <w:rFonts w:cs="Arial"/>
                <w:sz w:val="18"/>
                <w:szCs w:val="18"/>
              </w:rPr>
            </w:pPr>
          </w:p>
        </w:tc>
        <w:tc>
          <w:tcPr>
            <w:tcW w:w="1680" w:type="dxa"/>
            <w:shd w:val="clear" w:color="auto" w:fill="EAF1DD" w:themeFill="accent3" w:themeFillTint="33"/>
            <w:vAlign w:val="center"/>
          </w:tcPr>
          <w:p w:rsidR="00D54314" w:rsidRPr="00EE5FA2" w:rsidRDefault="00D54314" w:rsidP="00D54314">
            <w:pPr>
              <w:suppressAutoHyphens/>
              <w:spacing w:after="0"/>
              <w:jc w:val="left"/>
              <w:rPr>
                <w:rFonts w:cs="Arial"/>
                <w:sz w:val="18"/>
                <w:szCs w:val="18"/>
                <w:lang w:val="pt-PT"/>
              </w:rPr>
            </w:pPr>
            <w:r>
              <w:rPr>
                <w:rFonts w:cs="Arial"/>
                <w:sz w:val="18"/>
                <w:szCs w:val="18"/>
                <w:lang w:val="pt-PT"/>
              </w:rPr>
              <w:t xml:space="preserve">APA </w:t>
            </w:r>
            <w:r w:rsidR="003B197B" w:rsidRPr="00EE5FA2">
              <w:rPr>
                <w:rFonts w:cs="Arial"/>
                <w:sz w:val="18"/>
                <w:szCs w:val="18"/>
              </w:rPr>
              <w:t xml:space="preserve">Estadual </w:t>
            </w:r>
            <w:r>
              <w:rPr>
                <w:rFonts w:cs="Arial"/>
                <w:sz w:val="18"/>
                <w:szCs w:val="18"/>
                <w:lang w:val="pt-PT"/>
              </w:rPr>
              <w:t>do Banhado</w:t>
            </w:r>
          </w:p>
        </w:tc>
        <w:tc>
          <w:tcPr>
            <w:tcW w:w="3292" w:type="dxa"/>
            <w:shd w:val="clear" w:color="auto" w:fill="EAF1DD" w:themeFill="accent3" w:themeFillTint="33"/>
            <w:vAlign w:val="center"/>
          </w:tcPr>
          <w:p w:rsidR="00D54314" w:rsidRPr="00EE5FA2" w:rsidRDefault="00D54314" w:rsidP="00D54314">
            <w:pPr>
              <w:spacing w:after="0"/>
              <w:jc w:val="left"/>
              <w:rPr>
                <w:rFonts w:cs="Arial"/>
                <w:sz w:val="18"/>
                <w:szCs w:val="18"/>
              </w:rPr>
            </w:pPr>
            <w:r>
              <w:rPr>
                <w:rFonts w:cs="Arial"/>
                <w:sz w:val="18"/>
                <w:szCs w:val="18"/>
              </w:rPr>
              <w:t>Parte da APA é lindeira ao trecho do rio Jaguari à jusante da UHE</w:t>
            </w:r>
          </w:p>
        </w:tc>
        <w:tc>
          <w:tcPr>
            <w:tcW w:w="1842" w:type="dxa"/>
            <w:shd w:val="clear" w:color="auto" w:fill="EAF1DD" w:themeFill="accent3" w:themeFillTint="33"/>
            <w:vAlign w:val="center"/>
          </w:tcPr>
          <w:p w:rsidR="00D54314" w:rsidRDefault="00D54314" w:rsidP="00D54314">
            <w:pPr>
              <w:spacing w:after="0"/>
              <w:jc w:val="center"/>
              <w:rPr>
                <w:rFonts w:cs="Arial"/>
                <w:sz w:val="18"/>
                <w:szCs w:val="18"/>
              </w:rPr>
            </w:pPr>
            <w:r>
              <w:rPr>
                <w:rFonts w:cs="Arial"/>
                <w:sz w:val="18"/>
                <w:szCs w:val="18"/>
              </w:rPr>
              <w:t>Não há</w:t>
            </w:r>
          </w:p>
        </w:tc>
        <w:tc>
          <w:tcPr>
            <w:tcW w:w="1560" w:type="dxa"/>
            <w:shd w:val="clear" w:color="auto" w:fill="EAF1DD" w:themeFill="accent3" w:themeFillTint="33"/>
            <w:vAlign w:val="center"/>
          </w:tcPr>
          <w:p w:rsidR="00D54314" w:rsidRPr="00EE5FA2" w:rsidRDefault="00D54314" w:rsidP="00D54314">
            <w:pPr>
              <w:spacing w:after="0"/>
              <w:jc w:val="left"/>
              <w:rPr>
                <w:rFonts w:cs="Arial"/>
                <w:sz w:val="18"/>
                <w:szCs w:val="18"/>
                <w:highlight w:val="yellow"/>
              </w:rPr>
            </w:pPr>
            <w:r w:rsidRPr="00EE5FA2">
              <w:rPr>
                <w:rFonts w:eastAsia="Times New Roman" w:cs="Arial"/>
                <w:bCs/>
                <w:sz w:val="18"/>
                <w:szCs w:val="18"/>
                <w:lang w:eastAsia="ar-SA"/>
              </w:rPr>
              <w:t>Fundação Florestal / SMA</w:t>
            </w:r>
          </w:p>
        </w:tc>
      </w:tr>
      <w:tr w:rsidR="00D54314" w:rsidRPr="00EE5FA2" w:rsidTr="00A52105">
        <w:trPr>
          <w:cantSplit/>
        </w:trPr>
        <w:tc>
          <w:tcPr>
            <w:tcW w:w="1232" w:type="dxa"/>
            <w:vMerge/>
            <w:shd w:val="clear" w:color="auto" w:fill="EAF1DD" w:themeFill="accent3" w:themeFillTint="33"/>
            <w:vAlign w:val="center"/>
          </w:tcPr>
          <w:p w:rsidR="00D54314" w:rsidRPr="00EE5FA2" w:rsidRDefault="00D54314" w:rsidP="00D54314">
            <w:pPr>
              <w:spacing w:after="0"/>
              <w:rPr>
                <w:rFonts w:cs="Arial"/>
                <w:sz w:val="18"/>
                <w:szCs w:val="18"/>
              </w:rPr>
            </w:pPr>
          </w:p>
        </w:tc>
        <w:tc>
          <w:tcPr>
            <w:tcW w:w="1680" w:type="dxa"/>
            <w:shd w:val="clear" w:color="auto" w:fill="EAF1DD" w:themeFill="accent3" w:themeFillTint="33"/>
            <w:vAlign w:val="center"/>
          </w:tcPr>
          <w:p w:rsidR="00D54314" w:rsidRPr="00EE5FA2" w:rsidRDefault="00D54314" w:rsidP="00D54314">
            <w:pPr>
              <w:suppressAutoHyphens/>
              <w:spacing w:after="0"/>
              <w:jc w:val="left"/>
              <w:rPr>
                <w:rFonts w:cs="Arial"/>
                <w:sz w:val="18"/>
                <w:szCs w:val="18"/>
                <w:lang w:val="pt-PT"/>
              </w:rPr>
            </w:pPr>
            <w:r w:rsidRPr="00EE5FA2">
              <w:rPr>
                <w:rFonts w:cs="Arial"/>
                <w:sz w:val="18"/>
                <w:szCs w:val="18"/>
                <w:lang w:val="pt-PT"/>
              </w:rPr>
              <w:t>Parque Ecológico de Igaratá</w:t>
            </w:r>
            <w:r>
              <w:rPr>
                <w:rFonts w:cs="Arial"/>
                <w:sz w:val="18"/>
                <w:szCs w:val="18"/>
                <w:lang w:val="pt-PT"/>
              </w:rPr>
              <w:t xml:space="preserve"> (não faz parte</w:t>
            </w:r>
            <w:r w:rsidRPr="00EE5FA2">
              <w:rPr>
                <w:rFonts w:cs="Arial"/>
                <w:sz w:val="18"/>
                <w:szCs w:val="18"/>
                <w:lang w:val="pt-PT"/>
              </w:rPr>
              <w:t xml:space="preserve"> </w:t>
            </w:r>
            <w:r>
              <w:rPr>
                <w:rFonts w:cs="Arial"/>
                <w:sz w:val="18"/>
                <w:szCs w:val="18"/>
                <w:lang w:val="pt-PT"/>
              </w:rPr>
              <w:t>d</w:t>
            </w:r>
            <w:r w:rsidRPr="00EE5FA2">
              <w:rPr>
                <w:rFonts w:cs="Arial"/>
                <w:sz w:val="18"/>
                <w:szCs w:val="18"/>
                <w:lang w:val="pt-PT"/>
              </w:rPr>
              <w:t>o SNUC)</w:t>
            </w:r>
          </w:p>
        </w:tc>
        <w:tc>
          <w:tcPr>
            <w:tcW w:w="3292" w:type="dxa"/>
            <w:shd w:val="clear" w:color="auto" w:fill="EAF1DD" w:themeFill="accent3" w:themeFillTint="33"/>
            <w:vAlign w:val="center"/>
          </w:tcPr>
          <w:p w:rsidR="00D54314" w:rsidRPr="00EE5FA2" w:rsidRDefault="00D54314" w:rsidP="00D54314">
            <w:pPr>
              <w:spacing w:after="0"/>
              <w:jc w:val="left"/>
              <w:rPr>
                <w:rFonts w:cs="Arial"/>
                <w:sz w:val="18"/>
                <w:szCs w:val="18"/>
              </w:rPr>
            </w:pPr>
            <w:r w:rsidRPr="00EE5FA2">
              <w:rPr>
                <w:rFonts w:cs="Arial"/>
                <w:sz w:val="18"/>
                <w:szCs w:val="18"/>
              </w:rPr>
              <w:t xml:space="preserve">O município de Igaratá faz parte da AII. </w:t>
            </w:r>
          </w:p>
        </w:tc>
        <w:tc>
          <w:tcPr>
            <w:tcW w:w="1842" w:type="dxa"/>
            <w:shd w:val="clear" w:color="auto" w:fill="EAF1DD" w:themeFill="accent3" w:themeFillTint="33"/>
            <w:vAlign w:val="center"/>
          </w:tcPr>
          <w:p w:rsidR="00D54314" w:rsidRPr="00EE5FA2" w:rsidRDefault="00D54314" w:rsidP="00D54314">
            <w:pPr>
              <w:spacing w:after="0"/>
              <w:jc w:val="center"/>
              <w:rPr>
                <w:rFonts w:cs="Arial"/>
                <w:sz w:val="18"/>
                <w:szCs w:val="18"/>
              </w:rPr>
            </w:pPr>
            <w:r>
              <w:rPr>
                <w:rFonts w:cs="Arial"/>
                <w:sz w:val="18"/>
                <w:szCs w:val="18"/>
              </w:rPr>
              <w:t>Não há</w:t>
            </w:r>
          </w:p>
        </w:tc>
        <w:tc>
          <w:tcPr>
            <w:tcW w:w="1560" w:type="dxa"/>
            <w:shd w:val="clear" w:color="auto" w:fill="EAF1DD" w:themeFill="accent3" w:themeFillTint="33"/>
            <w:vAlign w:val="center"/>
          </w:tcPr>
          <w:p w:rsidR="00D54314" w:rsidRPr="00EE5FA2" w:rsidRDefault="00D54314" w:rsidP="00D54314">
            <w:pPr>
              <w:spacing w:after="0"/>
              <w:jc w:val="left"/>
              <w:rPr>
                <w:rFonts w:cs="Arial"/>
                <w:sz w:val="18"/>
                <w:szCs w:val="18"/>
              </w:rPr>
            </w:pPr>
            <w:r>
              <w:rPr>
                <w:rFonts w:cs="Arial"/>
                <w:sz w:val="18"/>
                <w:szCs w:val="18"/>
              </w:rPr>
              <w:t xml:space="preserve">Prefeitura </w:t>
            </w:r>
            <w:r w:rsidRPr="00EE5FA2">
              <w:rPr>
                <w:rFonts w:cs="Arial"/>
                <w:sz w:val="18"/>
                <w:szCs w:val="18"/>
              </w:rPr>
              <w:t>Municipal de Igaratá</w:t>
            </w:r>
          </w:p>
        </w:tc>
      </w:tr>
      <w:tr w:rsidR="00D54314" w:rsidRPr="00EE5FA2" w:rsidTr="00A52105">
        <w:trPr>
          <w:cantSplit/>
        </w:trPr>
        <w:tc>
          <w:tcPr>
            <w:tcW w:w="1232" w:type="dxa"/>
            <w:shd w:val="clear" w:color="auto" w:fill="EAF1DD" w:themeFill="accent3" w:themeFillTint="33"/>
            <w:vAlign w:val="center"/>
          </w:tcPr>
          <w:p w:rsidR="00D54314" w:rsidRPr="00EE5FA2" w:rsidRDefault="00D54314" w:rsidP="00D54314">
            <w:pPr>
              <w:spacing w:after="0"/>
              <w:rPr>
                <w:rFonts w:cs="Arial"/>
                <w:sz w:val="18"/>
                <w:szCs w:val="18"/>
              </w:rPr>
            </w:pPr>
          </w:p>
        </w:tc>
        <w:tc>
          <w:tcPr>
            <w:tcW w:w="1680" w:type="dxa"/>
            <w:shd w:val="clear" w:color="auto" w:fill="EAF1DD" w:themeFill="accent3" w:themeFillTint="33"/>
            <w:vAlign w:val="center"/>
          </w:tcPr>
          <w:p w:rsidR="00D54314" w:rsidRPr="00EE5FA2" w:rsidRDefault="00D54314" w:rsidP="00D54314">
            <w:pPr>
              <w:suppressAutoHyphens/>
              <w:spacing w:after="0"/>
              <w:jc w:val="left"/>
              <w:rPr>
                <w:rFonts w:cs="Arial"/>
                <w:sz w:val="18"/>
                <w:szCs w:val="18"/>
                <w:lang w:val="pt-PT"/>
              </w:rPr>
            </w:pPr>
            <w:r>
              <w:rPr>
                <w:rFonts w:cs="Arial"/>
                <w:sz w:val="18"/>
                <w:szCs w:val="18"/>
                <w:lang w:val="pt-PT"/>
              </w:rPr>
              <w:t xml:space="preserve">APA </w:t>
            </w:r>
            <w:r w:rsidR="003B197B" w:rsidRPr="00EE5FA2">
              <w:rPr>
                <w:rFonts w:cs="Arial"/>
                <w:sz w:val="18"/>
                <w:szCs w:val="18"/>
              </w:rPr>
              <w:t xml:space="preserve">Estadual </w:t>
            </w:r>
            <w:r>
              <w:rPr>
                <w:rFonts w:cs="Arial"/>
                <w:sz w:val="18"/>
                <w:szCs w:val="18"/>
                <w:lang w:val="pt-PT"/>
              </w:rPr>
              <w:t>Fernão Dias</w:t>
            </w:r>
            <w:r w:rsidR="003B197B">
              <w:rPr>
                <w:rFonts w:cs="Arial"/>
                <w:sz w:val="18"/>
                <w:szCs w:val="18"/>
                <w:lang w:val="pt-PT"/>
              </w:rPr>
              <w:t xml:space="preserve"> (MG)</w:t>
            </w:r>
          </w:p>
        </w:tc>
        <w:tc>
          <w:tcPr>
            <w:tcW w:w="3292" w:type="dxa"/>
            <w:shd w:val="clear" w:color="auto" w:fill="EAF1DD" w:themeFill="accent3" w:themeFillTint="33"/>
            <w:vAlign w:val="center"/>
          </w:tcPr>
          <w:p w:rsidR="00D54314" w:rsidRPr="00EE5FA2" w:rsidRDefault="00D54314" w:rsidP="00D54314">
            <w:pPr>
              <w:spacing w:after="0"/>
              <w:jc w:val="left"/>
              <w:rPr>
                <w:rFonts w:cs="Arial"/>
                <w:sz w:val="18"/>
                <w:szCs w:val="18"/>
              </w:rPr>
            </w:pPr>
            <w:r>
              <w:rPr>
                <w:rFonts w:cs="Arial"/>
                <w:sz w:val="18"/>
                <w:szCs w:val="18"/>
              </w:rPr>
              <w:t>Protege a porção superior da bacia do Sistema Cantareira em MG</w:t>
            </w:r>
          </w:p>
        </w:tc>
        <w:tc>
          <w:tcPr>
            <w:tcW w:w="1842" w:type="dxa"/>
            <w:shd w:val="clear" w:color="auto" w:fill="EAF1DD" w:themeFill="accent3" w:themeFillTint="33"/>
            <w:vAlign w:val="center"/>
          </w:tcPr>
          <w:p w:rsidR="00D54314" w:rsidRDefault="00D54314" w:rsidP="00D54314">
            <w:pPr>
              <w:spacing w:after="0"/>
              <w:jc w:val="center"/>
              <w:rPr>
                <w:rFonts w:cs="Arial"/>
                <w:sz w:val="18"/>
                <w:szCs w:val="18"/>
              </w:rPr>
            </w:pPr>
            <w:r>
              <w:rPr>
                <w:rFonts w:cs="Arial"/>
                <w:sz w:val="18"/>
                <w:szCs w:val="18"/>
              </w:rPr>
              <w:t>Não há</w:t>
            </w:r>
          </w:p>
        </w:tc>
        <w:tc>
          <w:tcPr>
            <w:tcW w:w="1560" w:type="dxa"/>
            <w:shd w:val="clear" w:color="auto" w:fill="EAF1DD" w:themeFill="accent3" w:themeFillTint="33"/>
            <w:vAlign w:val="center"/>
          </w:tcPr>
          <w:p w:rsidR="00D54314" w:rsidRDefault="00D54314" w:rsidP="00D54314">
            <w:pPr>
              <w:spacing w:after="0"/>
              <w:jc w:val="left"/>
              <w:rPr>
                <w:rFonts w:cs="Arial"/>
                <w:sz w:val="18"/>
                <w:szCs w:val="18"/>
              </w:rPr>
            </w:pPr>
            <w:r>
              <w:rPr>
                <w:rFonts w:cs="Arial"/>
                <w:sz w:val="18"/>
                <w:szCs w:val="18"/>
              </w:rPr>
              <w:t>IEF-MG</w:t>
            </w:r>
          </w:p>
        </w:tc>
      </w:tr>
    </w:tbl>
    <w:p w:rsidR="00A3238D" w:rsidRDefault="00A3238D" w:rsidP="00A3238D">
      <w:pPr>
        <w:rPr>
          <w:lang w:eastAsia="pt-BR"/>
        </w:rPr>
      </w:pPr>
    </w:p>
    <w:p w:rsidR="00A3238D" w:rsidRDefault="00B13BF5" w:rsidP="00A3238D">
      <w:pPr>
        <w:rPr>
          <w:rFonts w:eastAsia="MS Mincho" w:cs="Arial"/>
          <w:bCs/>
          <w:lang w:val="pt-PT"/>
        </w:rPr>
      </w:pPr>
      <w:r>
        <w:rPr>
          <w:rFonts w:eastAsia="MS Mincho" w:cs="Arial"/>
          <w:bCs/>
          <w:lang w:val="pt-PT"/>
        </w:rPr>
        <w:t>A</w:t>
      </w:r>
      <w:r w:rsidR="00107A66">
        <w:rPr>
          <w:rFonts w:eastAsia="MS Mincho" w:cs="Arial"/>
          <w:bCs/>
          <w:lang w:val="pt-PT"/>
        </w:rPr>
        <w:t xml:space="preserve"> </w:t>
      </w:r>
      <w:r w:rsidR="00107A66" w:rsidRPr="00A702DC">
        <w:rPr>
          <w:rFonts w:eastAsia="MS Mincho" w:cs="Arial"/>
          <w:b/>
          <w:bCs/>
          <w:lang w:val="pt-PT"/>
        </w:rPr>
        <w:t xml:space="preserve">Figura </w:t>
      </w:r>
      <w:r w:rsidR="00A702DC" w:rsidRPr="00A702DC">
        <w:rPr>
          <w:rFonts w:eastAsia="MS Mincho" w:cs="Arial"/>
          <w:b/>
          <w:bCs/>
          <w:lang w:val="pt-PT"/>
        </w:rPr>
        <w:t>6.4.6-2</w:t>
      </w:r>
      <w:r w:rsidR="00A702DC" w:rsidRPr="00F05FCB">
        <w:rPr>
          <w:rFonts w:eastAsia="MS Mincho" w:cs="Arial"/>
          <w:bCs/>
          <w:lang w:val="pt-PT"/>
        </w:rPr>
        <w:t xml:space="preserve"> </w:t>
      </w:r>
      <w:r w:rsidR="00F05FCB" w:rsidRPr="00F05FCB">
        <w:rPr>
          <w:rFonts w:eastAsia="MS Mincho" w:cs="Arial"/>
          <w:bCs/>
          <w:lang w:val="pt-PT"/>
        </w:rPr>
        <w:t xml:space="preserve">na </w:t>
      </w:r>
      <w:r w:rsidR="00107A66" w:rsidRPr="00A702DC">
        <w:rPr>
          <w:rFonts w:eastAsia="MS Mincho" w:cs="Arial"/>
          <w:bCs/>
          <w:lang w:val="pt-PT"/>
        </w:rPr>
        <w:t>es</w:t>
      </w:r>
      <w:r w:rsidR="00002970" w:rsidRPr="00A702DC">
        <w:rPr>
          <w:rFonts w:eastAsia="MS Mincho" w:cs="Arial"/>
          <w:bCs/>
          <w:lang w:val="pt-PT"/>
        </w:rPr>
        <w:t>cala 1:</w:t>
      </w:r>
      <w:r w:rsidR="00107A66" w:rsidRPr="00A702DC">
        <w:rPr>
          <w:rFonts w:eastAsia="MS Mincho" w:cs="Arial"/>
          <w:bCs/>
          <w:lang w:val="pt-PT"/>
        </w:rPr>
        <w:t>250.000</w:t>
      </w:r>
      <w:r>
        <w:rPr>
          <w:rFonts w:eastAsia="MS Mincho" w:cs="Arial"/>
          <w:bCs/>
          <w:lang w:val="pt-PT"/>
        </w:rPr>
        <w:t xml:space="preserve">, apresenta a distribuição espacial das unidades de conservação </w:t>
      </w:r>
      <w:r w:rsidR="00DB7716">
        <w:rPr>
          <w:rFonts w:eastAsia="MS Mincho" w:cs="Arial"/>
          <w:bCs/>
          <w:lang w:val="pt-PT"/>
        </w:rPr>
        <w:t xml:space="preserve">do SNUC e </w:t>
      </w:r>
      <w:r w:rsidR="00107A66" w:rsidRPr="00A702DC">
        <w:rPr>
          <w:rFonts w:eastAsia="MS Mincho" w:cs="Arial"/>
          <w:bCs/>
          <w:lang w:val="pt-PT"/>
        </w:rPr>
        <w:t xml:space="preserve">o eixo do empreendimento em relação ao território </w:t>
      </w:r>
      <w:r w:rsidR="00A3238D" w:rsidRPr="00A702DC">
        <w:rPr>
          <w:rFonts w:eastAsia="MS Mincho" w:cs="Arial"/>
          <w:bCs/>
          <w:lang w:val="pt-PT"/>
        </w:rPr>
        <w:t>das</w:t>
      </w:r>
      <w:r w:rsidR="00A3238D" w:rsidRPr="0087475C">
        <w:rPr>
          <w:rFonts w:eastAsia="MS Mincho" w:cs="Arial"/>
          <w:bCs/>
          <w:lang w:val="pt-PT"/>
        </w:rPr>
        <w:t xml:space="preserve"> UCs que</w:t>
      </w:r>
      <w:r w:rsidR="00A3238D" w:rsidRPr="00246CA5">
        <w:rPr>
          <w:rFonts w:eastAsia="MS Mincho" w:cs="Arial"/>
          <w:bCs/>
          <w:lang w:val="pt-PT"/>
        </w:rPr>
        <w:t xml:space="preserve"> </w:t>
      </w:r>
      <w:r>
        <w:rPr>
          <w:rFonts w:eastAsia="MS Mincho" w:cs="Arial"/>
          <w:bCs/>
          <w:lang w:val="pt-PT"/>
        </w:rPr>
        <w:t>possuem</w:t>
      </w:r>
      <w:r w:rsidR="00A3238D" w:rsidRPr="00246CA5">
        <w:rPr>
          <w:rFonts w:eastAsia="MS Mincho" w:cs="Arial"/>
          <w:bCs/>
          <w:lang w:val="pt-PT"/>
        </w:rPr>
        <w:t xml:space="preserve"> parte do território</w:t>
      </w:r>
      <w:r w:rsidR="00A3238D">
        <w:rPr>
          <w:rFonts w:eastAsia="MS Mincho" w:cs="Arial"/>
          <w:bCs/>
          <w:lang w:val="pt-PT"/>
        </w:rPr>
        <w:t xml:space="preserve"> ou</w:t>
      </w:r>
      <w:r w:rsidR="00A3238D" w:rsidRPr="00246CA5">
        <w:rPr>
          <w:rFonts w:eastAsia="MS Mincho" w:cs="Arial"/>
          <w:bCs/>
          <w:lang w:val="pt-PT"/>
        </w:rPr>
        <w:t xml:space="preserve"> da sua zona de amortecimento na AII</w:t>
      </w:r>
      <w:r w:rsidR="00DB7716">
        <w:rPr>
          <w:rFonts w:eastAsia="MS Mincho" w:cs="Arial"/>
          <w:bCs/>
          <w:lang w:val="pt-PT"/>
        </w:rPr>
        <w:t xml:space="preserve"> e AID</w:t>
      </w:r>
      <w:r w:rsidR="00A3238D">
        <w:rPr>
          <w:rFonts w:eastAsia="MS Mincho" w:cs="Arial"/>
          <w:bCs/>
          <w:lang w:val="pt-PT"/>
        </w:rPr>
        <w:t xml:space="preserve">. </w:t>
      </w:r>
      <w:r w:rsidR="00107A66">
        <w:rPr>
          <w:rFonts w:eastAsia="MS Mincho" w:cs="Arial"/>
          <w:bCs/>
          <w:lang w:val="pt-PT"/>
        </w:rPr>
        <w:t>Esse mapeamento apresenta</w:t>
      </w:r>
      <w:r w:rsidR="00A3238D">
        <w:rPr>
          <w:rFonts w:eastAsia="MS Mincho" w:cs="Arial"/>
          <w:bCs/>
          <w:lang w:val="pt-PT"/>
        </w:rPr>
        <w:t xml:space="preserve"> também UCs que se encontram na região</w:t>
      </w:r>
      <w:r>
        <w:rPr>
          <w:rFonts w:eastAsia="MS Mincho" w:cs="Arial"/>
          <w:bCs/>
          <w:lang w:val="pt-PT"/>
        </w:rPr>
        <w:t xml:space="preserve"> de inserção</w:t>
      </w:r>
      <w:r w:rsidR="00A3238D">
        <w:rPr>
          <w:rFonts w:eastAsia="MS Mincho" w:cs="Arial"/>
          <w:bCs/>
          <w:lang w:val="pt-PT"/>
        </w:rPr>
        <w:t xml:space="preserve"> mas cujo território e </w:t>
      </w:r>
      <w:r w:rsidR="00107A66">
        <w:rPr>
          <w:rFonts w:eastAsia="MS Mincho" w:cs="Arial"/>
          <w:bCs/>
          <w:lang w:val="pt-PT"/>
        </w:rPr>
        <w:t xml:space="preserve">ZA </w:t>
      </w:r>
      <w:r w:rsidR="00A3238D">
        <w:rPr>
          <w:rFonts w:eastAsia="MS Mincho" w:cs="Arial"/>
          <w:bCs/>
          <w:lang w:val="pt-PT"/>
        </w:rPr>
        <w:t>não fazem parte da AII</w:t>
      </w:r>
      <w:r w:rsidR="00107A66">
        <w:rPr>
          <w:rFonts w:eastAsia="MS Mincho" w:cs="Arial"/>
          <w:bCs/>
          <w:lang w:val="pt-PT"/>
        </w:rPr>
        <w:t>,</w:t>
      </w:r>
      <w:r w:rsidR="00A3238D">
        <w:rPr>
          <w:rFonts w:eastAsia="MS Mincho" w:cs="Arial"/>
          <w:bCs/>
          <w:lang w:val="pt-PT"/>
        </w:rPr>
        <w:t xml:space="preserve"> e outras tipologias de áreas protegidas não integrantes do SNUC, como </w:t>
      </w:r>
      <w:r w:rsidR="00A3238D" w:rsidRPr="004305F6">
        <w:rPr>
          <w:rFonts w:eastAsia="MS Mincho" w:cs="Arial"/>
          <w:bCs/>
          <w:lang w:val="pt-PT"/>
        </w:rPr>
        <w:t>Área</w:t>
      </w:r>
      <w:r w:rsidR="00A3238D">
        <w:rPr>
          <w:rFonts w:eastAsia="MS Mincho" w:cs="Arial"/>
          <w:bCs/>
          <w:lang w:val="pt-PT"/>
        </w:rPr>
        <w:t>s</w:t>
      </w:r>
      <w:r w:rsidR="00A3238D" w:rsidRPr="004305F6">
        <w:rPr>
          <w:rFonts w:eastAsia="MS Mincho" w:cs="Arial"/>
          <w:bCs/>
          <w:lang w:val="pt-PT"/>
        </w:rPr>
        <w:t xml:space="preserve"> Natura</w:t>
      </w:r>
      <w:r w:rsidR="00A3238D">
        <w:rPr>
          <w:rFonts w:eastAsia="MS Mincho" w:cs="Arial"/>
          <w:bCs/>
          <w:lang w:val="pt-PT"/>
        </w:rPr>
        <w:t>is</w:t>
      </w:r>
      <w:r w:rsidR="00A3238D" w:rsidRPr="004305F6">
        <w:rPr>
          <w:rFonts w:eastAsia="MS Mincho" w:cs="Arial"/>
          <w:bCs/>
          <w:lang w:val="pt-PT"/>
        </w:rPr>
        <w:t xml:space="preserve"> Tombada</w:t>
      </w:r>
      <w:r w:rsidR="00A3238D">
        <w:rPr>
          <w:rFonts w:eastAsia="MS Mincho" w:cs="Arial"/>
          <w:bCs/>
          <w:lang w:val="pt-PT"/>
        </w:rPr>
        <w:t>s (ANT).</w:t>
      </w:r>
      <w:r w:rsidR="003C18B1">
        <w:rPr>
          <w:rFonts w:eastAsia="MS Mincho" w:cs="Arial"/>
          <w:bCs/>
          <w:lang w:val="pt-PT"/>
        </w:rPr>
        <w:t xml:space="preserve"> A </w:t>
      </w:r>
      <w:r w:rsidR="00F05FCB">
        <w:rPr>
          <w:rFonts w:eastAsia="MS Mincho" w:cs="Arial"/>
          <w:b/>
          <w:bCs/>
          <w:lang w:val="pt-PT"/>
        </w:rPr>
        <w:t>Figura 6.4.6-3</w:t>
      </w:r>
      <w:r w:rsidR="003C18B1">
        <w:rPr>
          <w:rFonts w:eastAsia="MS Mincho" w:cs="Arial"/>
          <w:bCs/>
          <w:lang w:val="pt-PT"/>
        </w:rPr>
        <w:t>, escala 1:150.000 mostra, em maior detalhe, o limite das UCs mais próximas do eixo da Interligação.</w:t>
      </w:r>
    </w:p>
    <w:p w:rsidR="00A3238D" w:rsidRDefault="00A3238D" w:rsidP="00A3238D">
      <w:pPr>
        <w:rPr>
          <w:rFonts w:eastAsia="MS Mincho" w:cs="Arial"/>
          <w:bCs/>
          <w:lang w:val="pt-PT"/>
        </w:rPr>
      </w:pPr>
      <w:r>
        <w:rPr>
          <w:rFonts w:eastAsia="MS Mincho" w:cs="Arial"/>
          <w:bCs/>
          <w:lang w:val="pt-PT"/>
        </w:rPr>
        <w:t>De acordo com a Lei nº 9.985</w:t>
      </w:r>
      <w:r w:rsidR="004E70CD">
        <w:rPr>
          <w:rFonts w:eastAsia="MS Mincho" w:cs="Arial"/>
          <w:bCs/>
          <w:lang w:val="pt-PT"/>
        </w:rPr>
        <w:t>/00</w:t>
      </w:r>
      <w:r>
        <w:rPr>
          <w:rFonts w:eastAsia="MS Mincho" w:cs="Arial"/>
          <w:bCs/>
          <w:lang w:val="pt-PT"/>
        </w:rPr>
        <w:t xml:space="preserve">, que instituiu o SNUC, nas unidades de conservação de proteção integral e de uso sustentável envolvidas ou afetadas pela implantação do empreendimento são permitidos e/ou vetados usos do território protegido de acordo com os objetivos das unidades de conservação e conforme definido em seus respectivos Planos de Manejo. </w:t>
      </w:r>
    </w:p>
    <w:p w:rsidR="00A3238D" w:rsidRDefault="00A3238D" w:rsidP="00A3238D">
      <w:pPr>
        <w:rPr>
          <w:rFonts w:eastAsia="MS Mincho" w:cs="Arial"/>
          <w:bCs/>
          <w:lang w:val="pt-PT"/>
        </w:rPr>
      </w:pPr>
      <w:r>
        <w:rPr>
          <w:rFonts w:eastAsia="MS Mincho" w:cs="Arial"/>
          <w:bCs/>
          <w:lang w:val="pt-PT"/>
        </w:rPr>
        <w:t xml:space="preserve">Nesse sentido, para as quatro unidades de conservação diretamente envolvidas com o empreendimento </w:t>
      </w:r>
      <w:r w:rsidR="004E70CD">
        <w:rPr>
          <w:rFonts w:eastAsia="MS Mincho" w:cs="Arial"/>
          <w:bCs/>
          <w:lang w:val="pt-PT"/>
        </w:rPr>
        <w:t xml:space="preserve">em </w:t>
      </w:r>
      <w:r>
        <w:rPr>
          <w:rFonts w:eastAsia="MS Mincho" w:cs="Arial"/>
          <w:bCs/>
          <w:lang w:val="pt-PT"/>
        </w:rPr>
        <w:t xml:space="preserve">estudo verifica-se o que segue: </w:t>
      </w:r>
    </w:p>
    <w:p w:rsidR="00A3238D" w:rsidRPr="00544D59" w:rsidRDefault="00A3238D" w:rsidP="00A3238D">
      <w:pPr>
        <w:rPr>
          <w:rFonts w:cs="Arial"/>
          <w:color w:val="000000"/>
          <w:shd w:val="clear" w:color="auto" w:fill="FFFFFF"/>
        </w:rPr>
      </w:pPr>
      <w:r>
        <w:rPr>
          <w:rFonts w:cs="Arial"/>
          <w:b/>
          <w:color w:val="000000"/>
          <w:shd w:val="clear" w:color="auto" w:fill="FFFFFF"/>
          <w:lang w:val="pt-PT"/>
        </w:rPr>
        <w:t xml:space="preserve">UCs de </w:t>
      </w:r>
      <w:r w:rsidRPr="00544D59">
        <w:rPr>
          <w:rFonts w:cs="Arial"/>
          <w:b/>
          <w:color w:val="000000"/>
          <w:shd w:val="clear" w:color="auto" w:fill="FFFFFF"/>
          <w:lang w:val="pt-PT"/>
        </w:rPr>
        <w:t>P</w:t>
      </w:r>
      <w:r w:rsidRPr="00544D59">
        <w:rPr>
          <w:rFonts w:cs="Arial"/>
          <w:b/>
          <w:color w:val="000000"/>
          <w:shd w:val="clear" w:color="auto" w:fill="FFFFFF"/>
        </w:rPr>
        <w:t>roteção Integral</w:t>
      </w:r>
      <w:r>
        <w:rPr>
          <w:rFonts w:cs="Arial"/>
          <w:b/>
          <w:color w:val="000000"/>
          <w:shd w:val="clear" w:color="auto" w:fill="FFFFFF"/>
        </w:rPr>
        <w:t xml:space="preserve"> </w:t>
      </w:r>
    </w:p>
    <w:p w:rsidR="00A3238D" w:rsidRDefault="00A3238D" w:rsidP="00A3238D">
      <w:pPr>
        <w:rPr>
          <w:rFonts w:eastAsia="MS Mincho" w:cs="Arial"/>
          <w:bCs/>
          <w:lang w:val="pt-PT"/>
        </w:rPr>
      </w:pPr>
      <w:r w:rsidRPr="00AC7D10">
        <w:rPr>
          <w:rFonts w:eastAsia="MS Mincho" w:cs="Arial"/>
          <w:bCs/>
          <w:u w:val="single"/>
          <w:lang w:val="pt-PT"/>
        </w:rPr>
        <w:t>Parques Estaduais</w:t>
      </w:r>
      <w:r w:rsidRPr="00AC7D10">
        <w:rPr>
          <w:rFonts w:eastAsia="MS Mincho" w:cs="Arial"/>
          <w:bCs/>
          <w:lang w:val="pt-PT"/>
        </w:rPr>
        <w:t xml:space="preserve">: em seu Art. 11 a Lei 9.985 define que o Parque </w:t>
      </w:r>
      <w:r>
        <w:rPr>
          <w:rFonts w:eastAsia="MS Mincho" w:cs="Arial"/>
          <w:bCs/>
          <w:lang w:val="pt-PT"/>
        </w:rPr>
        <w:t>Nacional/</w:t>
      </w:r>
      <w:r w:rsidRPr="00AC7D10">
        <w:rPr>
          <w:rFonts w:eastAsia="MS Mincho" w:cs="Arial"/>
          <w:bCs/>
          <w:lang w:val="pt-PT"/>
        </w:rPr>
        <w:t>Estadual tem como objetivo básico a preservação de ecossistemas naturais de grande relevância ecológica e beleza cênica, possibilitando a realização de pesquisas científicas e o desenvolvimento de atividades de educação e interpretação ambiental, de recreação em contato com a natureza e de turismo ecológico. O Parque Nacional / Estadual é de posse e domínio públicos, sendo que as áreas particulares incluídas em seus limites serão desapropriadas, de acordo com o que dispõe a lei. A visitação pública está sujeita às normas e restrições estabelecidas no Plano de Manejo da unidade, às normas estabelecidas pelo órgão responsável por sua administração, e àquelas previstas em regulamento. A pesquisa científica depende de autorização prévia do órgão responsável pela administração da unidade e está sujeita às condições e restrições por este estabelecidas, bem como à</w:t>
      </w:r>
      <w:r>
        <w:rPr>
          <w:rFonts w:eastAsia="MS Mincho" w:cs="Arial"/>
          <w:bCs/>
          <w:lang w:val="pt-PT"/>
        </w:rPr>
        <w:t>quelas previstas em regulamento</w:t>
      </w:r>
      <w:r w:rsidRPr="00AC7D10">
        <w:rPr>
          <w:rFonts w:eastAsia="MS Mincho" w:cs="Arial"/>
          <w:bCs/>
          <w:lang w:val="pt-PT"/>
        </w:rPr>
        <w:t xml:space="preserve">. </w:t>
      </w:r>
    </w:p>
    <w:p w:rsidR="00A3238D" w:rsidRPr="00F71EC1" w:rsidRDefault="00A3238D" w:rsidP="000C50CE">
      <w:pPr>
        <w:pStyle w:val="PargrafodaLista"/>
        <w:numPr>
          <w:ilvl w:val="0"/>
          <w:numId w:val="15"/>
        </w:numPr>
        <w:rPr>
          <w:rFonts w:eastAsia="MS Mincho" w:cs="Arial"/>
          <w:bCs/>
          <w:lang w:val="pt-PT"/>
        </w:rPr>
      </w:pPr>
      <w:r w:rsidRPr="00F71EC1">
        <w:rPr>
          <w:rFonts w:eastAsia="MS Mincho" w:cs="Arial"/>
          <w:bCs/>
          <w:lang w:val="pt-PT"/>
        </w:rPr>
        <w:t xml:space="preserve">O Parque Estadual Itaberaba constitui a única UC de Proteção Integral </w:t>
      </w:r>
      <w:r w:rsidR="004E70CD">
        <w:rPr>
          <w:rFonts w:eastAsia="MS Mincho" w:cs="Arial"/>
          <w:bCs/>
          <w:lang w:val="pt-PT"/>
        </w:rPr>
        <w:t xml:space="preserve">com interface com o </w:t>
      </w:r>
      <w:r w:rsidRPr="00F71EC1">
        <w:rPr>
          <w:rFonts w:eastAsia="MS Mincho" w:cs="Arial"/>
          <w:bCs/>
          <w:lang w:val="pt-PT"/>
        </w:rPr>
        <w:t xml:space="preserve">empreendimento, </w:t>
      </w:r>
      <w:r w:rsidR="00107A66">
        <w:rPr>
          <w:rFonts w:eastAsia="MS Mincho" w:cs="Arial"/>
          <w:bCs/>
          <w:lang w:val="pt-PT"/>
        </w:rPr>
        <w:t xml:space="preserve">na </w:t>
      </w:r>
      <w:r w:rsidRPr="00F71EC1">
        <w:rPr>
          <w:rFonts w:eastAsia="MS Mincho" w:cs="Arial"/>
          <w:bCs/>
          <w:lang w:val="pt-PT"/>
        </w:rPr>
        <w:t xml:space="preserve">sua Zona de Amortecimento – ZA, que será interceptada pelo traçado da adutora em </w:t>
      </w:r>
      <w:r>
        <w:rPr>
          <w:rFonts w:eastAsia="MS Mincho" w:cs="Arial"/>
          <w:bCs/>
          <w:lang w:val="pt-PT"/>
        </w:rPr>
        <w:t>3,3</w:t>
      </w:r>
      <w:r w:rsidRPr="00F71EC1">
        <w:rPr>
          <w:rFonts w:eastAsia="MS Mincho" w:cs="Arial"/>
          <w:bCs/>
          <w:lang w:val="pt-PT"/>
        </w:rPr>
        <w:t xml:space="preserve"> km</w:t>
      </w:r>
      <w:r>
        <w:rPr>
          <w:rFonts w:eastAsia="MS Mincho" w:cs="Arial"/>
          <w:bCs/>
          <w:lang w:val="pt-PT"/>
        </w:rPr>
        <w:t xml:space="preserve"> em Igaratá</w:t>
      </w:r>
      <w:r w:rsidRPr="00F71EC1">
        <w:rPr>
          <w:rFonts w:eastAsia="MS Mincho" w:cs="Arial"/>
          <w:bCs/>
          <w:lang w:val="pt-PT"/>
        </w:rPr>
        <w:t>. Segundo informações da Fundação Florestal (</w:t>
      </w:r>
      <w:hyperlink r:id="rId231" w:history="1">
        <w:r>
          <w:rPr>
            <w:rStyle w:val="Hyperlink"/>
          </w:rPr>
          <w:t>http://www.ambiente.sp.gov.br/parque-itaberaba/informacoes-ao-usuario/</w:t>
        </w:r>
      </w:hyperlink>
      <w:r>
        <w:t xml:space="preserve">, site acessado em </w:t>
      </w:r>
      <w:r w:rsidRPr="00F71EC1">
        <w:rPr>
          <w:rFonts w:eastAsia="MS Mincho" w:cs="Arial"/>
          <w:bCs/>
          <w:lang w:val="pt-PT"/>
        </w:rPr>
        <w:t xml:space="preserve"> 19/11/2014), o Plano de Manejo está </w:t>
      </w:r>
      <w:r>
        <w:rPr>
          <w:rFonts w:eastAsia="MS Mincho" w:cs="Arial"/>
          <w:bCs/>
          <w:lang w:val="pt-PT"/>
        </w:rPr>
        <w:t>“</w:t>
      </w:r>
      <w:r w:rsidRPr="00F71EC1">
        <w:rPr>
          <w:rFonts w:eastAsia="MS Mincho" w:cs="Arial"/>
          <w:bCs/>
          <w:lang w:val="pt-PT"/>
        </w:rPr>
        <w:t>a ser elaborado</w:t>
      </w:r>
      <w:r>
        <w:rPr>
          <w:rFonts w:eastAsia="MS Mincho" w:cs="Arial"/>
          <w:bCs/>
          <w:lang w:val="pt-PT"/>
        </w:rPr>
        <w:t>”</w:t>
      </w:r>
      <w:r w:rsidRPr="00F71EC1">
        <w:rPr>
          <w:rFonts w:eastAsia="MS Mincho" w:cs="Arial"/>
          <w:bCs/>
          <w:lang w:val="pt-PT"/>
        </w:rPr>
        <w:t xml:space="preserve">. Dessa forma, não há definição dos usos permitidos para essa </w:t>
      </w:r>
      <w:r>
        <w:rPr>
          <w:rFonts w:eastAsia="MS Mincho" w:cs="Arial"/>
          <w:bCs/>
          <w:lang w:val="pt-PT"/>
        </w:rPr>
        <w:t>ZA</w:t>
      </w:r>
      <w:r w:rsidRPr="00F71EC1">
        <w:rPr>
          <w:rFonts w:eastAsia="MS Mincho" w:cs="Arial"/>
          <w:bCs/>
          <w:lang w:val="pt-PT"/>
        </w:rPr>
        <w:t>, especificamente.</w:t>
      </w:r>
      <w:r>
        <w:rPr>
          <w:rFonts w:eastAsia="MS Mincho" w:cs="Arial"/>
          <w:bCs/>
          <w:lang w:val="pt-PT"/>
        </w:rPr>
        <w:t xml:space="preserve"> A Fundação Florestal, órgão gestor dessa UC, deverá ser consultada para </w:t>
      </w:r>
      <w:r w:rsidR="00005BB5">
        <w:rPr>
          <w:lang w:eastAsia="ar-SA"/>
        </w:rPr>
        <w:t>autorização/</w:t>
      </w:r>
      <w:r w:rsidR="00005BB5">
        <w:rPr>
          <w:rFonts w:eastAsia="MS Mincho" w:cs="Arial"/>
          <w:bCs/>
          <w:lang w:val="pt-PT"/>
        </w:rPr>
        <w:t>anuência e</w:t>
      </w:r>
      <w:r w:rsidR="00005BB5">
        <w:rPr>
          <w:lang w:eastAsia="ar-SA"/>
        </w:rPr>
        <w:t xml:space="preserve"> </w:t>
      </w:r>
      <w:r>
        <w:rPr>
          <w:rFonts w:eastAsia="MS Mincho" w:cs="Arial"/>
          <w:bCs/>
          <w:lang w:val="pt-PT"/>
        </w:rPr>
        <w:t>manifestação.</w:t>
      </w:r>
    </w:p>
    <w:p w:rsidR="00F05FCB" w:rsidRDefault="00F05FCB">
      <w:pPr>
        <w:spacing w:after="200" w:line="276" w:lineRule="auto"/>
        <w:jc w:val="left"/>
        <w:rPr>
          <w:rFonts w:eastAsia="MS Mincho" w:cs="Arial"/>
          <w:b/>
          <w:bCs/>
          <w:lang w:val="pt-PT"/>
        </w:rPr>
      </w:pPr>
      <w:r>
        <w:rPr>
          <w:rFonts w:eastAsia="MS Mincho" w:cs="Arial"/>
          <w:b/>
          <w:bCs/>
          <w:lang w:val="pt-PT"/>
        </w:rPr>
        <w:br w:type="page"/>
      </w:r>
    </w:p>
    <w:p w:rsidR="00F05FCB" w:rsidRPr="007938F3" w:rsidRDefault="00F05FCB" w:rsidP="00F05FCB">
      <w:pPr>
        <w:rPr>
          <w:b/>
          <w:lang w:val="pt-PT"/>
        </w:rPr>
      </w:pPr>
      <w:r w:rsidRPr="007938F3">
        <w:rPr>
          <w:b/>
          <w:highlight w:val="yellow"/>
          <w:lang w:val="pt-PT"/>
        </w:rPr>
        <w:lastRenderedPageBreak/>
        <w:t>Figura 6.4.6-2</w:t>
      </w:r>
      <w:r w:rsidR="007938F3" w:rsidRPr="007938F3">
        <w:rPr>
          <w:b/>
          <w:highlight w:val="yellow"/>
          <w:lang w:val="pt-PT"/>
        </w:rPr>
        <w:t xml:space="preserve">. </w:t>
      </w:r>
      <w:r w:rsidR="007938F3" w:rsidRPr="007938F3">
        <w:rPr>
          <w:b/>
          <w:highlight w:val="yellow"/>
        </w:rPr>
        <w:t>Áreas Naturais Protegidas AII</w:t>
      </w:r>
      <w:r w:rsidRPr="007938F3">
        <w:rPr>
          <w:b/>
          <w:lang w:val="pt-PT"/>
        </w:rPr>
        <w:t xml:space="preserve"> </w:t>
      </w:r>
    </w:p>
    <w:p w:rsidR="00F05FCB" w:rsidRDefault="00F05FCB">
      <w:pPr>
        <w:spacing w:after="200" w:line="276" w:lineRule="auto"/>
        <w:jc w:val="left"/>
        <w:rPr>
          <w:rFonts w:eastAsia="MS Mincho" w:cs="Arial"/>
          <w:b/>
          <w:bCs/>
          <w:lang w:val="pt-PT"/>
        </w:rPr>
      </w:pPr>
      <w:r>
        <w:rPr>
          <w:rFonts w:eastAsia="MS Mincho" w:cs="Arial"/>
          <w:b/>
          <w:bCs/>
          <w:lang w:val="pt-PT"/>
        </w:rPr>
        <w:br w:type="page"/>
      </w:r>
    </w:p>
    <w:p w:rsidR="00F05FCB" w:rsidRPr="007938F3" w:rsidRDefault="00F05FCB" w:rsidP="00F05FCB">
      <w:pPr>
        <w:rPr>
          <w:b/>
          <w:lang w:val="pt-PT"/>
        </w:rPr>
      </w:pPr>
      <w:r w:rsidRPr="007938F3">
        <w:rPr>
          <w:b/>
          <w:highlight w:val="yellow"/>
          <w:lang w:val="pt-PT"/>
        </w:rPr>
        <w:lastRenderedPageBreak/>
        <w:t>Figura 6.4.6-3</w:t>
      </w:r>
      <w:r w:rsidR="007938F3" w:rsidRPr="007938F3">
        <w:rPr>
          <w:b/>
          <w:highlight w:val="yellow"/>
          <w:lang w:val="pt-PT"/>
        </w:rPr>
        <w:t>.</w:t>
      </w:r>
      <w:r w:rsidRPr="007938F3">
        <w:rPr>
          <w:b/>
          <w:highlight w:val="yellow"/>
          <w:lang w:val="pt-PT"/>
        </w:rPr>
        <w:t xml:space="preserve"> </w:t>
      </w:r>
      <w:r w:rsidR="007938F3" w:rsidRPr="007938F3">
        <w:rPr>
          <w:b/>
          <w:highlight w:val="yellow"/>
        </w:rPr>
        <w:t>Áreas Naturais Protegidas Detalhe</w:t>
      </w:r>
    </w:p>
    <w:p w:rsidR="00F05FCB" w:rsidRDefault="00F05FCB">
      <w:pPr>
        <w:spacing w:after="200" w:line="276" w:lineRule="auto"/>
        <w:jc w:val="left"/>
        <w:rPr>
          <w:rFonts w:eastAsia="MS Mincho" w:cs="Arial"/>
          <w:b/>
          <w:bCs/>
          <w:lang w:val="pt-PT"/>
        </w:rPr>
      </w:pPr>
      <w:r>
        <w:rPr>
          <w:rFonts w:eastAsia="MS Mincho" w:cs="Arial"/>
          <w:b/>
          <w:bCs/>
          <w:lang w:val="pt-PT"/>
        </w:rPr>
        <w:br w:type="page"/>
      </w:r>
    </w:p>
    <w:p w:rsidR="00A3238D" w:rsidRPr="0062651B" w:rsidRDefault="00A3238D" w:rsidP="00A3238D">
      <w:pPr>
        <w:rPr>
          <w:rFonts w:eastAsia="MS Mincho" w:cs="Arial"/>
          <w:b/>
          <w:bCs/>
          <w:lang w:val="pt-PT"/>
        </w:rPr>
      </w:pPr>
      <w:r w:rsidRPr="0062651B">
        <w:rPr>
          <w:rFonts w:eastAsia="MS Mincho" w:cs="Arial"/>
          <w:b/>
          <w:bCs/>
          <w:lang w:val="pt-PT"/>
        </w:rPr>
        <w:lastRenderedPageBreak/>
        <w:t>U</w:t>
      </w:r>
      <w:r>
        <w:rPr>
          <w:rFonts w:eastAsia="MS Mincho" w:cs="Arial"/>
          <w:b/>
          <w:bCs/>
          <w:lang w:val="pt-PT"/>
        </w:rPr>
        <w:t>Cs de U</w:t>
      </w:r>
      <w:r w:rsidRPr="0062651B">
        <w:rPr>
          <w:rFonts w:eastAsia="MS Mincho" w:cs="Arial"/>
          <w:b/>
          <w:bCs/>
          <w:lang w:val="pt-PT"/>
        </w:rPr>
        <w:t>so Sustentável</w:t>
      </w:r>
    </w:p>
    <w:p w:rsidR="00A3238D" w:rsidRPr="00074073" w:rsidRDefault="00A3238D" w:rsidP="00627D4F">
      <w:pPr>
        <w:rPr>
          <w:lang w:val="pt-PT"/>
        </w:rPr>
      </w:pPr>
      <w:r w:rsidRPr="00074073">
        <w:rPr>
          <w:u w:val="single"/>
          <w:lang w:val="pt-PT"/>
        </w:rPr>
        <w:t>Áreas de Proteção Ambiental – APA</w:t>
      </w:r>
      <w:r w:rsidRPr="00074073">
        <w:rPr>
          <w:lang w:val="pt-PT"/>
        </w:rPr>
        <w:t xml:space="preserve">: </w:t>
      </w:r>
      <w:r>
        <w:rPr>
          <w:lang w:val="pt-PT"/>
        </w:rPr>
        <w:t xml:space="preserve">conforme a </w:t>
      </w:r>
      <w:r w:rsidRPr="005B6F44">
        <w:rPr>
          <w:lang w:val="pt-PT"/>
        </w:rPr>
        <w:t xml:space="preserve">Lei 9.985 </w:t>
      </w:r>
      <w:r w:rsidR="00107A66">
        <w:rPr>
          <w:lang w:val="pt-PT"/>
        </w:rPr>
        <w:t>as APAs</w:t>
      </w:r>
      <w:r>
        <w:rPr>
          <w:lang w:val="pt-PT"/>
        </w:rPr>
        <w:t xml:space="preserve"> são</w:t>
      </w:r>
      <w:r w:rsidRPr="00074073">
        <w:rPr>
          <w:lang w:val="pt-PT"/>
        </w:rPr>
        <w:t xml:space="preserve"> área</w:t>
      </w:r>
      <w:r>
        <w:rPr>
          <w:lang w:val="pt-PT"/>
        </w:rPr>
        <w:t>s</w:t>
      </w:r>
      <w:r w:rsidRPr="00074073">
        <w:rPr>
          <w:lang w:val="pt-PT"/>
        </w:rPr>
        <w:t xml:space="preserve"> em geral extensa</w:t>
      </w:r>
      <w:r>
        <w:rPr>
          <w:lang w:val="pt-PT"/>
        </w:rPr>
        <w:t>s</w:t>
      </w:r>
      <w:r w:rsidRPr="00074073">
        <w:rPr>
          <w:lang w:val="pt-PT"/>
        </w:rPr>
        <w:t>, com um certo grau de ocupação humana, dotada</w:t>
      </w:r>
      <w:r w:rsidR="00107A66">
        <w:rPr>
          <w:lang w:val="pt-PT"/>
        </w:rPr>
        <w:t>s</w:t>
      </w:r>
      <w:r w:rsidRPr="00074073">
        <w:rPr>
          <w:lang w:val="pt-PT"/>
        </w:rPr>
        <w:t xml:space="preserve"> de atributos abióticos, bióticos, estéticos ou culturais especialmente importantes para a qualidade de vida e o bem-es</w:t>
      </w:r>
      <w:r w:rsidR="00107A66">
        <w:rPr>
          <w:lang w:val="pt-PT"/>
        </w:rPr>
        <w:t>tar das populações humanas, e tê</w:t>
      </w:r>
      <w:r w:rsidRPr="00074073">
        <w:rPr>
          <w:lang w:val="pt-PT"/>
        </w:rPr>
        <w:t>m como objetivos básicos proteger a diversidade biológica, disciplinar o processo de ocupação e assegurar a sustentabilidade do uso dos recursos naturais.</w:t>
      </w:r>
      <w:r>
        <w:rPr>
          <w:lang w:val="pt-PT"/>
        </w:rPr>
        <w:t xml:space="preserve"> </w:t>
      </w:r>
      <w:r w:rsidRPr="00074073">
        <w:rPr>
          <w:lang w:val="pt-PT"/>
        </w:rPr>
        <w:t xml:space="preserve">Respeitados os limites constitucionais, podem ser estabelecidas normas e restrições para a utilização de uma propriedade privada localizada em uma </w:t>
      </w:r>
      <w:r>
        <w:rPr>
          <w:lang w:val="pt-PT"/>
        </w:rPr>
        <w:t>APA</w:t>
      </w:r>
      <w:r w:rsidRPr="00074073">
        <w:rPr>
          <w:lang w:val="pt-PT"/>
        </w:rPr>
        <w:t>.</w:t>
      </w:r>
      <w:r>
        <w:rPr>
          <w:lang w:val="pt-PT"/>
        </w:rPr>
        <w:t xml:space="preserve"> </w:t>
      </w:r>
      <w:r w:rsidRPr="00074073">
        <w:rPr>
          <w:lang w:val="pt-PT"/>
        </w:rPr>
        <w:t>As condições para a realização de pesquisa científica e visitação pública nas áreas sob domínio público serão estabelecidas pelo órgão gestor da unidade.</w:t>
      </w:r>
      <w:r>
        <w:rPr>
          <w:lang w:val="pt-PT"/>
        </w:rPr>
        <w:t xml:space="preserve"> </w:t>
      </w:r>
      <w:r w:rsidRPr="00074073">
        <w:rPr>
          <w:lang w:val="pt-PT"/>
        </w:rPr>
        <w:t>Nas áreas sob propriedade privada, cabe ao proprietário estabelecer as condições para pesquisa e visitação pelo público, observadas as exigências e restrições legais.</w:t>
      </w:r>
      <w:r>
        <w:rPr>
          <w:lang w:val="pt-PT"/>
        </w:rPr>
        <w:t xml:space="preserve"> </w:t>
      </w:r>
      <w:r w:rsidRPr="00074073">
        <w:rPr>
          <w:lang w:val="pt-PT"/>
        </w:rPr>
        <w:t xml:space="preserve">A </w:t>
      </w:r>
      <w:r w:rsidR="00107A66">
        <w:rPr>
          <w:lang w:val="pt-PT"/>
        </w:rPr>
        <w:t xml:space="preserve">APA </w:t>
      </w:r>
      <w:r w:rsidRPr="00074073">
        <w:rPr>
          <w:lang w:val="pt-PT"/>
        </w:rPr>
        <w:t xml:space="preserve">disporá de um Conselho presidido pelo órgão responsável por sua administração e constituído por representantes dos órgãos públicos, de organizações da sociedade civil e da população residente, conforme </w:t>
      </w:r>
      <w:r w:rsidR="00627D4F">
        <w:rPr>
          <w:lang w:val="pt-PT"/>
        </w:rPr>
        <w:t xml:space="preserve">disposto </w:t>
      </w:r>
      <w:r w:rsidRPr="00074073">
        <w:rPr>
          <w:lang w:val="pt-PT"/>
        </w:rPr>
        <w:t>no regulamento des</w:t>
      </w:r>
      <w:r w:rsidR="00627D4F">
        <w:rPr>
          <w:lang w:val="pt-PT"/>
        </w:rPr>
        <w:t>s</w:t>
      </w:r>
      <w:r w:rsidRPr="00074073">
        <w:rPr>
          <w:lang w:val="pt-PT"/>
        </w:rPr>
        <w:t>a Lei.</w:t>
      </w:r>
      <w:r w:rsidR="00627D4F">
        <w:rPr>
          <w:lang w:val="pt-PT"/>
        </w:rPr>
        <w:t xml:space="preserve"> Nas APAs</w:t>
      </w:r>
      <w:r>
        <w:rPr>
          <w:lang w:val="pt-PT"/>
        </w:rPr>
        <w:t xml:space="preserve"> atravessadas pelo empreendimento verifica-se a seguinte situação em novembro de 2014:</w:t>
      </w:r>
    </w:p>
    <w:p w:rsidR="00A3238D" w:rsidRPr="005C1991" w:rsidRDefault="00A3238D" w:rsidP="000C50CE">
      <w:pPr>
        <w:pStyle w:val="PargrafodaLista"/>
        <w:numPr>
          <w:ilvl w:val="0"/>
          <w:numId w:val="15"/>
        </w:numPr>
        <w:ind w:left="357" w:hanging="357"/>
        <w:contextualSpacing w:val="0"/>
        <w:rPr>
          <w:rFonts w:eastAsia="MS Mincho" w:cs="Arial"/>
          <w:bCs/>
          <w:lang w:val="pt-PT"/>
        </w:rPr>
      </w:pPr>
      <w:r w:rsidRPr="005B6F44">
        <w:rPr>
          <w:rFonts w:eastAsia="MS Mincho" w:cs="Arial"/>
          <w:bCs/>
          <w:u w:val="single"/>
          <w:lang w:val="pt-PT"/>
        </w:rPr>
        <w:t>APA Mananciais do Paraíba do Sul</w:t>
      </w:r>
      <w:r w:rsidRPr="005B6F44">
        <w:rPr>
          <w:rFonts w:eastAsia="MS Mincho" w:cs="Arial"/>
          <w:bCs/>
          <w:lang w:val="pt-PT"/>
        </w:rPr>
        <w:t xml:space="preserve"> </w:t>
      </w:r>
      <w:r w:rsidR="004E70CD">
        <w:rPr>
          <w:rFonts w:eastAsia="MS Mincho" w:cs="Arial"/>
          <w:bCs/>
          <w:lang w:val="pt-PT"/>
        </w:rPr>
        <w:t>-</w:t>
      </w:r>
      <w:r w:rsidRPr="005B6F44">
        <w:rPr>
          <w:rFonts w:eastAsia="MS Mincho" w:cs="Arial"/>
          <w:bCs/>
          <w:lang w:val="pt-PT"/>
        </w:rPr>
        <w:t xml:space="preserve"> </w:t>
      </w:r>
      <w:r w:rsidR="004E70CD">
        <w:rPr>
          <w:rFonts w:eastAsia="MS Mincho" w:cs="Arial"/>
          <w:bCs/>
          <w:lang w:val="pt-PT"/>
        </w:rPr>
        <w:t xml:space="preserve">a interface </w:t>
      </w:r>
      <w:r w:rsidR="00B80B5D">
        <w:rPr>
          <w:rFonts w:eastAsia="MS Mincho" w:cs="Arial"/>
          <w:bCs/>
          <w:lang w:val="pt-PT"/>
        </w:rPr>
        <w:t>com o Projeto de Interligação abrange: (i) o próprio reservatório Jaguari; (ii) as instalações da captação, LT e</w:t>
      </w:r>
      <w:r>
        <w:rPr>
          <w:rFonts w:eastAsia="MS Mincho" w:cs="Arial"/>
          <w:bCs/>
          <w:lang w:val="pt-PT"/>
        </w:rPr>
        <w:t xml:space="preserve"> </w:t>
      </w:r>
      <w:r w:rsidRPr="00164E53">
        <w:rPr>
          <w:rFonts w:eastAsia="MS Mincho" w:cs="Arial"/>
          <w:bCs/>
          <w:lang w:val="pt-PT"/>
        </w:rPr>
        <w:t>13,</w:t>
      </w:r>
      <w:r>
        <w:rPr>
          <w:rFonts w:eastAsia="MS Mincho" w:cs="Arial"/>
          <w:bCs/>
          <w:lang w:val="pt-PT"/>
        </w:rPr>
        <w:t>5</w:t>
      </w:r>
      <w:r w:rsidRPr="00164E53">
        <w:rPr>
          <w:rFonts w:eastAsia="MS Mincho" w:cs="Arial"/>
          <w:bCs/>
          <w:lang w:val="pt-PT"/>
        </w:rPr>
        <w:t xml:space="preserve"> km</w:t>
      </w:r>
      <w:r>
        <w:rPr>
          <w:rFonts w:eastAsia="MS Mincho" w:cs="Arial"/>
          <w:bCs/>
          <w:lang w:val="pt-PT"/>
        </w:rPr>
        <w:t xml:space="preserve"> </w:t>
      </w:r>
      <w:r w:rsidR="00B80B5D">
        <w:rPr>
          <w:rFonts w:eastAsia="MS Mincho" w:cs="Arial"/>
          <w:bCs/>
          <w:lang w:val="pt-PT"/>
        </w:rPr>
        <w:t>de</w:t>
      </w:r>
      <w:r w:rsidRPr="00164E53">
        <w:rPr>
          <w:rFonts w:eastAsia="MS Mincho" w:cs="Arial"/>
          <w:bCs/>
          <w:lang w:val="pt-PT"/>
        </w:rPr>
        <w:t xml:space="preserve"> adutora</w:t>
      </w:r>
      <w:r w:rsidR="00B80B5D">
        <w:rPr>
          <w:rFonts w:eastAsia="MS Mincho" w:cs="Arial"/>
          <w:bCs/>
          <w:lang w:val="pt-PT"/>
        </w:rPr>
        <w:t>;</w:t>
      </w:r>
      <w:r w:rsidRPr="00164E53">
        <w:rPr>
          <w:rFonts w:eastAsia="MS Mincho" w:cs="Arial"/>
          <w:bCs/>
          <w:lang w:val="pt-PT"/>
        </w:rPr>
        <w:t xml:space="preserve"> e </w:t>
      </w:r>
      <w:r w:rsidR="00B80B5D">
        <w:rPr>
          <w:rFonts w:eastAsia="MS Mincho" w:cs="Arial"/>
          <w:bCs/>
          <w:lang w:val="pt-PT"/>
        </w:rPr>
        <w:t xml:space="preserve">(iii) </w:t>
      </w:r>
      <w:r w:rsidR="00005BB5">
        <w:rPr>
          <w:rFonts w:eastAsia="MS Mincho" w:cs="Arial"/>
          <w:bCs/>
          <w:lang w:val="pt-PT"/>
        </w:rPr>
        <w:t xml:space="preserve">as instalações no emboque e </w:t>
      </w:r>
      <w:r w:rsidRPr="00164E53">
        <w:rPr>
          <w:rFonts w:eastAsia="MS Mincho" w:cs="Arial"/>
          <w:bCs/>
          <w:lang w:val="pt-PT"/>
        </w:rPr>
        <w:t xml:space="preserve">1,5 km </w:t>
      </w:r>
      <w:r w:rsidR="00005BB5">
        <w:rPr>
          <w:rFonts w:eastAsia="MS Mincho" w:cs="Arial"/>
          <w:bCs/>
          <w:lang w:val="pt-PT"/>
        </w:rPr>
        <w:t xml:space="preserve">de </w:t>
      </w:r>
      <w:r w:rsidRPr="00164E53">
        <w:rPr>
          <w:rFonts w:eastAsia="MS Mincho" w:cs="Arial"/>
          <w:bCs/>
          <w:lang w:val="pt-PT"/>
        </w:rPr>
        <w:t>túnel</w:t>
      </w:r>
      <w:r>
        <w:rPr>
          <w:rFonts w:eastAsia="MS Mincho" w:cs="Arial"/>
          <w:bCs/>
          <w:lang w:val="pt-PT"/>
        </w:rPr>
        <w:t xml:space="preserve">. Como essa APA ainda </w:t>
      </w:r>
      <w:r w:rsidRPr="00164E53">
        <w:rPr>
          <w:rFonts w:eastAsia="MS Mincho" w:cs="Arial"/>
          <w:bCs/>
          <w:lang w:val="pt-PT"/>
        </w:rPr>
        <w:t>não possui Plano de Ma</w:t>
      </w:r>
      <w:r>
        <w:rPr>
          <w:lang w:eastAsia="ar-SA"/>
        </w:rPr>
        <w:t xml:space="preserve">nejo e Zoneamento, e nem Conselho Gestor instituídos, não há usos especificamente proibidos ou permitidos, a não ser os normalmente aceitos para a categoria </w:t>
      </w:r>
      <w:r w:rsidR="00005BB5">
        <w:rPr>
          <w:lang w:eastAsia="ar-SA"/>
        </w:rPr>
        <w:t>APA</w:t>
      </w:r>
      <w:r>
        <w:rPr>
          <w:lang w:eastAsia="ar-SA"/>
        </w:rPr>
        <w:t xml:space="preserve">. </w:t>
      </w:r>
      <w:r w:rsidR="00627D4F">
        <w:rPr>
          <w:lang w:eastAsia="ar-SA"/>
        </w:rPr>
        <w:t>Esta</w:t>
      </w:r>
      <w:r w:rsidRPr="002075DE">
        <w:rPr>
          <w:lang w:eastAsia="ar-SA"/>
        </w:rPr>
        <w:t xml:space="preserve"> </w:t>
      </w:r>
      <w:r>
        <w:rPr>
          <w:lang w:eastAsia="ar-SA"/>
        </w:rPr>
        <w:t xml:space="preserve">APA está vinculada à </w:t>
      </w:r>
      <w:r>
        <w:rPr>
          <w:bCs/>
          <w:lang w:eastAsia="ar-SA"/>
        </w:rPr>
        <w:t>Coordenação R</w:t>
      </w:r>
      <w:r w:rsidRPr="002075DE">
        <w:rPr>
          <w:bCs/>
          <w:lang w:eastAsia="ar-SA"/>
        </w:rPr>
        <w:t>egional</w:t>
      </w:r>
      <w:r w:rsidRPr="002075DE">
        <w:rPr>
          <w:lang w:eastAsia="ar-SA"/>
        </w:rPr>
        <w:t> </w:t>
      </w:r>
      <w:r>
        <w:rPr>
          <w:lang w:eastAsia="ar-SA"/>
        </w:rPr>
        <w:t>CR</w:t>
      </w:r>
      <w:r w:rsidRPr="002075DE">
        <w:rPr>
          <w:lang w:eastAsia="ar-SA"/>
        </w:rPr>
        <w:t>8 -</w:t>
      </w:r>
      <w:r>
        <w:rPr>
          <w:lang w:eastAsia="ar-SA"/>
        </w:rPr>
        <w:t xml:space="preserve"> R</w:t>
      </w:r>
      <w:r w:rsidRPr="002075DE">
        <w:rPr>
          <w:lang w:eastAsia="ar-SA"/>
        </w:rPr>
        <w:t xml:space="preserve">io de </w:t>
      </w:r>
      <w:r>
        <w:rPr>
          <w:lang w:eastAsia="ar-SA"/>
        </w:rPr>
        <w:t>J</w:t>
      </w:r>
      <w:r w:rsidRPr="002075DE">
        <w:rPr>
          <w:lang w:eastAsia="ar-SA"/>
        </w:rPr>
        <w:t>aneiro</w:t>
      </w:r>
      <w:r>
        <w:rPr>
          <w:lang w:eastAsia="ar-SA"/>
        </w:rPr>
        <w:t xml:space="preserve"> do ICMBio, que deverá ser consultada para autorização/</w:t>
      </w:r>
      <w:r>
        <w:rPr>
          <w:rFonts w:eastAsia="MS Mincho" w:cs="Arial"/>
          <w:bCs/>
          <w:lang w:val="pt-PT"/>
        </w:rPr>
        <w:t>anuência e</w:t>
      </w:r>
      <w:r>
        <w:rPr>
          <w:lang w:eastAsia="ar-SA"/>
        </w:rPr>
        <w:t xml:space="preserve"> manifestação sobre os usos permitidos e vetados.</w:t>
      </w:r>
    </w:p>
    <w:p w:rsidR="00A3238D" w:rsidRPr="005C1991" w:rsidRDefault="00627D4F" w:rsidP="000C50CE">
      <w:pPr>
        <w:pStyle w:val="PargrafodaLista"/>
        <w:numPr>
          <w:ilvl w:val="0"/>
          <w:numId w:val="15"/>
        </w:numPr>
        <w:ind w:left="357" w:hanging="357"/>
        <w:contextualSpacing w:val="0"/>
        <w:rPr>
          <w:rFonts w:eastAsia="MS Mincho" w:cs="Arial"/>
          <w:bCs/>
          <w:lang w:val="pt-PT"/>
        </w:rPr>
      </w:pPr>
      <w:r>
        <w:rPr>
          <w:rFonts w:eastAsia="MS Mincho" w:cs="Arial"/>
          <w:bCs/>
          <w:u w:val="single"/>
          <w:lang w:val="pt-PT"/>
        </w:rPr>
        <w:t>APAs</w:t>
      </w:r>
      <w:r w:rsidR="00A3238D" w:rsidRPr="005B6F44">
        <w:rPr>
          <w:rFonts w:eastAsia="MS Mincho" w:cs="Arial"/>
          <w:bCs/>
          <w:u w:val="single"/>
          <w:lang w:val="pt-PT"/>
        </w:rPr>
        <w:t xml:space="preserve"> Piracantareira</w:t>
      </w:r>
      <w:r w:rsidR="00A3238D">
        <w:rPr>
          <w:rFonts w:eastAsia="MS Mincho" w:cs="Arial"/>
          <w:bCs/>
          <w:lang w:val="pt-PT"/>
        </w:rPr>
        <w:t xml:space="preserve"> - </w:t>
      </w:r>
      <w:r w:rsidR="00005BB5">
        <w:rPr>
          <w:rFonts w:eastAsia="MS Mincho" w:cs="Arial"/>
          <w:bCs/>
          <w:lang w:val="pt-PT"/>
        </w:rPr>
        <w:t>a interface do Projeto de Interligação com as</w:t>
      </w:r>
      <w:r w:rsidR="00005BB5" w:rsidRPr="002770E6">
        <w:rPr>
          <w:rFonts w:eastAsia="MS Mincho" w:cs="Arial"/>
          <w:bCs/>
          <w:lang w:val="pt-PT"/>
        </w:rPr>
        <w:t xml:space="preserve"> APAs Sistema Cantareira e Piracicaba / Juqueri Mirim Área II </w:t>
      </w:r>
      <w:r w:rsidR="00005BB5">
        <w:rPr>
          <w:rFonts w:eastAsia="MS Mincho" w:cs="Arial"/>
          <w:bCs/>
          <w:lang w:val="pt-PT"/>
        </w:rPr>
        <w:t xml:space="preserve">abrange: (i) o próprio reservatório Atibainha; (ii) </w:t>
      </w:r>
      <w:r w:rsidR="00A3238D" w:rsidRPr="00856895">
        <w:rPr>
          <w:rFonts w:eastAsia="MS Mincho" w:cs="Arial"/>
          <w:bCs/>
          <w:lang w:val="pt-PT"/>
        </w:rPr>
        <w:t>trecho de 4,</w:t>
      </w:r>
      <w:r w:rsidR="00005BB5">
        <w:rPr>
          <w:rFonts w:eastAsia="MS Mincho" w:cs="Arial"/>
          <w:bCs/>
          <w:lang w:val="pt-PT"/>
        </w:rPr>
        <w:t>8</w:t>
      </w:r>
      <w:r w:rsidR="00A3238D" w:rsidRPr="00856895">
        <w:rPr>
          <w:rFonts w:eastAsia="MS Mincho" w:cs="Arial"/>
          <w:bCs/>
          <w:lang w:val="pt-PT"/>
        </w:rPr>
        <w:t xml:space="preserve"> km </w:t>
      </w:r>
      <w:r w:rsidR="00A3238D">
        <w:rPr>
          <w:rFonts w:eastAsia="MS Mincho" w:cs="Arial"/>
          <w:bCs/>
          <w:lang w:val="pt-PT"/>
        </w:rPr>
        <w:t>d</w:t>
      </w:r>
      <w:r>
        <w:rPr>
          <w:rFonts w:eastAsia="MS Mincho" w:cs="Arial"/>
          <w:bCs/>
          <w:lang w:val="pt-PT"/>
        </w:rPr>
        <w:t>e</w:t>
      </w:r>
      <w:r w:rsidR="00A3238D">
        <w:rPr>
          <w:rFonts w:eastAsia="MS Mincho" w:cs="Arial"/>
          <w:bCs/>
          <w:lang w:val="pt-PT"/>
        </w:rPr>
        <w:t xml:space="preserve"> </w:t>
      </w:r>
      <w:r w:rsidR="00A3238D" w:rsidRPr="00856895">
        <w:rPr>
          <w:rFonts w:eastAsia="MS Mincho" w:cs="Arial"/>
          <w:bCs/>
          <w:lang w:val="pt-PT"/>
        </w:rPr>
        <w:t>túnel</w:t>
      </w:r>
      <w:r w:rsidR="00005BB5">
        <w:rPr>
          <w:rFonts w:eastAsia="MS Mincho" w:cs="Arial"/>
          <w:bCs/>
          <w:lang w:val="pt-PT"/>
        </w:rPr>
        <w:t xml:space="preserve"> e</w:t>
      </w:r>
      <w:r w:rsidR="00A3238D" w:rsidRPr="00856895">
        <w:rPr>
          <w:rFonts w:eastAsia="MS Mincho" w:cs="Arial"/>
          <w:bCs/>
          <w:lang w:val="pt-PT"/>
        </w:rPr>
        <w:t xml:space="preserve"> 0,5 km </w:t>
      </w:r>
      <w:r>
        <w:rPr>
          <w:rFonts w:eastAsia="MS Mincho" w:cs="Arial"/>
          <w:bCs/>
          <w:lang w:val="pt-PT"/>
        </w:rPr>
        <w:t xml:space="preserve">de </w:t>
      </w:r>
      <w:r w:rsidR="00A3238D" w:rsidRPr="00856895">
        <w:rPr>
          <w:rFonts w:eastAsia="MS Mincho" w:cs="Arial"/>
          <w:bCs/>
          <w:lang w:val="pt-PT"/>
        </w:rPr>
        <w:t>túnel</w:t>
      </w:r>
      <w:r w:rsidR="00A3238D">
        <w:rPr>
          <w:rFonts w:eastAsia="MS Mincho" w:cs="Arial"/>
          <w:bCs/>
          <w:lang w:val="pt-PT"/>
        </w:rPr>
        <w:t xml:space="preserve"> de acesso</w:t>
      </w:r>
      <w:r w:rsidR="00005BB5">
        <w:rPr>
          <w:rFonts w:eastAsia="MS Mincho" w:cs="Arial"/>
          <w:bCs/>
          <w:lang w:val="pt-PT"/>
        </w:rPr>
        <w:t>;</w:t>
      </w:r>
      <w:r>
        <w:rPr>
          <w:rFonts w:eastAsia="MS Mincho" w:cs="Arial"/>
          <w:bCs/>
          <w:lang w:val="pt-PT"/>
        </w:rPr>
        <w:t xml:space="preserve"> e </w:t>
      </w:r>
      <w:r w:rsidR="00005BB5">
        <w:rPr>
          <w:rFonts w:eastAsia="MS Mincho" w:cs="Arial"/>
          <w:bCs/>
          <w:lang w:val="pt-PT"/>
        </w:rPr>
        <w:t xml:space="preserve">(iii) janela de acesso e </w:t>
      </w:r>
      <w:r>
        <w:rPr>
          <w:rFonts w:eastAsia="MS Mincho" w:cs="Arial"/>
          <w:bCs/>
          <w:lang w:val="pt-PT"/>
        </w:rPr>
        <w:t>desemboque na represa Atibainha,</w:t>
      </w:r>
      <w:r w:rsidR="00A3238D">
        <w:rPr>
          <w:rFonts w:eastAsia="MS Mincho" w:cs="Arial"/>
          <w:bCs/>
          <w:lang w:val="pt-PT"/>
        </w:rPr>
        <w:t xml:space="preserve"> </w:t>
      </w:r>
      <w:r w:rsidR="00A3238D" w:rsidRPr="00856895">
        <w:rPr>
          <w:rFonts w:eastAsia="MS Mincho" w:cs="Arial"/>
          <w:bCs/>
          <w:lang w:val="pt-PT"/>
        </w:rPr>
        <w:t>no município de Nazaré</w:t>
      </w:r>
      <w:r w:rsidR="00A3238D">
        <w:t xml:space="preserve"> Paulista</w:t>
      </w:r>
      <w:r w:rsidR="00A3238D" w:rsidRPr="00B002C3">
        <w:rPr>
          <w:lang w:eastAsia="ar-SA"/>
        </w:rPr>
        <w:t>.</w:t>
      </w:r>
      <w:r w:rsidR="00A3238D">
        <w:rPr>
          <w:lang w:eastAsia="ar-SA"/>
        </w:rPr>
        <w:t xml:space="preserve"> </w:t>
      </w:r>
      <w:r w:rsidR="00A3238D" w:rsidRPr="002770E6">
        <w:rPr>
          <w:rFonts w:eastAsia="MS Mincho" w:cs="Arial"/>
          <w:bCs/>
          <w:lang w:val="pt-PT"/>
        </w:rPr>
        <w:t>A Fundação Florestal, órgão gestor dessa</w:t>
      </w:r>
      <w:r w:rsidR="00A3238D">
        <w:rPr>
          <w:rFonts w:eastAsia="MS Mincho" w:cs="Arial"/>
          <w:bCs/>
          <w:lang w:val="pt-PT"/>
        </w:rPr>
        <w:t>s duas</w:t>
      </w:r>
      <w:r w:rsidR="00A3238D" w:rsidRPr="002770E6">
        <w:rPr>
          <w:rFonts w:eastAsia="MS Mincho" w:cs="Arial"/>
          <w:bCs/>
          <w:lang w:val="pt-PT"/>
        </w:rPr>
        <w:t xml:space="preserve"> UC</w:t>
      </w:r>
      <w:r w:rsidR="00A3238D">
        <w:rPr>
          <w:rFonts w:eastAsia="MS Mincho" w:cs="Arial"/>
          <w:bCs/>
          <w:lang w:val="pt-PT"/>
        </w:rPr>
        <w:t>s</w:t>
      </w:r>
      <w:r w:rsidR="00A3238D" w:rsidRPr="002770E6">
        <w:rPr>
          <w:rFonts w:eastAsia="MS Mincho" w:cs="Arial"/>
          <w:bCs/>
          <w:lang w:val="pt-PT"/>
        </w:rPr>
        <w:t xml:space="preserve">, deverá ser consultada para </w:t>
      </w:r>
      <w:r w:rsidR="00A3238D">
        <w:rPr>
          <w:rFonts w:eastAsia="MS Mincho" w:cs="Arial"/>
          <w:bCs/>
          <w:lang w:val="pt-PT"/>
        </w:rPr>
        <w:t xml:space="preserve">autorização/anuência e manifestação </w:t>
      </w:r>
      <w:r w:rsidR="00A3238D">
        <w:rPr>
          <w:lang w:eastAsia="ar-SA"/>
        </w:rPr>
        <w:t>sobre os usos permitidos e vetados. No mapeamento de Diretrizes Municipais de Uso do Solo que consta do projeto do Plano de Manejo das APAs Piracantareira</w:t>
      </w:r>
      <w:r>
        <w:rPr>
          <w:lang w:eastAsia="ar-SA"/>
        </w:rPr>
        <w:t>,</w:t>
      </w:r>
      <w:r w:rsidR="00A3238D">
        <w:rPr>
          <w:lang w:eastAsia="ar-SA"/>
        </w:rPr>
        <w:t xml:space="preserve"> a </w:t>
      </w:r>
      <w:r>
        <w:rPr>
          <w:lang w:eastAsia="ar-SA"/>
        </w:rPr>
        <w:t xml:space="preserve">Interligação </w:t>
      </w:r>
      <w:r w:rsidR="00A3238D">
        <w:rPr>
          <w:lang w:eastAsia="ar-SA"/>
        </w:rPr>
        <w:t xml:space="preserve">atravessa áreas </w:t>
      </w:r>
      <w:r>
        <w:rPr>
          <w:lang w:eastAsia="ar-SA"/>
        </w:rPr>
        <w:t>mapeadas como Zona Rural e Zona de Interesse Turístico em</w:t>
      </w:r>
      <w:r w:rsidR="00005BB5">
        <w:rPr>
          <w:lang w:eastAsia="ar-SA"/>
        </w:rPr>
        <w:t xml:space="preserve"> Nazaré Paulista;</w:t>
      </w:r>
      <w:r w:rsidR="00A3238D">
        <w:rPr>
          <w:lang w:eastAsia="ar-SA"/>
        </w:rPr>
        <w:t xml:space="preserve"> </w:t>
      </w:r>
      <w:r w:rsidR="00005BB5">
        <w:rPr>
          <w:lang w:eastAsia="ar-SA"/>
        </w:rPr>
        <w:t>estas diretrizes devem</w:t>
      </w:r>
      <w:r w:rsidR="00A3238D">
        <w:rPr>
          <w:lang w:eastAsia="ar-SA"/>
        </w:rPr>
        <w:t xml:space="preserve"> ser consideradas na</w:t>
      </w:r>
      <w:r w:rsidR="00A3238D" w:rsidRPr="00FF058A">
        <w:rPr>
          <w:lang w:eastAsia="ar-SA"/>
        </w:rPr>
        <w:t xml:space="preserve"> análise integrada </w:t>
      </w:r>
      <w:r w:rsidR="00A3238D">
        <w:rPr>
          <w:lang w:eastAsia="ar-SA"/>
        </w:rPr>
        <w:t>socioambiental</w:t>
      </w:r>
      <w:r w:rsidR="00A3238D" w:rsidRPr="00FF058A">
        <w:rPr>
          <w:lang w:eastAsia="ar-SA"/>
        </w:rPr>
        <w:t xml:space="preserve"> </w:t>
      </w:r>
      <w:r w:rsidR="00A3238D">
        <w:rPr>
          <w:lang w:eastAsia="ar-SA"/>
        </w:rPr>
        <w:t>como</w:t>
      </w:r>
      <w:r w:rsidR="00A3238D" w:rsidRPr="00FF058A">
        <w:rPr>
          <w:lang w:eastAsia="ar-SA"/>
        </w:rPr>
        <w:t xml:space="preserve"> </w:t>
      </w:r>
      <w:r w:rsidR="00A3238D">
        <w:rPr>
          <w:lang w:eastAsia="ar-SA"/>
        </w:rPr>
        <w:t xml:space="preserve">aspecto </w:t>
      </w:r>
      <w:r w:rsidR="00A3238D" w:rsidRPr="00FF058A">
        <w:rPr>
          <w:lang w:eastAsia="ar-SA"/>
        </w:rPr>
        <w:t>estruturante</w:t>
      </w:r>
      <w:r w:rsidR="00A3238D">
        <w:rPr>
          <w:lang w:eastAsia="ar-SA"/>
        </w:rPr>
        <w:t xml:space="preserve"> para a </w:t>
      </w:r>
      <w:r w:rsidR="00A3238D" w:rsidRPr="00FF058A">
        <w:rPr>
          <w:lang w:eastAsia="ar-SA"/>
        </w:rPr>
        <w:t>defini</w:t>
      </w:r>
      <w:r w:rsidR="00A3238D">
        <w:rPr>
          <w:lang w:eastAsia="ar-SA"/>
        </w:rPr>
        <w:t xml:space="preserve">ção das </w:t>
      </w:r>
      <w:r w:rsidR="00A3238D" w:rsidRPr="00FF058A">
        <w:rPr>
          <w:lang w:eastAsia="ar-SA"/>
        </w:rPr>
        <w:t xml:space="preserve">bases do zoneamento </w:t>
      </w:r>
      <w:r w:rsidR="00A3238D">
        <w:rPr>
          <w:lang w:eastAsia="ar-SA"/>
        </w:rPr>
        <w:t>que irá</w:t>
      </w:r>
      <w:r w:rsidR="00A3238D" w:rsidRPr="00FF058A">
        <w:rPr>
          <w:lang w:eastAsia="ar-SA"/>
        </w:rPr>
        <w:t xml:space="preserve"> compor </w:t>
      </w:r>
      <w:r w:rsidR="00A3238D">
        <w:rPr>
          <w:lang w:eastAsia="ar-SA"/>
        </w:rPr>
        <w:t>o Plano de Manejo, que irá definir os usos permitidos e vetados.</w:t>
      </w:r>
    </w:p>
    <w:p w:rsidR="00A3238D" w:rsidRDefault="00A3238D" w:rsidP="00A3238D">
      <w:pPr>
        <w:rPr>
          <w:rFonts w:cs="Arial"/>
        </w:rPr>
      </w:pPr>
      <w:r>
        <w:rPr>
          <w:rFonts w:cs="Arial"/>
        </w:rPr>
        <w:t>As características de cada UC presente na AII do empreendimento de interligação estão destacadas a seguir, com indicação de sua interferência.</w:t>
      </w:r>
    </w:p>
    <w:p w:rsidR="00A3238D" w:rsidRPr="000F447B" w:rsidRDefault="00A3238D" w:rsidP="00A3238D">
      <w:r w:rsidRPr="0069310A">
        <w:rPr>
          <w:rFonts w:eastAsia="Times New Roman" w:cs="Arial"/>
          <w:b/>
          <w:bCs/>
          <w:lang w:eastAsia="ar-SA"/>
        </w:rPr>
        <w:t>Parque Estadual de Itaberaba.</w:t>
      </w:r>
      <w:r w:rsidRPr="0069310A">
        <w:rPr>
          <w:rFonts w:eastAsia="Times New Roman" w:cs="Arial"/>
          <w:bCs/>
          <w:lang w:eastAsia="ar-SA"/>
        </w:rPr>
        <w:t xml:space="preserve"> </w:t>
      </w:r>
      <w:r>
        <w:rPr>
          <w:rFonts w:eastAsia="Times New Roman" w:cs="Arial"/>
          <w:bCs/>
          <w:lang w:eastAsia="ar-SA"/>
        </w:rPr>
        <w:t>UC Estadual de Proteção Integral. Foi c</w:t>
      </w:r>
      <w:r w:rsidRPr="0069310A">
        <w:rPr>
          <w:rFonts w:eastAsia="Times New Roman" w:cs="Arial"/>
          <w:bCs/>
          <w:lang w:eastAsia="ar-SA"/>
        </w:rPr>
        <w:t xml:space="preserve">riado por meio do </w:t>
      </w:r>
      <w:r w:rsidRPr="0069310A">
        <w:rPr>
          <w:rFonts w:cs="Arial"/>
          <w:bCs/>
        </w:rPr>
        <w:t xml:space="preserve">Decreto Estadual n° 55.662, de </w:t>
      </w:r>
      <w:r w:rsidRPr="001B54F2">
        <w:rPr>
          <w:rFonts w:eastAsia="Times New Roman" w:cs="Arial"/>
          <w:bCs/>
          <w:lang w:eastAsia="ar-SA"/>
        </w:rPr>
        <w:t>30/03/2010</w:t>
      </w:r>
      <w:r w:rsidRPr="0069310A">
        <w:rPr>
          <w:rFonts w:eastAsia="Times New Roman" w:cs="Arial"/>
          <w:bCs/>
          <w:lang w:eastAsia="ar-SA"/>
        </w:rPr>
        <w:t xml:space="preserve">, destina-se à proteção da biodiversidade e recursos hídricos. </w:t>
      </w:r>
      <w:r>
        <w:rPr>
          <w:rFonts w:eastAsia="Times New Roman" w:cs="Arial"/>
          <w:bCs/>
          <w:lang w:eastAsia="ar-SA"/>
        </w:rPr>
        <w:t>É i</w:t>
      </w:r>
      <w:r w:rsidRPr="001B54F2">
        <w:rPr>
          <w:rFonts w:eastAsia="Times New Roman" w:cs="Arial"/>
          <w:bCs/>
          <w:lang w:eastAsia="ar-SA"/>
        </w:rPr>
        <w:t xml:space="preserve">mportante área de conectividade na extensão norte/noroeste da Serra da Cantareira com a Serra da Mantiqueira, e apresenta alta diversidade biológica, fauna variada com grande número de espécies endêmicas de Mata Atlântica e várias espécies raras ou ameaçadas de extinção. </w:t>
      </w:r>
      <w:r>
        <w:rPr>
          <w:rFonts w:eastAsia="Times New Roman" w:cs="Arial"/>
          <w:bCs/>
          <w:lang w:eastAsia="ar-SA"/>
        </w:rPr>
        <w:t>F</w:t>
      </w:r>
      <w:r w:rsidRPr="001B54F2">
        <w:rPr>
          <w:rFonts w:eastAsia="Times New Roman" w:cs="Arial"/>
          <w:bCs/>
          <w:lang w:eastAsia="ar-SA"/>
        </w:rPr>
        <w:t xml:space="preserve">oram detectadas espécies de mamíferos de médio e grande porte classificadas em algum tipo de ameaça, o que reforça a importância da conservação da área para a manutenção deste bioma que está entre os principais hot-spots de endemismo do mundo. </w:t>
      </w:r>
      <w:r w:rsidRPr="00273178">
        <w:rPr>
          <w:rFonts w:eastAsia="Times New Roman" w:cs="Arial"/>
          <w:bCs/>
          <w:lang w:eastAsia="ar-SA"/>
        </w:rPr>
        <w:t xml:space="preserve">A flora do </w:t>
      </w:r>
      <w:r>
        <w:rPr>
          <w:rFonts w:eastAsia="Times New Roman" w:cs="Arial"/>
          <w:bCs/>
          <w:lang w:eastAsia="ar-SA"/>
        </w:rPr>
        <w:t xml:space="preserve">PE </w:t>
      </w:r>
      <w:r w:rsidRPr="00273178">
        <w:rPr>
          <w:rFonts w:eastAsia="Times New Roman" w:cs="Arial"/>
          <w:bCs/>
          <w:lang w:eastAsia="ar-SA"/>
        </w:rPr>
        <w:t>Itaberaba apresenta composição florística bastante heterogênea com formação florestal de Mata Atlântica caracterizada pela Floresta Ombrófila Densa Montana. O PE Itaberaba apresenta vários sítios geológicos, arqueológicos e culturais com importante potencial educacional, turístico e científico.</w:t>
      </w:r>
      <w:r>
        <w:rPr>
          <w:rFonts w:eastAsia="Times New Roman" w:cs="Arial"/>
          <w:bCs/>
          <w:lang w:eastAsia="ar-SA"/>
        </w:rPr>
        <w:t xml:space="preserve"> </w:t>
      </w:r>
      <w:r w:rsidRPr="00273178">
        <w:rPr>
          <w:rFonts w:eastAsia="Times New Roman" w:cs="Arial"/>
          <w:bCs/>
          <w:lang w:eastAsia="ar-SA"/>
        </w:rPr>
        <w:t xml:space="preserve">O PE Itaberaba é </w:t>
      </w:r>
      <w:r>
        <w:rPr>
          <w:rFonts w:eastAsia="Times New Roman" w:cs="Arial"/>
          <w:bCs/>
          <w:lang w:eastAsia="ar-SA"/>
        </w:rPr>
        <w:t xml:space="preserve">UC </w:t>
      </w:r>
      <w:r w:rsidRPr="00273178">
        <w:rPr>
          <w:rFonts w:eastAsia="Times New Roman" w:cs="Arial"/>
          <w:bCs/>
          <w:lang w:eastAsia="ar-SA"/>
        </w:rPr>
        <w:t xml:space="preserve">de Proteção Integral administrada pela Fundação Florestal </w:t>
      </w:r>
      <w:r>
        <w:rPr>
          <w:rFonts w:eastAsia="Times New Roman" w:cs="Arial"/>
          <w:bCs/>
          <w:lang w:eastAsia="ar-SA"/>
        </w:rPr>
        <w:t>e</w:t>
      </w:r>
      <w:r w:rsidRPr="00273178">
        <w:rPr>
          <w:rFonts w:eastAsia="Times New Roman" w:cs="Arial"/>
          <w:bCs/>
          <w:lang w:eastAsia="ar-SA"/>
        </w:rPr>
        <w:t xml:space="preserve"> faz parte do Núcleo Metropolitano e Interior, ligado à Gerência de Conservação Ambiental Metropolitana.</w:t>
      </w:r>
      <w:r>
        <w:rPr>
          <w:rFonts w:eastAsia="Times New Roman" w:cs="Arial"/>
          <w:bCs/>
          <w:lang w:eastAsia="ar-SA"/>
        </w:rPr>
        <w:t xml:space="preserve"> Para a</w:t>
      </w:r>
      <w:r w:rsidRPr="00273178">
        <w:rPr>
          <w:rFonts w:eastAsia="Times New Roman" w:cs="Arial"/>
          <w:bCs/>
          <w:lang w:eastAsia="ar-SA"/>
        </w:rPr>
        <w:t xml:space="preserve"> regularização fundiária</w:t>
      </w:r>
      <w:r>
        <w:rPr>
          <w:rFonts w:eastAsia="Times New Roman" w:cs="Arial"/>
          <w:bCs/>
          <w:lang w:eastAsia="ar-SA"/>
        </w:rPr>
        <w:t xml:space="preserve"> de áreas do Parque, por meio de</w:t>
      </w:r>
      <w:r w:rsidRPr="00273178">
        <w:rPr>
          <w:rFonts w:eastAsia="Times New Roman" w:cs="Arial"/>
          <w:bCs/>
          <w:lang w:eastAsia="ar-SA"/>
        </w:rPr>
        <w:t xml:space="preserve"> processos de desapropriação</w:t>
      </w:r>
      <w:r>
        <w:rPr>
          <w:rFonts w:eastAsia="Times New Roman" w:cs="Arial"/>
          <w:bCs/>
          <w:lang w:eastAsia="ar-SA"/>
        </w:rPr>
        <w:t>, estão sendo efetuados</w:t>
      </w:r>
      <w:r w:rsidRPr="00273178">
        <w:rPr>
          <w:rFonts w:eastAsia="Times New Roman" w:cs="Arial"/>
          <w:bCs/>
          <w:lang w:eastAsia="ar-SA"/>
        </w:rPr>
        <w:t xml:space="preserve"> </w:t>
      </w:r>
      <w:r>
        <w:rPr>
          <w:rFonts w:eastAsia="Times New Roman" w:cs="Arial"/>
          <w:bCs/>
          <w:lang w:eastAsia="ar-SA"/>
        </w:rPr>
        <w:t>l</w:t>
      </w:r>
      <w:r w:rsidRPr="00273178">
        <w:rPr>
          <w:rFonts w:eastAsia="Times New Roman" w:cs="Arial"/>
          <w:bCs/>
          <w:lang w:eastAsia="ar-SA"/>
        </w:rPr>
        <w:t>evantamentos de campo e inventário cadastral pelo ITESP das propriedades inseridas na UC</w:t>
      </w:r>
      <w:r>
        <w:rPr>
          <w:rFonts w:eastAsia="Times New Roman" w:cs="Arial"/>
          <w:bCs/>
          <w:lang w:eastAsia="ar-SA"/>
        </w:rPr>
        <w:t>.</w:t>
      </w:r>
      <w:r w:rsidRPr="00273178">
        <w:rPr>
          <w:rFonts w:eastAsia="Times New Roman" w:cs="Arial"/>
          <w:bCs/>
          <w:lang w:eastAsia="ar-SA"/>
        </w:rPr>
        <w:t xml:space="preserve"> Concomitante, </w:t>
      </w:r>
      <w:r w:rsidRPr="000F447B">
        <w:t xml:space="preserve">está sendo implantado o Plano Emergencial de Proteção, com o objetivo de possibilitar a fiscalização das áreas que, embora </w:t>
      </w:r>
      <w:r w:rsidRPr="000F447B">
        <w:lastRenderedPageBreak/>
        <w:t>ainda não seja de domínio público, abriga grande “tesouro” ambiental, com seus recursos naturais e biodiversidade inserida. Seu território abrange 15.113,11 ha, distribuídos em quatro municípios: Arujá, Guarulhos, Nazaré Paulista e Santa Isabel.</w:t>
      </w:r>
    </w:p>
    <w:p w:rsidR="00A3238D" w:rsidRPr="00832336" w:rsidRDefault="00A3238D" w:rsidP="00A3238D">
      <w:r w:rsidRPr="00F04F2C">
        <w:rPr>
          <w:u w:val="single"/>
        </w:rPr>
        <w:t>Interferência</w:t>
      </w:r>
      <w:r>
        <w:t xml:space="preserve">: </w:t>
      </w:r>
      <w:r w:rsidRPr="000F447B">
        <w:t>A implantação da Interligação Jaguari-Atibainha não afetará diretamente território da UC. Como a UC ainda não possui Plano de Manejo aprovado, sua Zona de Amortecimento (ZA) não está</w:t>
      </w:r>
      <w:r w:rsidRPr="0069310A">
        <w:rPr>
          <w:rFonts w:eastAsia="Times New Roman" w:cs="Arial"/>
          <w:bCs/>
          <w:lang w:eastAsia="ar-SA"/>
        </w:rPr>
        <w:t xml:space="preserve"> definida. Portanto, de acordo com a Resolução CONAMA n</w:t>
      </w:r>
      <w:r w:rsidRPr="0069310A">
        <w:rPr>
          <w:rFonts w:eastAsia="Times New Roman" w:cs="Arial"/>
          <w:bCs/>
          <w:vertAlign w:val="superscript"/>
          <w:lang w:eastAsia="ar-SA"/>
        </w:rPr>
        <w:t>o</w:t>
      </w:r>
      <w:r w:rsidRPr="0069310A">
        <w:rPr>
          <w:rFonts w:eastAsia="Times New Roman" w:cs="Arial"/>
          <w:bCs/>
          <w:lang w:eastAsia="ar-SA"/>
        </w:rPr>
        <w:t xml:space="preserve"> 428/2010, o licenciamento </w:t>
      </w:r>
      <w:r w:rsidRPr="00832336">
        <w:t xml:space="preserve">ambiental de empreendimentos próximos deve considerar como ZA uma envolvente com raio de 3,0 km. Com essa definição, a adutora da Interligação intercepta a ZA do P.E. Itaberaba em trecho de </w:t>
      </w:r>
      <w:r>
        <w:t>3,3</w:t>
      </w:r>
      <w:r w:rsidRPr="00F314F1">
        <w:t xml:space="preserve"> km, entr</w:t>
      </w:r>
      <w:r>
        <w:t xml:space="preserve">e </w:t>
      </w:r>
      <w:r w:rsidR="00627D4F">
        <w:t>o</w:t>
      </w:r>
      <w:r>
        <w:t xml:space="preserve">s </w:t>
      </w:r>
      <w:r w:rsidR="00627D4F">
        <w:t xml:space="preserve">Km </w:t>
      </w:r>
      <w:r>
        <w:t>7</w:t>
      </w:r>
      <w:r w:rsidR="00627D4F">
        <w:t>,</w:t>
      </w:r>
      <w:r>
        <w:t>8 e 11</w:t>
      </w:r>
      <w:r w:rsidR="00627D4F">
        <w:t>,</w:t>
      </w:r>
      <w:r w:rsidR="00497DF2">
        <w:t>1</w:t>
      </w:r>
      <w:r>
        <w:t xml:space="preserve"> </w:t>
      </w:r>
      <w:r w:rsidRPr="00832336">
        <w:t>no município de Igaratá.</w:t>
      </w:r>
    </w:p>
    <w:p w:rsidR="00A3238D" w:rsidRDefault="00A3238D" w:rsidP="00A3238D">
      <w:pPr>
        <w:rPr>
          <w:rFonts w:eastAsia="MS Mincho" w:cs="Arial"/>
          <w:bCs/>
          <w:lang w:val="pt-PT"/>
        </w:rPr>
      </w:pPr>
      <w:r w:rsidRPr="00832336">
        <w:rPr>
          <w:b/>
        </w:rPr>
        <w:t>Parque Estadual de Itapetinga</w:t>
      </w:r>
      <w:r w:rsidRPr="0069310A">
        <w:t xml:space="preserve">. </w:t>
      </w:r>
      <w:r>
        <w:t>UC Estadual de Proteção Integral. F</w:t>
      </w:r>
      <w:r w:rsidRPr="00C36758">
        <w:t xml:space="preserve">oi criado </w:t>
      </w:r>
      <w:r>
        <w:t>pelo</w:t>
      </w:r>
      <w:r w:rsidRPr="0069310A">
        <w:t xml:space="preserve"> Decreto Estadual n° 55.662, de 30/03/2010, </w:t>
      </w:r>
      <w:r>
        <w:t xml:space="preserve">e </w:t>
      </w:r>
      <w:r w:rsidRPr="0069310A">
        <w:t xml:space="preserve">tem por objetivo a proteção da biodiversidade e recursos hídricos da região norte-nordeste da Serra da Cantareira </w:t>
      </w:r>
      <w:r>
        <w:t>e</w:t>
      </w:r>
      <w:r w:rsidRPr="0069310A">
        <w:t xml:space="preserve"> maciços das Serras de Itapetinga e Itaberaba, contíguos ao Parque Estadual da Cantareira.</w:t>
      </w:r>
      <w:r>
        <w:t xml:space="preserve"> O</w:t>
      </w:r>
      <w:r w:rsidRPr="00C36758">
        <w:t xml:space="preserve"> Parque Estadual do Itapetinga possui uma área </w:t>
      </w:r>
      <w:r>
        <w:t xml:space="preserve">de 10.191,63 ha, </w:t>
      </w:r>
      <w:r w:rsidRPr="00C36758">
        <w:t xml:space="preserve">associada </w:t>
      </w:r>
      <w:r>
        <w:t>à</w:t>
      </w:r>
      <w:r w:rsidRPr="00C36758">
        <w:t xml:space="preserve"> Serra do Itapetinga, consolidando um grande corredor ecológico e de biodiversidade que estabelece conexão ao Parque Estadual da Cantareira. Tal extensão atribui à região um formato de mosaico de Unidades de Conservação, cujo principal objetivo é a conservação e preservação dos recursos e serviços ambientais diretamente prestados pelo Bioma Mata Atlântica a sociedade.</w:t>
      </w:r>
      <w:r>
        <w:t xml:space="preserve"> É</w:t>
      </w:r>
      <w:r w:rsidRPr="00273178">
        <w:rPr>
          <w:rFonts w:eastAsia="Times New Roman" w:cs="Arial"/>
          <w:bCs/>
          <w:lang w:eastAsia="ar-SA"/>
        </w:rPr>
        <w:t xml:space="preserve"> administrad</w:t>
      </w:r>
      <w:r>
        <w:rPr>
          <w:rFonts w:eastAsia="Times New Roman" w:cs="Arial"/>
          <w:bCs/>
          <w:lang w:eastAsia="ar-SA"/>
        </w:rPr>
        <w:t>o</w:t>
      </w:r>
      <w:r w:rsidRPr="00273178">
        <w:rPr>
          <w:rFonts w:eastAsia="Times New Roman" w:cs="Arial"/>
          <w:bCs/>
          <w:lang w:eastAsia="ar-SA"/>
        </w:rPr>
        <w:t xml:space="preserve"> pela Fundação Florestal</w:t>
      </w:r>
      <w:r>
        <w:rPr>
          <w:rFonts w:eastAsia="Times New Roman" w:cs="Arial"/>
          <w:bCs/>
          <w:lang w:eastAsia="ar-SA"/>
        </w:rPr>
        <w:t>/SMA</w:t>
      </w:r>
      <w:r>
        <w:rPr>
          <w:rFonts w:eastAsia="MS Mincho" w:cs="Arial"/>
          <w:bCs/>
          <w:lang w:val="pt-PT"/>
        </w:rPr>
        <w:t xml:space="preserve"> e abrange território dos municípios de Atibaia, Bom Jesus dos Perdões, Mairiporã e Nazaré Paulista.</w:t>
      </w:r>
    </w:p>
    <w:p w:rsidR="00A3238D" w:rsidRPr="007D2E8A" w:rsidRDefault="005A6854" w:rsidP="00A3238D">
      <w:pPr>
        <w:rPr>
          <w:bCs/>
          <w:i/>
        </w:rPr>
      </w:pPr>
      <w:r>
        <w:rPr>
          <w:u w:val="single"/>
        </w:rPr>
        <w:t>Interface</w:t>
      </w:r>
      <w:r w:rsidR="00A3238D">
        <w:t xml:space="preserve">: </w:t>
      </w:r>
      <w:r w:rsidR="00A3238D" w:rsidRPr="007D2E8A">
        <w:t xml:space="preserve">Como ainda não possui Plano de Manejo, sua Zona de Amortecimento (ZA) não está definida. </w:t>
      </w:r>
      <w:r w:rsidR="00A3238D">
        <w:t>D</w:t>
      </w:r>
      <w:r w:rsidR="00A3238D" w:rsidRPr="007D2E8A">
        <w:t>e acordo com a Resolução CONAMA n</w:t>
      </w:r>
      <w:r w:rsidR="00A3238D">
        <w:t>º</w:t>
      </w:r>
      <w:r w:rsidR="00A3238D" w:rsidRPr="007D2E8A">
        <w:t xml:space="preserve"> 428/2010, o licenciamento ambiental de empreendimentos próximos deve considerar como ZA um</w:t>
      </w:r>
      <w:r w:rsidR="00A3238D">
        <w:t>a envolvente com raio de 3,0 km, portanto o empreendimento não possui interferência em sua ZA.</w:t>
      </w:r>
    </w:p>
    <w:p w:rsidR="00A3238D" w:rsidRDefault="00A3238D" w:rsidP="00A3238D">
      <w:pPr>
        <w:rPr>
          <w:rFonts w:eastAsia="MS Mincho" w:cs="Arial"/>
          <w:bCs/>
          <w:lang w:val="pt-PT"/>
        </w:rPr>
      </w:pPr>
      <w:r w:rsidRPr="00BA6A66">
        <w:rPr>
          <w:rFonts w:eastAsia="MS Mincho" w:cs="Arial"/>
          <w:b/>
          <w:bCs/>
          <w:lang w:val="pt-PT"/>
        </w:rPr>
        <w:t>Monumento Natural Estadual da Pedra Grande</w:t>
      </w:r>
      <w:r>
        <w:rPr>
          <w:rFonts w:eastAsia="MS Mincho" w:cs="Arial"/>
          <w:bCs/>
          <w:lang w:val="pt-PT"/>
        </w:rPr>
        <w:t xml:space="preserve">. </w:t>
      </w:r>
      <w:r>
        <w:t xml:space="preserve">UC Estadual de Proteção Integral. Também foi </w:t>
      </w:r>
      <w:r w:rsidRPr="00C36758">
        <w:t xml:space="preserve">criado </w:t>
      </w:r>
      <w:r>
        <w:t>pelo</w:t>
      </w:r>
      <w:r w:rsidRPr="0069310A">
        <w:t xml:space="preserve"> Decreto Estadual n° 55.662, de 30/03/2010</w:t>
      </w:r>
      <w:r>
        <w:rPr>
          <w:rFonts w:eastAsia="MS Mincho" w:cs="Arial"/>
          <w:bCs/>
          <w:lang w:val="pt-PT"/>
        </w:rPr>
        <w:t>, juntamente com os Parques Itaberaba e Itapetinga e a Floresta Estadual de Guarulhos</w:t>
      </w:r>
      <w:r>
        <w:rPr>
          <w:rFonts w:eastAsia="Times New Roman" w:cs="Arial"/>
          <w:bCs/>
          <w:lang w:eastAsia="ar-SA"/>
        </w:rPr>
        <w:t>. A</w:t>
      </w:r>
      <w:r w:rsidRPr="00BA6A66">
        <w:rPr>
          <w:rFonts w:eastAsia="MS Mincho" w:cs="Arial"/>
          <w:bCs/>
          <w:lang w:val="pt-PT"/>
        </w:rPr>
        <w:t xml:space="preserve">brange </w:t>
      </w:r>
      <w:r w:rsidR="00627D4F">
        <w:rPr>
          <w:rFonts w:eastAsia="MS Mincho" w:cs="Arial"/>
          <w:bCs/>
          <w:lang w:val="pt-PT"/>
        </w:rPr>
        <w:t>partes d</w:t>
      </w:r>
      <w:r w:rsidRPr="00BA6A66">
        <w:rPr>
          <w:rFonts w:eastAsia="MS Mincho" w:cs="Arial"/>
          <w:bCs/>
          <w:lang w:val="pt-PT"/>
        </w:rPr>
        <w:t>os municípios de Atibaia, Bom Jesus dos Perdões, Mairiporã e Nazaré Paulista, com área total de 3.297,01</w:t>
      </w:r>
      <w:r>
        <w:rPr>
          <w:rFonts w:eastAsia="MS Mincho" w:cs="Arial"/>
          <w:bCs/>
          <w:lang w:val="pt-PT"/>
        </w:rPr>
        <w:t xml:space="preserve"> </w:t>
      </w:r>
      <w:r w:rsidRPr="00BA6A66">
        <w:rPr>
          <w:rFonts w:eastAsia="MS Mincho" w:cs="Arial"/>
          <w:bCs/>
          <w:lang w:val="pt-PT"/>
        </w:rPr>
        <w:t>ha</w:t>
      </w:r>
      <w:r>
        <w:rPr>
          <w:rFonts w:eastAsia="MS Mincho" w:cs="Arial"/>
          <w:bCs/>
          <w:lang w:val="pt-PT"/>
        </w:rPr>
        <w:t xml:space="preserve">. </w:t>
      </w:r>
      <w:r w:rsidRPr="003406A7">
        <w:rPr>
          <w:rFonts w:eastAsia="MS Mincho" w:cs="Arial"/>
          <w:bCs/>
          <w:lang w:val="pt-PT"/>
        </w:rPr>
        <w:t>O Monumento Natural Estadual da Pedra Grande tem por objetivo preservar os atributos bióticos, abióticos e cênicos do maciço da Pedra Grande.</w:t>
      </w:r>
      <w:r>
        <w:rPr>
          <w:rFonts w:eastAsia="MS Mincho" w:cs="Arial"/>
          <w:bCs/>
          <w:lang w:val="pt-PT"/>
        </w:rPr>
        <w:t xml:space="preserve"> </w:t>
      </w:r>
      <w:r w:rsidRPr="003406A7">
        <w:rPr>
          <w:rFonts w:eastAsia="MS Mincho" w:cs="Arial"/>
          <w:bCs/>
          <w:lang w:val="pt-PT"/>
        </w:rPr>
        <w:t>A área da Pedra Grande, inserida nos limites do Monumento Natural Estadual da Pedra Grande, com área total de 131,38</w:t>
      </w:r>
      <w:r>
        <w:rPr>
          <w:rFonts w:eastAsia="MS Mincho" w:cs="Arial"/>
          <w:bCs/>
          <w:lang w:val="pt-PT"/>
        </w:rPr>
        <w:t xml:space="preserve"> </w:t>
      </w:r>
      <w:r w:rsidRPr="003406A7">
        <w:rPr>
          <w:rFonts w:eastAsia="MS Mincho" w:cs="Arial"/>
          <w:bCs/>
          <w:lang w:val="pt-PT"/>
        </w:rPr>
        <w:t>ha deverá ser de posse e domínio públicos.</w:t>
      </w:r>
      <w:r>
        <w:rPr>
          <w:rFonts w:eastAsia="MS Mincho" w:cs="Arial"/>
          <w:bCs/>
          <w:lang w:val="pt-PT"/>
        </w:rPr>
        <w:t xml:space="preserve"> O</w:t>
      </w:r>
      <w:r w:rsidRPr="003406A7">
        <w:rPr>
          <w:rFonts w:eastAsia="MS Mincho" w:cs="Arial"/>
          <w:bCs/>
          <w:lang w:val="pt-PT"/>
        </w:rPr>
        <w:t xml:space="preserve"> Monumento Natural Estadual da Pedra Grande </w:t>
      </w:r>
      <w:r>
        <w:rPr>
          <w:rFonts w:eastAsia="MS Mincho" w:cs="Arial"/>
          <w:bCs/>
          <w:lang w:val="pt-PT"/>
        </w:rPr>
        <w:t>é</w:t>
      </w:r>
      <w:r w:rsidRPr="003406A7">
        <w:rPr>
          <w:rFonts w:eastAsia="MS Mincho" w:cs="Arial"/>
          <w:bCs/>
          <w:lang w:val="pt-PT"/>
        </w:rPr>
        <w:t xml:space="preserve"> administrado pela Fundação Florestal</w:t>
      </w:r>
      <w:r>
        <w:rPr>
          <w:rFonts w:eastAsia="MS Mincho" w:cs="Arial"/>
          <w:bCs/>
          <w:lang w:val="pt-PT"/>
        </w:rPr>
        <w:t>/SMA.</w:t>
      </w:r>
    </w:p>
    <w:p w:rsidR="00A3238D" w:rsidRPr="007D2E8A" w:rsidRDefault="005A6854" w:rsidP="00A3238D">
      <w:pPr>
        <w:rPr>
          <w:bCs/>
          <w:i/>
        </w:rPr>
      </w:pPr>
      <w:r>
        <w:rPr>
          <w:u w:val="single"/>
        </w:rPr>
        <w:t>Interface</w:t>
      </w:r>
      <w:r w:rsidR="00A3238D">
        <w:t xml:space="preserve">: </w:t>
      </w:r>
      <w:r w:rsidR="00A3238D" w:rsidRPr="007D2E8A">
        <w:t xml:space="preserve">Como ainda não possui Plano de Manejo, sua Zona de Amortecimento (ZA) não está definida. </w:t>
      </w:r>
      <w:r w:rsidR="00A3238D">
        <w:t>D</w:t>
      </w:r>
      <w:r w:rsidR="00A3238D" w:rsidRPr="007D2E8A">
        <w:t>e acordo com a Resolução CONAMA n</w:t>
      </w:r>
      <w:r w:rsidR="00A3238D">
        <w:t>º</w:t>
      </w:r>
      <w:r w:rsidR="00A3238D" w:rsidRPr="007D2E8A">
        <w:t xml:space="preserve"> 428/2010, o licenciamento ambiental de empreendimentos próximos deve considerar como ZA um</w:t>
      </w:r>
      <w:r w:rsidR="00A3238D">
        <w:t>a envolvente com raio de 3,0 km, portanto o empreendimento não possui interferência em sua ZA.</w:t>
      </w:r>
    </w:p>
    <w:p w:rsidR="00A3238D" w:rsidRPr="00672714" w:rsidRDefault="00A3238D" w:rsidP="00A3238D">
      <w:pPr>
        <w:rPr>
          <w:lang w:eastAsia="pt-BR"/>
        </w:rPr>
      </w:pPr>
      <w:r w:rsidRPr="008B2763">
        <w:rPr>
          <w:b/>
          <w:lang w:eastAsia="pt-BR"/>
        </w:rPr>
        <w:t>Parque Estadual da Cantareira</w:t>
      </w:r>
      <w:r w:rsidRPr="00672714">
        <w:rPr>
          <w:lang w:eastAsia="pt-BR"/>
        </w:rPr>
        <w:t xml:space="preserve">. UC de Proteção Integral. </w:t>
      </w:r>
      <w:r>
        <w:rPr>
          <w:lang w:eastAsia="pt-BR"/>
        </w:rPr>
        <w:t xml:space="preserve">Foi criado pelo </w:t>
      </w:r>
      <w:r w:rsidRPr="00672714">
        <w:rPr>
          <w:lang w:eastAsia="pt-BR"/>
        </w:rPr>
        <w:t>Dec</w:t>
      </w:r>
      <w:r>
        <w:rPr>
          <w:lang w:eastAsia="pt-BR"/>
        </w:rPr>
        <w:t>reto nº</w:t>
      </w:r>
      <w:r w:rsidRPr="00672714">
        <w:rPr>
          <w:lang w:eastAsia="pt-BR"/>
        </w:rPr>
        <w:t xml:space="preserve"> 41.626, de 30/01/63</w:t>
      </w:r>
      <w:r>
        <w:rPr>
          <w:lang w:eastAsia="pt-BR"/>
        </w:rPr>
        <w:t>, p</w:t>
      </w:r>
      <w:r w:rsidRPr="00672714">
        <w:rPr>
          <w:lang w:eastAsia="pt-BR"/>
        </w:rPr>
        <w:t>ossui uma área de 7.916,52 h</w:t>
      </w:r>
      <w:r>
        <w:rPr>
          <w:lang w:eastAsia="pt-BR"/>
        </w:rPr>
        <w:t>a</w:t>
      </w:r>
      <w:r w:rsidRPr="00672714">
        <w:rPr>
          <w:lang w:eastAsia="pt-BR"/>
        </w:rPr>
        <w:t xml:space="preserve">, que abrange </w:t>
      </w:r>
      <w:r w:rsidR="00627D4F">
        <w:rPr>
          <w:lang w:eastAsia="pt-BR"/>
        </w:rPr>
        <w:t>partes d</w:t>
      </w:r>
      <w:r w:rsidRPr="00672714">
        <w:rPr>
          <w:lang w:eastAsia="pt-BR"/>
        </w:rPr>
        <w:t>os municípios de São Paulo, Guarulhos, Mairiporã e Caieiras</w:t>
      </w:r>
      <w:r>
        <w:rPr>
          <w:lang w:eastAsia="pt-BR"/>
        </w:rPr>
        <w:t>. C</w:t>
      </w:r>
      <w:r w:rsidRPr="00672714">
        <w:rPr>
          <w:lang w:eastAsia="pt-BR"/>
        </w:rPr>
        <w:t xml:space="preserve">onstitui um importante remanescente da Mata Atlântica </w:t>
      </w:r>
      <w:r>
        <w:rPr>
          <w:lang w:eastAsia="pt-BR"/>
        </w:rPr>
        <w:t>(</w:t>
      </w:r>
      <w:r w:rsidRPr="00672714">
        <w:rPr>
          <w:lang w:eastAsia="pt-BR"/>
        </w:rPr>
        <w:t>Floresta Ombrófila Densa Montana</w:t>
      </w:r>
      <w:r>
        <w:rPr>
          <w:lang w:eastAsia="pt-BR"/>
        </w:rPr>
        <w:t>)</w:t>
      </w:r>
      <w:r w:rsidRPr="00672714">
        <w:rPr>
          <w:lang w:eastAsia="pt-BR"/>
        </w:rPr>
        <w:t xml:space="preserve"> na metrópole, e de extrema relevância ecoló</w:t>
      </w:r>
      <w:r>
        <w:rPr>
          <w:lang w:eastAsia="pt-BR"/>
        </w:rPr>
        <w:t xml:space="preserve">gica para o estado de São Paulo. Constitui </w:t>
      </w:r>
      <w:r w:rsidRPr="00672714">
        <w:rPr>
          <w:lang w:eastAsia="pt-BR"/>
        </w:rPr>
        <w:t>uma das maiores florestas urbanas do mundo,</w:t>
      </w:r>
      <w:r>
        <w:rPr>
          <w:lang w:eastAsia="pt-BR"/>
        </w:rPr>
        <w:t xml:space="preserve"> </w:t>
      </w:r>
      <w:r w:rsidRPr="00672714">
        <w:rPr>
          <w:lang w:eastAsia="pt-BR"/>
        </w:rPr>
        <w:t xml:space="preserve">que abriga diversas espécies de fauna e flora, inclusive algumas que constam da Lista Oficial das Espécies Ameaçadas de Extinção no </w:t>
      </w:r>
      <w:r>
        <w:rPr>
          <w:lang w:eastAsia="pt-BR"/>
        </w:rPr>
        <w:t>e</w:t>
      </w:r>
      <w:r w:rsidRPr="00672714">
        <w:rPr>
          <w:lang w:eastAsia="pt-BR"/>
        </w:rPr>
        <w:t>stado de São Paulo</w:t>
      </w:r>
      <w:r>
        <w:rPr>
          <w:lang w:eastAsia="pt-BR"/>
        </w:rPr>
        <w:t>,</w:t>
      </w:r>
      <w:r w:rsidRPr="00672714">
        <w:rPr>
          <w:lang w:eastAsia="pt-BR"/>
        </w:rPr>
        <w:t xml:space="preserve"> possuindo em seu entorno uma alta densidade demográfica. É uma região de inúmeras nascentes e diversos cursos d’água, por isto exerceu papel fundamental na história do abastecimento de água na cidade de São Paulo, constituindo o cham</w:t>
      </w:r>
      <w:r>
        <w:rPr>
          <w:lang w:eastAsia="pt-BR"/>
        </w:rPr>
        <w:t>ado “Sistema Cantareira Velho” (</w:t>
      </w:r>
      <w:r w:rsidRPr="00672714">
        <w:rPr>
          <w:lang w:eastAsia="pt-BR"/>
        </w:rPr>
        <w:t>Sistema Cantareira de Abastecimento de Águas de São Paulo</w:t>
      </w:r>
      <w:r>
        <w:rPr>
          <w:lang w:eastAsia="pt-BR"/>
        </w:rPr>
        <w:t>)</w:t>
      </w:r>
      <w:r w:rsidRPr="00672714">
        <w:rPr>
          <w:lang w:eastAsia="pt-BR"/>
        </w:rPr>
        <w:t xml:space="preserve">, por meio das </w:t>
      </w:r>
      <w:r>
        <w:rPr>
          <w:lang w:eastAsia="pt-BR"/>
        </w:rPr>
        <w:t xml:space="preserve">antigas </w:t>
      </w:r>
      <w:r w:rsidRPr="00672714">
        <w:rPr>
          <w:lang w:eastAsia="pt-BR"/>
        </w:rPr>
        <w:t>represas Engordador, Barrocada e Cabuçu, além de pequenos reservatórios e tanques.</w:t>
      </w:r>
      <w:r>
        <w:rPr>
          <w:lang w:eastAsia="pt-BR"/>
        </w:rPr>
        <w:t xml:space="preserve"> Possui quatro núcleos de visitação: o </w:t>
      </w:r>
      <w:r w:rsidRPr="00672714">
        <w:rPr>
          <w:lang w:eastAsia="pt-BR"/>
        </w:rPr>
        <w:t>Núcleo Pedra Grande</w:t>
      </w:r>
      <w:r>
        <w:rPr>
          <w:lang w:eastAsia="pt-BR"/>
        </w:rPr>
        <w:t xml:space="preserve">, </w:t>
      </w:r>
      <w:r w:rsidRPr="00672714">
        <w:rPr>
          <w:lang w:eastAsia="pt-BR"/>
        </w:rPr>
        <w:t>aberto ao público em 1989</w:t>
      </w:r>
      <w:r>
        <w:rPr>
          <w:lang w:eastAsia="pt-BR"/>
        </w:rPr>
        <w:t>; o N</w:t>
      </w:r>
      <w:r w:rsidRPr="00672714">
        <w:rPr>
          <w:lang w:eastAsia="pt-BR"/>
        </w:rPr>
        <w:t>úcleo Engordador</w:t>
      </w:r>
      <w:r>
        <w:rPr>
          <w:lang w:eastAsia="pt-BR"/>
        </w:rPr>
        <w:t xml:space="preserve">, </w:t>
      </w:r>
      <w:r w:rsidRPr="00672714">
        <w:rPr>
          <w:lang w:eastAsia="pt-BR"/>
        </w:rPr>
        <w:t>atribuído ao local que concentrava inúmeros córregos e riachos da região</w:t>
      </w:r>
      <w:r>
        <w:rPr>
          <w:lang w:eastAsia="pt-BR"/>
        </w:rPr>
        <w:t xml:space="preserve">; o </w:t>
      </w:r>
      <w:r w:rsidRPr="00672714">
        <w:rPr>
          <w:lang w:eastAsia="pt-BR"/>
        </w:rPr>
        <w:t>Núcleo Águas Claras</w:t>
      </w:r>
      <w:r>
        <w:rPr>
          <w:lang w:eastAsia="pt-BR"/>
        </w:rPr>
        <w:t>, a</w:t>
      </w:r>
      <w:r w:rsidRPr="00672714">
        <w:rPr>
          <w:lang w:eastAsia="pt-BR"/>
        </w:rPr>
        <w:t xml:space="preserve">berto ao público em 2000, através de uma parceria </w:t>
      </w:r>
      <w:r w:rsidRPr="00672714">
        <w:rPr>
          <w:lang w:eastAsia="pt-BR"/>
        </w:rPr>
        <w:lastRenderedPageBreak/>
        <w:t>entre o Instituto Florestal e a Congregação das Associações da Serra da Cantareira (CASC)</w:t>
      </w:r>
      <w:r>
        <w:rPr>
          <w:lang w:eastAsia="pt-BR"/>
        </w:rPr>
        <w:t xml:space="preserve">; e o </w:t>
      </w:r>
      <w:r w:rsidRPr="00672714">
        <w:rPr>
          <w:lang w:eastAsia="pt-BR"/>
        </w:rPr>
        <w:t>Núcleo Cabuçu</w:t>
      </w:r>
      <w:r>
        <w:rPr>
          <w:lang w:eastAsia="pt-BR"/>
        </w:rPr>
        <w:t xml:space="preserve">, </w:t>
      </w:r>
      <w:r w:rsidRPr="00672714">
        <w:rPr>
          <w:lang w:eastAsia="pt-BR"/>
        </w:rPr>
        <w:t>aberto à visitação pública em 2008.</w:t>
      </w:r>
      <w:r>
        <w:rPr>
          <w:lang w:eastAsia="pt-BR"/>
        </w:rPr>
        <w:t xml:space="preserve"> </w:t>
      </w:r>
    </w:p>
    <w:p w:rsidR="00A3238D" w:rsidRPr="008B2763" w:rsidRDefault="00B81B5D" w:rsidP="00A3238D">
      <w:pPr>
        <w:rPr>
          <w:lang w:eastAsia="pt-BR"/>
        </w:rPr>
      </w:pPr>
      <w:r>
        <w:rPr>
          <w:u w:val="single"/>
        </w:rPr>
        <w:t>Interface</w:t>
      </w:r>
      <w:r w:rsidR="00A3238D">
        <w:t xml:space="preserve">: </w:t>
      </w:r>
      <w:r w:rsidR="00A3238D">
        <w:rPr>
          <w:rFonts w:eastAsia="Times New Roman" w:cs="Arial"/>
          <w:bCs/>
          <w:lang w:eastAsia="ar-SA"/>
        </w:rPr>
        <w:t>Possui Plano de Manejo, que definiu uma</w:t>
      </w:r>
      <w:r w:rsidR="00A3238D" w:rsidRPr="0069310A">
        <w:rPr>
          <w:rFonts w:eastAsia="Times New Roman" w:cs="Arial"/>
          <w:bCs/>
          <w:lang w:eastAsia="ar-SA"/>
        </w:rPr>
        <w:t xml:space="preserve"> Zona de Amortecimento (ZA)</w:t>
      </w:r>
      <w:r w:rsidR="00A3238D">
        <w:rPr>
          <w:rFonts w:eastAsia="Times New Roman" w:cs="Arial"/>
          <w:bCs/>
          <w:lang w:eastAsia="ar-SA"/>
        </w:rPr>
        <w:t xml:space="preserve"> que abrange de 2 a 10 km de raio, abrangendo </w:t>
      </w:r>
      <w:r w:rsidR="00A3238D" w:rsidRPr="008B2763">
        <w:rPr>
          <w:lang w:eastAsia="pt-BR"/>
        </w:rPr>
        <w:t>parcialmente os municípios de Santa Isabel e Nazaré Paulista</w:t>
      </w:r>
      <w:r w:rsidR="00D72B56">
        <w:rPr>
          <w:lang w:eastAsia="pt-BR"/>
        </w:rPr>
        <w:t>, pertencentes à AII.</w:t>
      </w:r>
      <w:r w:rsidR="00A3238D">
        <w:rPr>
          <w:lang w:eastAsia="pt-BR"/>
        </w:rPr>
        <w:t xml:space="preserve"> </w:t>
      </w:r>
      <w:r w:rsidR="00D72B56">
        <w:rPr>
          <w:lang w:eastAsia="pt-BR"/>
        </w:rPr>
        <w:t>A ZA n</w:t>
      </w:r>
      <w:r w:rsidR="00A3238D">
        <w:rPr>
          <w:lang w:eastAsia="pt-BR"/>
        </w:rPr>
        <w:t>ão será afetada pelo empreendimento.</w:t>
      </w:r>
    </w:p>
    <w:p w:rsidR="00A3238D" w:rsidRPr="002075DE" w:rsidRDefault="00A3238D" w:rsidP="00A3238D">
      <w:pPr>
        <w:rPr>
          <w:lang w:eastAsia="ar-SA"/>
        </w:rPr>
      </w:pPr>
      <w:r w:rsidRPr="0069310A">
        <w:rPr>
          <w:b/>
          <w:lang w:eastAsia="ar-SA"/>
        </w:rPr>
        <w:t>APA Mananciais do Rio Paraíba do Sul</w:t>
      </w:r>
      <w:r w:rsidRPr="0069310A">
        <w:rPr>
          <w:lang w:eastAsia="ar-SA"/>
        </w:rPr>
        <w:t xml:space="preserve">. </w:t>
      </w:r>
      <w:r>
        <w:rPr>
          <w:lang w:eastAsia="ar-SA"/>
        </w:rPr>
        <w:t xml:space="preserve">UC Federal de Uso Sustentável. </w:t>
      </w:r>
      <w:r w:rsidRPr="0069310A">
        <w:rPr>
          <w:lang w:eastAsia="ar-SA"/>
        </w:rPr>
        <w:t xml:space="preserve">Criada </w:t>
      </w:r>
      <w:r>
        <w:rPr>
          <w:lang w:eastAsia="ar-SA"/>
        </w:rPr>
        <w:t>pelo</w:t>
      </w:r>
      <w:r w:rsidRPr="0069310A">
        <w:rPr>
          <w:lang w:eastAsia="ar-SA"/>
        </w:rPr>
        <w:t xml:space="preserve"> </w:t>
      </w:r>
      <w:r w:rsidRPr="0069310A">
        <w:t xml:space="preserve">Decreto Federal n° 87.561, de 13/09/1982, </w:t>
      </w:r>
      <w:r w:rsidRPr="0069310A">
        <w:rPr>
          <w:lang w:eastAsia="ar-SA"/>
        </w:rPr>
        <w:t>destina-se à proteção dos mananciais de abastecimento da baci</w:t>
      </w:r>
      <w:r>
        <w:rPr>
          <w:lang w:eastAsia="ar-SA"/>
        </w:rPr>
        <w:t>a hidrográfica do r</w:t>
      </w:r>
      <w:r w:rsidRPr="0069310A">
        <w:rPr>
          <w:lang w:eastAsia="ar-SA"/>
        </w:rPr>
        <w:t>io Paraíba do Sul e de sua diversidade biológica. Seu território abrange</w:t>
      </w:r>
      <w:r>
        <w:rPr>
          <w:lang w:eastAsia="ar-SA"/>
        </w:rPr>
        <w:t xml:space="preserve"> 292.597 ha, é </w:t>
      </w:r>
      <w:r w:rsidRPr="0069310A">
        <w:rPr>
          <w:lang w:eastAsia="ar-SA"/>
        </w:rPr>
        <w:t>composta por áreas não contíguas entre si, que protegem mananciais específicos</w:t>
      </w:r>
      <w:r>
        <w:rPr>
          <w:lang w:eastAsia="ar-SA"/>
        </w:rPr>
        <w:t xml:space="preserve"> na bacia,</w:t>
      </w:r>
      <w:r w:rsidRPr="0069310A">
        <w:rPr>
          <w:lang w:eastAsia="ar-SA"/>
        </w:rPr>
        <w:t xml:space="preserve"> </w:t>
      </w:r>
      <w:r>
        <w:rPr>
          <w:lang w:eastAsia="ar-SA"/>
        </w:rPr>
        <w:t>distribuída</w:t>
      </w:r>
      <w:r w:rsidRPr="0069310A">
        <w:rPr>
          <w:lang w:eastAsia="ar-SA"/>
        </w:rPr>
        <w:t>s em 2</w:t>
      </w:r>
      <w:r w:rsidR="00D72B56">
        <w:rPr>
          <w:lang w:eastAsia="ar-SA"/>
        </w:rPr>
        <w:t>3</w:t>
      </w:r>
      <w:r w:rsidRPr="0069310A">
        <w:rPr>
          <w:lang w:eastAsia="ar-SA"/>
        </w:rPr>
        <w:t xml:space="preserve"> municípios</w:t>
      </w:r>
      <w:r>
        <w:rPr>
          <w:lang w:eastAsia="ar-SA"/>
        </w:rPr>
        <w:t xml:space="preserve"> paulistas (</w:t>
      </w:r>
      <w:r w:rsidRPr="003A7ECF">
        <w:rPr>
          <w:lang w:eastAsia="ar-SA"/>
        </w:rPr>
        <w:t xml:space="preserve">Areias, Arujá, Bananal, Cachoeira Paulista, Cruzeiro, Guaratinguetá, Guarulhos, Igaratá, Jacareí, Jambeiro, Lavrinhas, Monteiro Lobato, Natividade da Serra, Paraibuna, Piquete, Queluz, Redenção da Serra, Santa Branca, Santa Isabel, Silveiras, São José do Barreiro, São José dos Campos e Taubaté). A abrangência da APA nos </w:t>
      </w:r>
      <w:r>
        <w:rPr>
          <w:lang w:eastAsia="ar-SA"/>
        </w:rPr>
        <w:t>e</w:t>
      </w:r>
      <w:r w:rsidRPr="003A7ECF">
        <w:rPr>
          <w:lang w:eastAsia="ar-SA"/>
        </w:rPr>
        <w:t>stados de Minas Gerais e Rio de Janeiro está em fase de levantamento/identificação.</w:t>
      </w:r>
      <w:r w:rsidRPr="0069310A">
        <w:rPr>
          <w:lang w:eastAsia="ar-SA"/>
        </w:rPr>
        <w:t xml:space="preserve"> A APA disciplina o processo de ocupação e visa assegurar a sustentabilidade do uso dos recursos naturais pertencentes ao Bioma Mata Atlântica, com Floresta ombrófila densa alto-montana, montana e baixo-montana, nas encostas mais baixas e quentes do Vale do Paraíba</w:t>
      </w:r>
      <w:r>
        <w:rPr>
          <w:lang w:eastAsia="ar-SA"/>
        </w:rPr>
        <w:t>,</w:t>
      </w:r>
      <w:r w:rsidRPr="0069310A">
        <w:rPr>
          <w:lang w:eastAsia="ar-SA"/>
        </w:rPr>
        <w:t xml:space="preserve"> além de Floresta estacional semidecidual com enclaves de cerrado.</w:t>
      </w:r>
      <w:r>
        <w:rPr>
          <w:lang w:eastAsia="ar-SA"/>
        </w:rPr>
        <w:t xml:space="preserve"> É administrada pelo </w:t>
      </w:r>
      <w:r w:rsidRPr="00884108">
        <w:rPr>
          <w:lang w:eastAsia="ar-SA"/>
        </w:rPr>
        <w:t>ICMBio - Instituto Chico Mendes de Conservação da Biodiversidade</w:t>
      </w:r>
      <w:r>
        <w:rPr>
          <w:lang w:eastAsia="ar-SA"/>
        </w:rPr>
        <w:t xml:space="preserve"> que, em seu site, consultado em 07/11/2014, em </w:t>
      </w:r>
      <w:r w:rsidR="00D72B56">
        <w:rPr>
          <w:lang w:eastAsia="ar-SA"/>
        </w:rPr>
        <w:t xml:space="preserve">página específica da UC </w:t>
      </w:r>
      <w:r>
        <w:rPr>
          <w:lang w:eastAsia="ar-SA"/>
        </w:rPr>
        <w:t>(</w:t>
      </w:r>
      <w:hyperlink r:id="rId232" w:history="1">
        <w:r w:rsidRPr="00243EAD">
          <w:rPr>
            <w:rStyle w:val="Hyperlink"/>
          </w:rPr>
          <w:t>http://sistemas.mma.gov.br/cnuc/index.php?ido=relatorioparametrizado.exibeRelatorio&amp;relatorioPadrao=true&amp;idUc=1521</w:t>
        </w:r>
      </w:hyperlink>
      <w:r>
        <w:t>)</w:t>
      </w:r>
      <w:r>
        <w:rPr>
          <w:lang w:eastAsia="ar-SA"/>
        </w:rPr>
        <w:t xml:space="preserve"> informa que esta APA não possui Plano de Manejo nem Conselho Gestor. A</w:t>
      </w:r>
      <w:r w:rsidRPr="002075DE">
        <w:rPr>
          <w:lang w:eastAsia="ar-SA"/>
        </w:rPr>
        <w:t xml:space="preserve"> </w:t>
      </w:r>
      <w:r>
        <w:rPr>
          <w:lang w:eastAsia="ar-SA"/>
        </w:rPr>
        <w:t xml:space="preserve">APA Mananciais está vinculada à </w:t>
      </w:r>
      <w:r>
        <w:rPr>
          <w:bCs/>
          <w:lang w:eastAsia="ar-SA"/>
        </w:rPr>
        <w:t>Coordenação R</w:t>
      </w:r>
      <w:r w:rsidRPr="002075DE">
        <w:rPr>
          <w:bCs/>
          <w:lang w:eastAsia="ar-SA"/>
        </w:rPr>
        <w:t>egional</w:t>
      </w:r>
      <w:r w:rsidRPr="002075DE">
        <w:rPr>
          <w:lang w:eastAsia="ar-SA"/>
        </w:rPr>
        <w:t> </w:t>
      </w:r>
      <w:r>
        <w:rPr>
          <w:lang w:eastAsia="ar-SA"/>
        </w:rPr>
        <w:t>CR</w:t>
      </w:r>
      <w:r w:rsidRPr="002075DE">
        <w:rPr>
          <w:lang w:eastAsia="ar-SA"/>
        </w:rPr>
        <w:t>8 -</w:t>
      </w:r>
      <w:r>
        <w:rPr>
          <w:lang w:eastAsia="ar-SA"/>
        </w:rPr>
        <w:t xml:space="preserve"> R</w:t>
      </w:r>
      <w:r w:rsidRPr="002075DE">
        <w:rPr>
          <w:lang w:eastAsia="ar-SA"/>
        </w:rPr>
        <w:t xml:space="preserve">io de </w:t>
      </w:r>
      <w:r>
        <w:rPr>
          <w:lang w:eastAsia="ar-SA"/>
        </w:rPr>
        <w:t>J</w:t>
      </w:r>
      <w:r w:rsidRPr="002075DE">
        <w:rPr>
          <w:lang w:eastAsia="ar-SA"/>
        </w:rPr>
        <w:t>aneiro</w:t>
      </w:r>
      <w:r>
        <w:rPr>
          <w:lang w:eastAsia="ar-SA"/>
        </w:rPr>
        <w:t xml:space="preserve"> do ICMBio.</w:t>
      </w:r>
    </w:p>
    <w:p w:rsidR="00A3238D" w:rsidRPr="0069310A" w:rsidRDefault="00A3238D" w:rsidP="00A3238D">
      <w:pPr>
        <w:rPr>
          <w:lang w:eastAsia="ar-SA"/>
        </w:rPr>
      </w:pPr>
      <w:r w:rsidRPr="00F04F2C">
        <w:rPr>
          <w:u w:val="single"/>
        </w:rPr>
        <w:t>Interferência</w:t>
      </w:r>
      <w:r>
        <w:t xml:space="preserve">: </w:t>
      </w:r>
      <w:r w:rsidR="00D72B56">
        <w:t xml:space="preserve">Um dos setores </w:t>
      </w:r>
      <w:r w:rsidR="00D72B56" w:rsidRPr="00D72B56">
        <w:t xml:space="preserve">da APA </w:t>
      </w:r>
      <w:r w:rsidR="00D72B56">
        <w:rPr>
          <w:lang w:eastAsia="ar-SA"/>
        </w:rPr>
        <w:t xml:space="preserve">Mananciais do Rio Paraíba do Sul </w:t>
      </w:r>
      <w:r w:rsidR="00D72B56" w:rsidRPr="00D72B56">
        <w:t>abrange grande parte da bacia do reservatório Jaguari, integrante da AII</w:t>
      </w:r>
      <w:r w:rsidR="00D72B56">
        <w:t xml:space="preserve">, em </w:t>
      </w:r>
      <w:r w:rsidR="00D72B56" w:rsidRPr="0069310A">
        <w:rPr>
          <w:lang w:eastAsia="ar-SA"/>
        </w:rPr>
        <w:t>parte dos municípios de São José dos Campos, Jacareí, Igaratá e Santa Isabel.</w:t>
      </w:r>
      <w:r w:rsidR="00D72B56">
        <w:rPr>
          <w:lang w:eastAsia="ar-SA"/>
        </w:rPr>
        <w:t xml:space="preserve"> </w:t>
      </w:r>
      <w:r>
        <w:rPr>
          <w:lang w:eastAsia="ar-SA"/>
        </w:rPr>
        <w:t>A</w:t>
      </w:r>
      <w:r w:rsidRPr="00832336">
        <w:t xml:space="preserve"> Interligação intercepta a </w:t>
      </w:r>
      <w:r>
        <w:t>APA</w:t>
      </w:r>
      <w:r w:rsidRPr="00832336">
        <w:t xml:space="preserve"> em trecho de </w:t>
      </w:r>
      <w:r w:rsidRPr="007F0479">
        <w:t>13,</w:t>
      </w:r>
      <w:r w:rsidR="00D72B56">
        <w:t>5</w:t>
      </w:r>
      <w:r w:rsidRPr="007F0479">
        <w:t xml:space="preserve"> km</w:t>
      </w:r>
      <w:r w:rsidR="00D72B56">
        <w:t xml:space="preserve"> de adutora (toda ela)</w:t>
      </w:r>
      <w:r w:rsidRPr="007F0479">
        <w:t>, entr</w:t>
      </w:r>
      <w:r w:rsidRPr="00832336">
        <w:t xml:space="preserve">e </w:t>
      </w:r>
      <w:r w:rsidR="00D72B56">
        <w:t>o</w:t>
      </w:r>
      <w:r>
        <w:t xml:space="preserve">s </w:t>
      </w:r>
      <w:r w:rsidR="00D72B56">
        <w:t xml:space="preserve">Km </w:t>
      </w:r>
      <w:r>
        <w:t>0 a 1</w:t>
      </w:r>
      <w:r w:rsidR="00D72B56">
        <w:t>3,</w:t>
      </w:r>
      <w:r>
        <w:t>5,</w:t>
      </w:r>
      <w:r w:rsidRPr="00832336">
        <w:t xml:space="preserve"> </w:t>
      </w:r>
      <w:r w:rsidR="00D72B56">
        <w:t xml:space="preserve">e em </w:t>
      </w:r>
      <w:r w:rsidR="00405133">
        <w:t>1,</w:t>
      </w:r>
      <w:r w:rsidR="00497DF2">
        <w:t>5</w:t>
      </w:r>
      <w:r w:rsidR="00D72B56">
        <w:t xml:space="preserve"> km de túnel, </w:t>
      </w:r>
      <w:r w:rsidRPr="00832336">
        <w:t>no</w:t>
      </w:r>
      <w:r>
        <w:t>s</w:t>
      </w:r>
      <w:r w:rsidRPr="00832336">
        <w:t xml:space="preserve"> município</w:t>
      </w:r>
      <w:r>
        <w:t>s</w:t>
      </w:r>
      <w:r w:rsidRPr="00832336">
        <w:t xml:space="preserve"> de</w:t>
      </w:r>
      <w:r>
        <w:t xml:space="preserve"> </w:t>
      </w:r>
      <w:r w:rsidRPr="0069310A">
        <w:rPr>
          <w:lang w:eastAsia="ar-SA"/>
        </w:rPr>
        <w:t>Santa Isabel</w:t>
      </w:r>
      <w:r>
        <w:rPr>
          <w:lang w:eastAsia="ar-SA"/>
        </w:rPr>
        <w:t xml:space="preserve"> e</w:t>
      </w:r>
      <w:r w:rsidRPr="0069310A">
        <w:rPr>
          <w:lang w:eastAsia="ar-SA"/>
        </w:rPr>
        <w:t xml:space="preserve"> </w:t>
      </w:r>
      <w:r>
        <w:rPr>
          <w:lang w:eastAsia="ar-SA"/>
        </w:rPr>
        <w:t>Igaratá.</w:t>
      </w:r>
      <w:r w:rsidR="00D72B56">
        <w:rPr>
          <w:lang w:eastAsia="ar-SA"/>
        </w:rPr>
        <w:t xml:space="preserve"> A captação, o emboque do túnel e o próprio reservatório Jaguari situam-se em território da APA.</w:t>
      </w:r>
    </w:p>
    <w:p w:rsidR="00A3238D" w:rsidRDefault="00A3238D" w:rsidP="00A3238D">
      <w:r w:rsidRPr="0069310A">
        <w:rPr>
          <w:b/>
        </w:rPr>
        <w:t>APA Sistema Cantareira</w:t>
      </w:r>
      <w:r w:rsidRPr="0069310A">
        <w:t xml:space="preserve">. </w:t>
      </w:r>
      <w:r w:rsidRPr="00E418E1">
        <w:t xml:space="preserve">UC </w:t>
      </w:r>
      <w:r>
        <w:t xml:space="preserve">Estadual </w:t>
      </w:r>
      <w:r w:rsidRPr="00E418E1">
        <w:t>de Uso Sustentável</w:t>
      </w:r>
      <w:r>
        <w:t xml:space="preserve">. </w:t>
      </w:r>
      <w:r w:rsidRPr="0069310A">
        <w:t xml:space="preserve">Criada por meio da Lei Estadual n° 10.111, de </w:t>
      </w:r>
      <w:r>
        <w:t>0</w:t>
      </w:r>
      <w:r w:rsidRPr="0069310A">
        <w:t xml:space="preserve">4/12/1998, tem por objetivo a proteção dos recursos hídricos da RMSP, especialmente os reservatórios que compõem o Sistema Cantareira: Jaguari, Jacareí, Cachoeira, Atibainha e Paiva Castro. Seu território abrange </w:t>
      </w:r>
      <w:r w:rsidRPr="00886C2A">
        <w:t>249.200</w:t>
      </w:r>
      <w:r>
        <w:t xml:space="preserve"> </w:t>
      </w:r>
      <w:r w:rsidRPr="00886C2A">
        <w:t>ha</w:t>
      </w:r>
      <w:r w:rsidRPr="0069310A">
        <w:t>, distribuídos em 6 municípios</w:t>
      </w:r>
      <w:r>
        <w:t xml:space="preserve"> (</w:t>
      </w:r>
      <w:r w:rsidRPr="00886C2A">
        <w:t>Atibaia, Bragança Paulista, Joanópolis, Mairiporã, Nazaré Paulista, Piracaia e Vargem</w:t>
      </w:r>
      <w:r>
        <w:t>). C</w:t>
      </w:r>
      <w:r w:rsidRPr="00886C2A">
        <w:t>ompreende a</w:t>
      </w:r>
      <w:r>
        <w:t>s</w:t>
      </w:r>
      <w:r w:rsidRPr="00886C2A">
        <w:t xml:space="preserve"> </w:t>
      </w:r>
      <w:r>
        <w:t>bacias</w:t>
      </w:r>
      <w:r w:rsidRPr="00886C2A">
        <w:t xml:space="preserve"> dos reservatórios Jaguari-Jacareí, Cachoeira e Atibainha na bacia do </w:t>
      </w:r>
      <w:r>
        <w:t>r</w:t>
      </w:r>
      <w:r w:rsidRPr="00886C2A">
        <w:t>io Piracicaba</w:t>
      </w:r>
      <w:r>
        <w:t xml:space="preserve"> (UGRHI 5)</w:t>
      </w:r>
      <w:r w:rsidRPr="00886C2A">
        <w:t xml:space="preserve"> e a área de drenagem do reservatório Paiva Castro, na </w:t>
      </w:r>
      <w:r>
        <w:t>bacia do Alto Tietê (UGRHI 6)</w:t>
      </w:r>
      <w:r w:rsidRPr="00886C2A">
        <w:t>.</w:t>
      </w:r>
      <w:r>
        <w:t xml:space="preserve"> </w:t>
      </w:r>
      <w:r w:rsidRPr="00886C2A">
        <w:t xml:space="preserve">Sua área é bastante urbanizada, parcialmente localizada na </w:t>
      </w:r>
      <w:r>
        <w:t>RMSP</w:t>
      </w:r>
      <w:r w:rsidRPr="00886C2A">
        <w:t xml:space="preserve">, tendo Atibaia e Bragança Paulista como as cidades com maior urbanização. O perímetro desta APA se sobrepõe ao das APAs Piracicaba/Juqueri-Mirim Área II e Represa Bairro da Usina, reforçando a proteção aos recursos hídricos da região, particularmente as áreas que formam a bacia de </w:t>
      </w:r>
      <w:r w:rsidR="00405133">
        <w:t>de contribuição a</w:t>
      </w:r>
      <w:r w:rsidRPr="00886C2A">
        <w:t>o Sistema Cantareira.</w:t>
      </w:r>
      <w:r>
        <w:t xml:space="preserve"> </w:t>
      </w:r>
    </w:p>
    <w:p w:rsidR="00A3238D" w:rsidRDefault="00A3238D" w:rsidP="00A3238D">
      <w:pPr>
        <w:rPr>
          <w:lang w:eastAsia="ar-SA"/>
        </w:rPr>
      </w:pPr>
      <w:r w:rsidRPr="00F04F2C">
        <w:rPr>
          <w:u w:val="single"/>
        </w:rPr>
        <w:t>Interferência</w:t>
      </w:r>
      <w:r>
        <w:t xml:space="preserve">: </w:t>
      </w:r>
      <w:r w:rsidRPr="0069310A">
        <w:rPr>
          <w:lang w:eastAsia="ar-SA"/>
        </w:rPr>
        <w:t xml:space="preserve">A </w:t>
      </w:r>
      <w:r>
        <w:rPr>
          <w:lang w:eastAsia="ar-SA"/>
        </w:rPr>
        <w:t xml:space="preserve">AII engloba </w:t>
      </w:r>
      <w:r w:rsidRPr="0069310A">
        <w:rPr>
          <w:lang w:eastAsia="ar-SA"/>
        </w:rPr>
        <w:t xml:space="preserve">porção da APA </w:t>
      </w:r>
      <w:r>
        <w:rPr>
          <w:lang w:eastAsia="ar-SA"/>
        </w:rPr>
        <w:t>Sistema Cantareira n</w:t>
      </w:r>
      <w:r w:rsidRPr="0069310A">
        <w:rPr>
          <w:lang w:eastAsia="ar-SA"/>
        </w:rPr>
        <w:t xml:space="preserve">a bacia do reservatório </w:t>
      </w:r>
      <w:r>
        <w:rPr>
          <w:lang w:eastAsia="ar-SA"/>
        </w:rPr>
        <w:t>Atibainha e em trecho da Interligação no município de Nazaré Paulista</w:t>
      </w:r>
      <w:r w:rsidRPr="0069310A">
        <w:rPr>
          <w:lang w:eastAsia="ar-SA"/>
        </w:rPr>
        <w:t>.</w:t>
      </w:r>
      <w:r>
        <w:rPr>
          <w:lang w:eastAsia="ar-SA"/>
        </w:rPr>
        <w:t xml:space="preserve"> A</w:t>
      </w:r>
      <w:r w:rsidRPr="00832336">
        <w:t xml:space="preserve"> Interligação intercepta a </w:t>
      </w:r>
      <w:r>
        <w:t>APA</w:t>
      </w:r>
      <w:r w:rsidRPr="00832336">
        <w:t xml:space="preserve"> em </w:t>
      </w:r>
      <w:r w:rsidR="00405133">
        <w:t>túnel,</w:t>
      </w:r>
      <w:r w:rsidR="00405133" w:rsidRPr="00832336">
        <w:t xml:space="preserve"> </w:t>
      </w:r>
      <w:r w:rsidR="00405133">
        <w:t xml:space="preserve">em </w:t>
      </w:r>
      <w:r w:rsidRPr="00832336">
        <w:t xml:space="preserve">trecho de </w:t>
      </w:r>
      <w:r>
        <w:t>4,</w:t>
      </w:r>
      <w:r w:rsidR="00405133">
        <w:t>8</w:t>
      </w:r>
      <w:r>
        <w:t xml:space="preserve"> </w:t>
      </w:r>
      <w:r w:rsidRPr="007F0479">
        <w:t>km</w:t>
      </w:r>
      <w:r>
        <w:t xml:space="preserve"> </w:t>
      </w:r>
      <w:r w:rsidRPr="00832336">
        <w:t xml:space="preserve">entre </w:t>
      </w:r>
      <w:r w:rsidR="00405133">
        <w:t>o</w:t>
      </w:r>
      <w:r>
        <w:t xml:space="preserve">s </w:t>
      </w:r>
      <w:r w:rsidR="00405133">
        <w:t xml:space="preserve">Km </w:t>
      </w:r>
      <w:r>
        <w:t>1</w:t>
      </w:r>
      <w:r w:rsidR="00405133">
        <w:t>4,9</w:t>
      </w:r>
      <w:r>
        <w:t xml:space="preserve"> e 19</w:t>
      </w:r>
      <w:r w:rsidR="00405133">
        <w:t>,</w:t>
      </w:r>
      <w:r>
        <w:t xml:space="preserve">7, e </w:t>
      </w:r>
      <w:r w:rsidR="00405133">
        <w:t xml:space="preserve">em </w:t>
      </w:r>
      <w:r>
        <w:t xml:space="preserve">0,5 </w:t>
      </w:r>
      <w:r w:rsidR="00405133">
        <w:t xml:space="preserve">km </w:t>
      </w:r>
      <w:r>
        <w:t>de túnel de acesso</w:t>
      </w:r>
      <w:r w:rsidR="00405133">
        <w:t>.</w:t>
      </w:r>
      <w:r w:rsidRPr="00832336">
        <w:t xml:space="preserve"> </w:t>
      </w:r>
      <w:r w:rsidR="00C414AD">
        <w:t>Situam-se em território da APA, a</w:t>
      </w:r>
      <w:r w:rsidR="00405133">
        <w:t>dicionalmente</w:t>
      </w:r>
      <w:r w:rsidR="00C414AD">
        <w:t>:</w:t>
      </w:r>
      <w:r w:rsidR="00405133">
        <w:t xml:space="preserve"> a janela de acesso intermediário, o desemboque </w:t>
      </w:r>
      <w:r w:rsidR="00C414AD">
        <w:t xml:space="preserve">do túnel, e o reservatório Atibainha, todos </w:t>
      </w:r>
      <w:r w:rsidRPr="00832336">
        <w:t>no município de</w:t>
      </w:r>
      <w:r>
        <w:t xml:space="preserve"> Nazaré Paulista</w:t>
      </w:r>
      <w:r w:rsidRPr="00B002C3">
        <w:rPr>
          <w:lang w:eastAsia="ar-SA"/>
        </w:rPr>
        <w:t>.</w:t>
      </w:r>
    </w:p>
    <w:p w:rsidR="00A3238D" w:rsidRDefault="00A3238D" w:rsidP="00A3238D">
      <w:pPr>
        <w:rPr>
          <w:lang w:eastAsia="ar-SA"/>
        </w:rPr>
      </w:pPr>
      <w:r w:rsidRPr="00511D6F">
        <w:rPr>
          <w:b/>
        </w:rPr>
        <w:t>APA Piracicaba / Juqueri Mirim – Área II</w:t>
      </w:r>
      <w:r w:rsidRPr="0069310A">
        <w:t xml:space="preserve">. </w:t>
      </w:r>
      <w:r w:rsidRPr="00E418E1">
        <w:rPr>
          <w:lang w:eastAsia="ar-SA"/>
        </w:rPr>
        <w:t xml:space="preserve">UC </w:t>
      </w:r>
      <w:r>
        <w:rPr>
          <w:lang w:eastAsia="ar-SA"/>
        </w:rPr>
        <w:t xml:space="preserve">Estadual </w:t>
      </w:r>
      <w:r w:rsidRPr="00E418E1">
        <w:rPr>
          <w:lang w:eastAsia="ar-SA"/>
        </w:rPr>
        <w:t>de Uso Sustentável</w:t>
      </w:r>
      <w:r>
        <w:rPr>
          <w:lang w:eastAsia="ar-SA"/>
        </w:rPr>
        <w:t xml:space="preserve">. </w:t>
      </w:r>
      <w:r w:rsidRPr="00E418E1">
        <w:rPr>
          <w:lang w:eastAsia="ar-SA"/>
        </w:rPr>
        <w:t>Criada por meio do Decr</w:t>
      </w:r>
      <w:r>
        <w:rPr>
          <w:lang w:eastAsia="ar-SA"/>
        </w:rPr>
        <w:t>eto Estadual n° 26.882, de 11/05</w:t>
      </w:r>
      <w:r w:rsidRPr="00E418E1">
        <w:rPr>
          <w:lang w:eastAsia="ar-SA"/>
        </w:rPr>
        <w:t xml:space="preserve">/1987, </w:t>
      </w:r>
      <w:r w:rsidRPr="00CD6AE2">
        <w:rPr>
          <w:lang w:eastAsia="ar-SA"/>
        </w:rPr>
        <w:t xml:space="preserve">e pela </w:t>
      </w:r>
      <w:hyperlink r:id="rId233" w:tgtFrame="_blank" w:history="1">
        <w:r w:rsidRPr="00CD6AE2">
          <w:rPr>
            <w:lang w:eastAsia="ar-SA"/>
          </w:rPr>
          <w:t>Lei Estadual 7.438, de 14</w:t>
        </w:r>
        <w:r w:rsidR="00042A6C">
          <w:rPr>
            <w:lang w:eastAsia="ar-SA"/>
          </w:rPr>
          <w:t>/07/</w:t>
        </w:r>
        <w:r w:rsidRPr="00CD6AE2">
          <w:rPr>
            <w:lang w:eastAsia="ar-SA"/>
          </w:rPr>
          <w:t>1991</w:t>
        </w:r>
      </w:hyperlink>
      <w:r w:rsidRPr="00CD6AE2">
        <w:rPr>
          <w:lang w:eastAsia="ar-SA"/>
        </w:rPr>
        <w:t xml:space="preserve">, </w:t>
      </w:r>
      <w:r w:rsidRPr="00E418E1">
        <w:rPr>
          <w:lang w:eastAsia="ar-SA"/>
        </w:rPr>
        <w:t>tem por objetivo promover a proteção das cabeceiras</w:t>
      </w:r>
      <w:r w:rsidRPr="001152B8">
        <w:rPr>
          <w:lang w:eastAsia="ar-SA"/>
        </w:rPr>
        <w:t xml:space="preserve"> do Rio Juqueri-Mirim para o abastecimento de água da RMSP, englobando as sub-bacias dos rios Atibainha, Atibaia, Jaguari e Camanducaia. Seu território abrange </w:t>
      </w:r>
      <w:r w:rsidRPr="00AF74D1">
        <w:rPr>
          <w:lang w:eastAsia="ar-SA"/>
        </w:rPr>
        <w:t xml:space="preserve">280.330 </w:t>
      </w:r>
      <w:r w:rsidRPr="001152B8">
        <w:rPr>
          <w:lang w:eastAsia="ar-SA"/>
        </w:rPr>
        <w:t>ha, distribuídos em 17 municípios</w:t>
      </w:r>
      <w:r>
        <w:rPr>
          <w:lang w:eastAsia="ar-SA"/>
        </w:rPr>
        <w:t xml:space="preserve"> (</w:t>
      </w:r>
      <w:r w:rsidRPr="00AF74D1">
        <w:rPr>
          <w:lang w:eastAsia="ar-SA"/>
        </w:rPr>
        <w:t xml:space="preserve">Campinas, Nazaré Paulista, </w:t>
      </w:r>
      <w:r w:rsidRPr="00AF74D1">
        <w:rPr>
          <w:lang w:eastAsia="ar-SA"/>
        </w:rPr>
        <w:lastRenderedPageBreak/>
        <w:t>Piracaia, Amparo, Bragança Paulista, Holambra, Jaguariúna, Joanópolis, Monte Alegre do Sul, Morungaba, Pedra Bela, Pedreira, Serra Negra, Socorro, Santo Antônio de Po</w:t>
      </w:r>
      <w:r>
        <w:rPr>
          <w:lang w:eastAsia="ar-SA"/>
        </w:rPr>
        <w:t xml:space="preserve">sse, Tuiuti, Vargem e Mairiporã), </w:t>
      </w:r>
      <w:r w:rsidRPr="00782B01">
        <w:rPr>
          <w:lang w:eastAsia="ar-SA"/>
        </w:rPr>
        <w:t>total ou parcialmente.</w:t>
      </w:r>
      <w:r>
        <w:rPr>
          <w:lang w:eastAsia="ar-SA"/>
        </w:rPr>
        <w:t xml:space="preserve"> </w:t>
      </w:r>
      <w:r w:rsidRPr="00782B01">
        <w:rPr>
          <w:lang w:eastAsia="ar-SA"/>
        </w:rPr>
        <w:t> Foi criada para proteger os recursos hídricos e o patrimônio ambiental da região, que inclui remanescentes de Mata Atlântica e fauna a ela associada, cachoeiras e promontórios.</w:t>
      </w:r>
      <w:r>
        <w:rPr>
          <w:lang w:eastAsia="ar-SA"/>
        </w:rPr>
        <w:t xml:space="preserve"> Com </w:t>
      </w:r>
      <w:r w:rsidRPr="00782B01">
        <w:rPr>
          <w:lang w:eastAsia="ar-SA"/>
        </w:rPr>
        <w:t>paisagem variada</w:t>
      </w:r>
      <w:r>
        <w:rPr>
          <w:lang w:eastAsia="ar-SA"/>
        </w:rPr>
        <w:t xml:space="preserve">, o uso do solo </w:t>
      </w:r>
      <w:r w:rsidR="00497DF2">
        <w:rPr>
          <w:lang w:eastAsia="ar-SA"/>
        </w:rPr>
        <w:t xml:space="preserve">é </w:t>
      </w:r>
      <w:r>
        <w:rPr>
          <w:lang w:eastAsia="ar-SA"/>
        </w:rPr>
        <w:t xml:space="preserve">predominantemente </w:t>
      </w:r>
      <w:r w:rsidRPr="00782B01">
        <w:rPr>
          <w:lang w:eastAsia="ar-SA"/>
        </w:rPr>
        <w:t>representad</w:t>
      </w:r>
      <w:r>
        <w:rPr>
          <w:lang w:eastAsia="ar-SA"/>
        </w:rPr>
        <w:t>o</w:t>
      </w:r>
      <w:r w:rsidRPr="00782B01">
        <w:rPr>
          <w:lang w:eastAsia="ar-SA"/>
        </w:rPr>
        <w:t xml:space="preserve"> por pastagens, culturas perenes e temporárias, capoeiras e remanescentes preservados da </w:t>
      </w:r>
      <w:r w:rsidR="00497DF2">
        <w:rPr>
          <w:lang w:eastAsia="ar-SA"/>
        </w:rPr>
        <w:t>M</w:t>
      </w:r>
      <w:r w:rsidR="00497DF2" w:rsidRPr="00782B01">
        <w:rPr>
          <w:lang w:eastAsia="ar-SA"/>
        </w:rPr>
        <w:t xml:space="preserve">ata </w:t>
      </w:r>
      <w:r w:rsidRPr="00782B01">
        <w:rPr>
          <w:lang w:eastAsia="ar-SA"/>
        </w:rPr>
        <w:t>Atlântica. A região apresenta um polo industrial e tecnológico</w:t>
      </w:r>
      <w:r>
        <w:rPr>
          <w:lang w:eastAsia="ar-SA"/>
        </w:rPr>
        <w:t xml:space="preserve"> (</w:t>
      </w:r>
      <w:r w:rsidRPr="00782B01">
        <w:rPr>
          <w:lang w:eastAsia="ar-SA"/>
        </w:rPr>
        <w:t>município de Bragança Paulista</w:t>
      </w:r>
      <w:r>
        <w:rPr>
          <w:lang w:eastAsia="ar-SA"/>
        </w:rPr>
        <w:t>)</w:t>
      </w:r>
      <w:r w:rsidRPr="00782B01">
        <w:rPr>
          <w:lang w:eastAsia="ar-SA"/>
        </w:rPr>
        <w:t xml:space="preserve">, contrastando com a ocupação restante baseada em atividades agrícolas, em geral formada por pequenas propriedades e chácaras de lazer. As sub-bacias que compõem esse perímetro são tributárias do rio Piracicaba, sendo que parte de suas vazões são desviadas para o rio Juqueri-Mirim para compor o Sistema Cantareira. </w:t>
      </w:r>
    </w:p>
    <w:p w:rsidR="00A3238D" w:rsidRPr="00B002C3" w:rsidRDefault="00A3238D" w:rsidP="00A3238D">
      <w:pPr>
        <w:rPr>
          <w:lang w:eastAsia="ar-SA"/>
        </w:rPr>
      </w:pPr>
      <w:r w:rsidRPr="00F04F2C">
        <w:rPr>
          <w:u w:val="single"/>
        </w:rPr>
        <w:t>Interferência</w:t>
      </w:r>
      <w:r>
        <w:t xml:space="preserve">: </w:t>
      </w:r>
      <w:r w:rsidRPr="0069310A">
        <w:rPr>
          <w:lang w:eastAsia="ar-SA"/>
        </w:rPr>
        <w:t xml:space="preserve">A </w:t>
      </w:r>
      <w:r>
        <w:rPr>
          <w:lang w:eastAsia="ar-SA"/>
        </w:rPr>
        <w:t xml:space="preserve">AII engloba </w:t>
      </w:r>
      <w:r w:rsidRPr="0069310A">
        <w:rPr>
          <w:lang w:eastAsia="ar-SA"/>
        </w:rPr>
        <w:t xml:space="preserve">porção da APA </w:t>
      </w:r>
      <w:r>
        <w:rPr>
          <w:lang w:eastAsia="ar-SA"/>
        </w:rPr>
        <w:t>Piracicaba / Juqueri Mirim Área II n</w:t>
      </w:r>
      <w:r w:rsidRPr="0069310A">
        <w:rPr>
          <w:lang w:eastAsia="ar-SA"/>
        </w:rPr>
        <w:t xml:space="preserve">a bacia do reservatório </w:t>
      </w:r>
      <w:r>
        <w:rPr>
          <w:lang w:eastAsia="ar-SA"/>
        </w:rPr>
        <w:t>Atibainha e em trecho da Interligação no município de Nazaré Paulista</w:t>
      </w:r>
      <w:r w:rsidRPr="0069310A">
        <w:rPr>
          <w:lang w:eastAsia="ar-SA"/>
        </w:rPr>
        <w:t>.</w:t>
      </w:r>
      <w:r>
        <w:rPr>
          <w:lang w:eastAsia="ar-SA"/>
        </w:rPr>
        <w:t xml:space="preserve"> </w:t>
      </w:r>
      <w:r w:rsidR="00042A6C">
        <w:rPr>
          <w:lang w:eastAsia="ar-SA"/>
        </w:rPr>
        <w:t>A</w:t>
      </w:r>
      <w:r w:rsidR="00042A6C" w:rsidRPr="00832336">
        <w:t xml:space="preserve"> Interligação intercepta a </w:t>
      </w:r>
      <w:r w:rsidR="00042A6C">
        <w:t>APA</w:t>
      </w:r>
      <w:r w:rsidR="00042A6C" w:rsidRPr="00832336">
        <w:t xml:space="preserve"> em </w:t>
      </w:r>
      <w:r w:rsidR="00042A6C">
        <w:t>túnel,</w:t>
      </w:r>
      <w:r w:rsidR="00042A6C" w:rsidRPr="00832336">
        <w:t xml:space="preserve"> </w:t>
      </w:r>
      <w:r w:rsidR="00042A6C">
        <w:t xml:space="preserve">em </w:t>
      </w:r>
      <w:r w:rsidR="00042A6C" w:rsidRPr="00832336">
        <w:t xml:space="preserve">trecho de </w:t>
      </w:r>
      <w:r w:rsidR="00042A6C">
        <w:t xml:space="preserve">4,8 </w:t>
      </w:r>
      <w:r w:rsidR="00042A6C" w:rsidRPr="007F0479">
        <w:t>km</w:t>
      </w:r>
      <w:r w:rsidR="00042A6C">
        <w:t xml:space="preserve"> </w:t>
      </w:r>
      <w:r w:rsidR="00042A6C" w:rsidRPr="00832336">
        <w:t xml:space="preserve">entre </w:t>
      </w:r>
      <w:r w:rsidR="00042A6C">
        <w:t>os Km 14,9 e 19,7, e em 0,5 km de túnel de acesso.</w:t>
      </w:r>
      <w:r w:rsidR="00042A6C" w:rsidRPr="00832336">
        <w:t xml:space="preserve"> </w:t>
      </w:r>
      <w:r w:rsidR="00042A6C">
        <w:t xml:space="preserve">Situam-se em território da APA, adicionalmente: a janela de acesso intermediário, o desemboque do túnel, e o reservatório Atibainha, todos </w:t>
      </w:r>
      <w:r w:rsidR="00042A6C" w:rsidRPr="00832336">
        <w:t>no município de</w:t>
      </w:r>
      <w:r w:rsidR="00042A6C">
        <w:t xml:space="preserve"> Nazaré Paulista</w:t>
      </w:r>
      <w:r w:rsidRPr="00B002C3">
        <w:rPr>
          <w:lang w:eastAsia="ar-SA"/>
        </w:rPr>
        <w:t>.</w:t>
      </w:r>
    </w:p>
    <w:p w:rsidR="00A3238D" w:rsidRDefault="00A3238D" w:rsidP="00A3238D">
      <w:r w:rsidRPr="00B002C3">
        <w:rPr>
          <w:b/>
        </w:rPr>
        <w:t>APA Estadual Represa Bairro da Usina</w:t>
      </w:r>
      <w:r w:rsidRPr="00B002C3">
        <w:t xml:space="preserve">. UC Estadual de Uso Sustentável. Foi criada pela </w:t>
      </w:r>
      <w:hyperlink r:id="rId234" w:tgtFrame="_blank" w:history="1">
        <w:r w:rsidRPr="00B002C3">
          <w:t>Lei Estadual nº 5280, de 04</w:t>
        </w:r>
        <w:r w:rsidR="00042A6C">
          <w:t>/09/</w:t>
        </w:r>
        <w:r w:rsidRPr="00B002C3">
          <w:t>1986</w:t>
        </w:r>
      </w:hyperlink>
      <w:r w:rsidRPr="00B002C3">
        <w:t xml:space="preserve">. Localiza-se no município de Atibaia e corresponde à barragem do rio Atibaia, responsável pela regularização de sua vazão, controle de enchentes e geração de energia, e uma faixa de largura não especificada ao redor do reservatório, a ser definida no processo de regulamentação. O entorno da represa é formado principalmente por condomínios de chácaras de lazer, em meio à região onde predominam atividades agrícolas, especialmente voltadas ao plantio de flores e frutas. </w:t>
      </w:r>
    </w:p>
    <w:p w:rsidR="00A3238D" w:rsidRPr="00B002C3" w:rsidRDefault="00B81B5D" w:rsidP="00A3238D">
      <w:r>
        <w:rPr>
          <w:u w:val="single"/>
        </w:rPr>
        <w:t>Interface</w:t>
      </w:r>
      <w:r w:rsidR="00A3238D">
        <w:t xml:space="preserve">: </w:t>
      </w:r>
      <w:r w:rsidR="00A3238D" w:rsidRPr="00B002C3">
        <w:t xml:space="preserve">Não haverá qualquer interferência do empreendimento com </w:t>
      </w:r>
      <w:r w:rsidR="00042A6C">
        <w:t>o território protegido dessa UC.</w:t>
      </w:r>
      <w:r w:rsidR="00A3238D" w:rsidRPr="00B002C3">
        <w:t xml:space="preserve"> </w:t>
      </w:r>
      <w:r w:rsidR="00042A6C">
        <w:t>Ela é citada apenas pelo fato d</w:t>
      </w:r>
      <w:r w:rsidR="00A3238D" w:rsidRPr="00B002C3">
        <w:t>o Conselho Gestor Unificado das APA</w:t>
      </w:r>
      <w:r w:rsidR="00042A6C">
        <w:t>s</w:t>
      </w:r>
      <w:r w:rsidR="00A3238D" w:rsidRPr="00B002C3">
        <w:t xml:space="preserve"> Piracantareira</w:t>
      </w:r>
      <w:r w:rsidR="00042A6C" w:rsidRPr="00042A6C">
        <w:t xml:space="preserve"> </w:t>
      </w:r>
      <w:r w:rsidR="00042A6C" w:rsidRPr="00B002C3">
        <w:t>engloba</w:t>
      </w:r>
      <w:r w:rsidR="00042A6C">
        <w:t>r</w:t>
      </w:r>
      <w:r w:rsidR="00042A6C" w:rsidRPr="00B002C3">
        <w:t xml:space="preserve"> essa APA</w:t>
      </w:r>
      <w:r w:rsidR="00A3238D" w:rsidRPr="00B002C3">
        <w:t>, conforme explici</w:t>
      </w:r>
      <w:r w:rsidR="00042A6C">
        <w:t>tado a seguir</w:t>
      </w:r>
      <w:r w:rsidR="00A3238D" w:rsidRPr="00B002C3">
        <w:t xml:space="preserve">. </w:t>
      </w:r>
    </w:p>
    <w:p w:rsidR="00A3238D" w:rsidRDefault="00A3238D" w:rsidP="00A3238D">
      <w:r w:rsidRPr="00AA499E">
        <w:t xml:space="preserve">As </w:t>
      </w:r>
      <w:r w:rsidRPr="00956375">
        <w:rPr>
          <w:b/>
        </w:rPr>
        <w:t>APAs Piracantareira</w:t>
      </w:r>
      <w:r>
        <w:rPr>
          <w:b/>
        </w:rPr>
        <w:t xml:space="preserve"> </w:t>
      </w:r>
      <w:r w:rsidRPr="00072E9A">
        <w:t>corresponde</w:t>
      </w:r>
      <w:r>
        <w:t>m</w:t>
      </w:r>
      <w:r w:rsidRPr="00072E9A">
        <w:t xml:space="preserve"> ao conjunto de áreas protegidas</w:t>
      </w:r>
      <w:r>
        <w:t xml:space="preserve"> acima descritas</w:t>
      </w:r>
      <w:r w:rsidRPr="00072E9A">
        <w:t xml:space="preserve"> </w:t>
      </w:r>
      <w:r>
        <w:t>APA</w:t>
      </w:r>
      <w:r w:rsidRPr="00072E9A">
        <w:t xml:space="preserve"> Piracicaba Juqueri-Mirim II, </w:t>
      </w:r>
      <w:r>
        <w:t xml:space="preserve">APA </w:t>
      </w:r>
      <w:r w:rsidRPr="00072E9A">
        <w:t xml:space="preserve">Sistema Cantareira e </w:t>
      </w:r>
      <w:r>
        <w:t xml:space="preserve">APA </w:t>
      </w:r>
      <w:r w:rsidRPr="00072E9A">
        <w:t xml:space="preserve">Represa Bairro da Usina, criadas para conservação dos recursos hídricos e </w:t>
      </w:r>
      <w:r>
        <w:t>d</w:t>
      </w:r>
      <w:r w:rsidRPr="00072E9A">
        <w:t>o patrimônio ambiental da região, representados pelas paisagens formadas pelos remanescentes de Mata Atlân</w:t>
      </w:r>
      <w:r>
        <w:t>tica e a fauna a ela associada. P</w:t>
      </w:r>
      <w:r w:rsidRPr="00956375">
        <w:t>ossu</w:t>
      </w:r>
      <w:r>
        <w:t>i</w:t>
      </w:r>
      <w:r w:rsidRPr="00956375">
        <w:t xml:space="preserve"> um </w:t>
      </w:r>
      <w:r w:rsidRPr="0072651F">
        <w:rPr>
          <w:u w:val="single"/>
        </w:rPr>
        <w:t>Conselho Gestor Unificado</w:t>
      </w:r>
      <w:r>
        <w:t xml:space="preserve">, </w:t>
      </w:r>
      <w:r w:rsidRPr="00956375">
        <w:t>instituído pela Portaria da Fundação Florestal nº 094</w:t>
      </w:r>
      <w:r>
        <w:t>,</w:t>
      </w:r>
      <w:r w:rsidRPr="00956375">
        <w:t xml:space="preserve"> de junho de 2009 e renovado pela Portaria nº 271</w:t>
      </w:r>
      <w:r>
        <w:t>,</w:t>
      </w:r>
      <w:r w:rsidRPr="00956375">
        <w:t xml:space="preserve"> de outubro de 2013, com vigência até dezembro de 2015. Es</w:t>
      </w:r>
      <w:r>
        <w:t>s</w:t>
      </w:r>
      <w:r w:rsidRPr="00956375">
        <w:t>e Conselho possui, de acordo com o SNUC, caráter consultivo e é integrado paritariamente por entidades da administração pública estadual e municipal e entidades da sociedade civil organizada; é formado por 24 membros titulares e seus respectivos suplentes, sendo 6 representantes do Estado, 6 representantes dos Municípios e 12 representantes da Sociedade Civil. Seu objetivo é a gestão participativa e integrada das APAs, bem como a implementação de políticas de proteção do meio ambiente e do S</w:t>
      </w:r>
      <w:r>
        <w:t>NUC</w:t>
      </w:r>
      <w:r w:rsidRPr="00956375">
        <w:t>, no que diz respeito à sua área de atuação.</w:t>
      </w:r>
      <w:r>
        <w:t xml:space="preserve"> D</w:t>
      </w:r>
      <w:r w:rsidRPr="00956375">
        <w:t xml:space="preserve">escontadas </w:t>
      </w:r>
      <w:r>
        <w:t xml:space="preserve">as </w:t>
      </w:r>
      <w:r w:rsidRPr="00956375">
        <w:t>sobreposições</w:t>
      </w:r>
      <w:r>
        <w:t>, a á</w:t>
      </w:r>
      <w:r w:rsidRPr="00956375">
        <w:t>rea total das APAs Piracantareira </w:t>
      </w:r>
      <w:r>
        <w:t>passou a ser de</w:t>
      </w:r>
      <w:r w:rsidRPr="00956375">
        <w:t xml:space="preserve"> </w:t>
      </w:r>
      <w:r w:rsidRPr="0096246A">
        <w:t xml:space="preserve">407.890,31 </w:t>
      </w:r>
      <w:r w:rsidRPr="00956375">
        <w:t>ha</w:t>
      </w:r>
      <w:r>
        <w:t>, e sua importância é dada pela p</w:t>
      </w:r>
      <w:r w:rsidRPr="00F8679B">
        <w:t xml:space="preserve">resença do Sistema Cantareira, um dos maiores sistemas públicos de abastecimento de água no mundo e também o maior sistema produtor de água para abastecimento da </w:t>
      </w:r>
      <w:r w:rsidR="00497DF2">
        <w:t>RMSP</w:t>
      </w:r>
      <w:r w:rsidRPr="00F8679B">
        <w:t xml:space="preserve">, exercendo influência direta na gestão pública dos </w:t>
      </w:r>
      <w:r>
        <w:t xml:space="preserve">21 </w:t>
      </w:r>
      <w:r w:rsidRPr="00F8679B">
        <w:t>municípios localizados nes</w:t>
      </w:r>
      <w:r>
        <w:t>s</w:t>
      </w:r>
      <w:r w:rsidRPr="00F8679B">
        <w:t>as APAs</w:t>
      </w:r>
      <w:r>
        <w:t xml:space="preserve">: </w:t>
      </w:r>
      <w:r w:rsidRPr="00072E9A">
        <w:t>Amparo,</w:t>
      </w:r>
      <w:r>
        <w:t xml:space="preserve"> Atibaia, Bom Jesus dos Perdões</w:t>
      </w:r>
      <w:r w:rsidRPr="00072E9A">
        <w:t xml:space="preserve">, Bragança Paulista, Campinas, Holambra, Jaguariúna, Joanópolis, Mairiporã, Monte Alegre do Sul, Morungaba, Nazaré Paulista, Pedra Bela, Pedreira, Pinhalzinho, Piracaia, Santo Antônio de </w:t>
      </w:r>
      <w:r w:rsidRPr="00D839ED">
        <w:t>Posse, Serra Negra, Socorro, Tuiuti e Vargem. </w:t>
      </w:r>
      <w:r w:rsidR="00C2394C" w:rsidRPr="00D839ED">
        <w:t>O Plano de Manejo das APA</w:t>
      </w:r>
      <w:r w:rsidR="00D839ED" w:rsidRPr="00D839ED">
        <w:t>s</w:t>
      </w:r>
      <w:r w:rsidR="00C2394C" w:rsidRPr="00D839ED">
        <w:t xml:space="preserve"> Piracantareira está em processo de elaboração e discussão pública, e foi </w:t>
      </w:r>
      <w:r w:rsidR="00C2394C" w:rsidRPr="00D839ED">
        <w:rPr>
          <w:i/>
        </w:rPr>
        <w:t>contratado com recursos de compensação ambiental da Petrobrás, pelo empreendimento "Plano Diretor de Dutos d</w:t>
      </w:r>
      <w:r w:rsidR="00D839ED" w:rsidRPr="00D839ED">
        <w:rPr>
          <w:i/>
        </w:rPr>
        <w:t>o Estado de São Paulo - PDD/SP"</w:t>
      </w:r>
      <w:r w:rsidR="00C2394C" w:rsidRPr="00D839ED">
        <w:rPr>
          <w:i/>
        </w:rPr>
        <w:t xml:space="preserve">, </w:t>
      </w:r>
      <w:r w:rsidR="00C2394C" w:rsidRPr="00D839ED">
        <w:t>como informado na página do Conselho Gestor.</w:t>
      </w:r>
    </w:p>
    <w:p w:rsidR="00A3238D" w:rsidRDefault="00A3238D" w:rsidP="00A3238D">
      <w:r>
        <w:t>“</w:t>
      </w:r>
      <w:r w:rsidRPr="00072E9A">
        <w:t xml:space="preserve">Além da relevância das APAs em buscar a conservação de recursos hídricos, cujo território possui vasta rede hidrográfica superficial e subsuperficial, da presença de áreas de nascentes e pontos de captação de importância regional, e dispor de importantes reservatórios para </w:t>
      </w:r>
      <w:r w:rsidRPr="00072E9A">
        <w:lastRenderedPageBreak/>
        <w:t>abastecimento público (além de suas fronteiras) o conjunto de APAs apresenta uma problemática socioambiental singular, pois, a região ainda abriga significativos remanescentes Mata Atlântica, e ecossistemas a ela associados, ocorrência de exemplares da fauna (jaguatirica, suçuarana, preguiça, bugio, gato-do-mato, lontra e espécies em risco de extinção, como o gavião-de-penacho), monumentos naturais de grande beleza cênica (cachoeira dos Pretos, Pedra Grande, Serra dos Feixes) e patrimônio histórico cultural (material e imaterial). Elementos estes que, ao mesmo tempo em que legitimam a região como estratégica ambientalmente, de forma negativa impulsionam neste espaço a promoção de especulação imobiliária, a instalação de empreendimentos dos mais diversos (industriais, serviços e imobiliários) atraídos pela extensa rede viária consolidando um processo crescente de ocupação do s</w:t>
      </w:r>
      <w:r>
        <w:t xml:space="preserve">olo e uso turístico desordenado” (Fundação Florestal / </w:t>
      </w:r>
      <w:r w:rsidRPr="009D6DDA">
        <w:t>Lenc</w:t>
      </w:r>
      <w:r w:rsidRPr="00AF0A77">
        <w:t>, 2014).</w:t>
      </w:r>
      <w:r>
        <w:t xml:space="preserve"> No mapeamento denominado </w:t>
      </w:r>
      <w:r w:rsidRPr="001F27D5">
        <w:t xml:space="preserve">Proposta </w:t>
      </w:r>
      <w:r>
        <w:t>d</w:t>
      </w:r>
      <w:r w:rsidRPr="001F27D5">
        <w:t>e Pré-Zoneamento - Mapa Geral</w:t>
      </w:r>
      <w:r>
        <w:t xml:space="preserve">, datado de julho/2014 e integrante do Plano de Manejo em elaboração, as seguintes zonas poderão integrar o Zoneamento Ambiental do território protegido </w:t>
      </w:r>
      <w:r w:rsidR="00042A6C">
        <w:t>das APAs</w:t>
      </w:r>
      <w:r>
        <w:t xml:space="preserve"> Piracantareira: 1) Zona de Proteção Ambiental</w:t>
      </w:r>
      <w:r w:rsidR="00B81B5D">
        <w:t xml:space="preserve"> (ZPA)</w:t>
      </w:r>
      <w:r>
        <w:t>; 1.1) Subzona de Proteção Ambiental com Ocupação</w:t>
      </w:r>
      <w:r w:rsidR="00B81B5D">
        <w:t xml:space="preserve"> (SPAO)</w:t>
      </w:r>
      <w:r>
        <w:t>; 2) Zona de Conservação e Recuperação Ambiental</w:t>
      </w:r>
      <w:r w:rsidR="00B81B5D">
        <w:t xml:space="preserve"> (ZCRA)</w:t>
      </w:r>
      <w:r>
        <w:t>; 3) Zona Rural</w:t>
      </w:r>
      <w:r w:rsidR="00B81B5D">
        <w:t xml:space="preserve"> (ZR)</w:t>
      </w:r>
      <w:r>
        <w:t>; 4) Zona Periurbana Consolidada</w:t>
      </w:r>
      <w:r w:rsidR="00B81B5D">
        <w:t xml:space="preserve"> (ZPC)</w:t>
      </w:r>
      <w:r>
        <w:t>; 5) Zona Urbana</w:t>
      </w:r>
      <w:r w:rsidR="00B81B5D">
        <w:t xml:space="preserve"> (ZU)</w:t>
      </w:r>
      <w:r>
        <w:t>; 5.1) Subzona Urbana Industrial/Econômica</w:t>
      </w:r>
      <w:r w:rsidR="00B81B5D">
        <w:t xml:space="preserve"> (SUI)</w:t>
      </w:r>
      <w:r>
        <w:t>.</w:t>
      </w:r>
    </w:p>
    <w:p w:rsidR="00A3238D" w:rsidRDefault="00A3238D" w:rsidP="00A3238D">
      <w:r w:rsidRPr="00B64D1D">
        <w:rPr>
          <w:b/>
        </w:rPr>
        <w:t>APA São Francisco Xavier</w:t>
      </w:r>
      <w:r w:rsidRPr="00B64D1D">
        <w:rPr>
          <w:lang w:eastAsia="ar-SA"/>
        </w:rPr>
        <w:t>. UC Estadual de Uso Sustentável. Foi criada pela Lei Estadual nº 11.262, de 08/11/2002, que declara Área de Proteção Ambiental São Francisco Xavier o trecho da Serra da Mantiqueira situado no município de São José dos Campos. A Resolução SMA n</w:t>
      </w:r>
      <w:r w:rsidRPr="00B64D1D">
        <w:rPr>
          <w:vertAlign w:val="superscript"/>
          <w:lang w:eastAsia="ar-SA"/>
        </w:rPr>
        <w:t>o</w:t>
      </w:r>
      <w:r w:rsidRPr="00B64D1D">
        <w:rPr>
          <w:lang w:eastAsia="ar-SA"/>
        </w:rPr>
        <w:t xml:space="preserve"> 64, de 11/09/2008, que regulamenta a Lei n° 11.262/02, instituiu o Plano de Manejo da APA, estabelece o zoneamento ecológico-econômico e as normas sobre o uso dos recursos naturais e indica os programas para a sua gestão. O Zoneamento Ecológico-Econômico da APA tem por objetivo geral disciplinar e racionalizar a utilização dos seus recursos naturais, visando garantir a melhoria da qualidade de vida da população, a sustentabilidade econômica e a proteção dos ecossistemas da área. Tem como objetivos específicos, </w:t>
      </w:r>
      <w:r w:rsidRPr="00B64D1D">
        <w:t>conservar e proteger a biodiversidade; proteger os recursos hídricos; assegurar a sustentabilidade do uso dos recursos naturais; preservar as espécies raras, endêmicas, em perigo ou ameaçadas de extinção, notadamente o Muriqui (</w:t>
      </w:r>
      <w:r w:rsidRPr="00B64D1D">
        <w:rPr>
          <w:i/>
          <w:iCs/>
        </w:rPr>
        <w:t>Brachyteles arachnoides</w:t>
      </w:r>
      <w:r w:rsidRPr="00B64D1D">
        <w:t>); proteger o patrimônio paisagístico, histórico e cultural da Serra da Mantiqueira; disciplinar o uso e a ocupação do solo e a exploração dos recursos naturais; e compatibilizar o desenvolvimento socioeconômico com a proteção e a recuperação dos recursos naturais.</w:t>
      </w:r>
      <w:r>
        <w:t xml:space="preserve"> O Zoneamento Ecológico-Econômico da APA São Francisco Xavier compreende as seguintes zonas: Zona de Proteção Máxima - ZPM; Zona de Vida Silvestre – ZVS; Zona de Conservação da Biodiversidade - ZCB; Zona de Conservação dos Recursos Hídricos - ZCRH; Zona de Ocupação Diversificada - ZOD; e Zona de Ocupação Dirigida – ZDI.  </w:t>
      </w:r>
    </w:p>
    <w:p w:rsidR="00A3238D" w:rsidRPr="00BA5EA7" w:rsidRDefault="00042A6C" w:rsidP="00A3238D">
      <w:pPr>
        <w:rPr>
          <w:b/>
        </w:rPr>
      </w:pPr>
      <w:r>
        <w:rPr>
          <w:u w:val="single"/>
        </w:rPr>
        <w:t>Interface</w:t>
      </w:r>
      <w:r w:rsidR="00A3238D">
        <w:t>: A bacia do reservatório Jaguari abrange parcialmente a ZPM, na área abrangida pela curva de nível de 1.400 m até o limite do município de São José dos Campos, em zona de cabeceira dos afluentes do rio do Peixe, afluente do rio Jaguari; e abrange também a Zona de Conservação da Biodiversidade - ZCB da APA nas áreas abrangidas pela curva de nível de 1.400 metros e 1.100 metros na sub-bacia do rio do Peixe.</w:t>
      </w:r>
      <w:r>
        <w:t xml:space="preserve"> A Interligação não terá qualquer interferência com esta APA.</w:t>
      </w:r>
    </w:p>
    <w:p w:rsidR="00A3238D" w:rsidRDefault="00A3238D" w:rsidP="00A3238D">
      <w:pPr>
        <w:rPr>
          <w:rFonts w:eastAsia="MS Mincho" w:cs="Arial"/>
          <w:bCs/>
          <w:lang w:val="pt-PT"/>
        </w:rPr>
      </w:pPr>
      <w:r w:rsidRPr="00BA6A66">
        <w:rPr>
          <w:rFonts w:eastAsia="MS Mincho" w:cs="Arial"/>
          <w:b/>
          <w:bCs/>
          <w:lang w:val="pt-PT"/>
        </w:rPr>
        <w:t>Floresta Estadual de Guarulhos</w:t>
      </w:r>
      <w:r>
        <w:rPr>
          <w:rFonts w:eastAsia="MS Mincho" w:cs="Arial"/>
          <w:b/>
          <w:bCs/>
          <w:lang w:val="pt-PT"/>
        </w:rPr>
        <w:t>.</w:t>
      </w:r>
      <w:r w:rsidRPr="003304DB">
        <w:rPr>
          <w:rFonts w:eastAsia="MS Mincho" w:cs="Arial"/>
          <w:bCs/>
          <w:lang w:val="pt-PT"/>
        </w:rPr>
        <w:t xml:space="preserve"> </w:t>
      </w:r>
      <w:r w:rsidRPr="00B64D1D">
        <w:rPr>
          <w:lang w:eastAsia="ar-SA"/>
        </w:rPr>
        <w:t xml:space="preserve">UC Estadual de Uso Sustentável. Foi criada </w:t>
      </w:r>
      <w:r>
        <w:t>pelo</w:t>
      </w:r>
      <w:r w:rsidRPr="0069310A">
        <w:t xml:space="preserve"> Decreto Estadual n° 55.662, de 30/03/2010</w:t>
      </w:r>
      <w:r>
        <w:t>, juntamente com os Parques Itaberaba e Itapetinga, e</w:t>
      </w:r>
      <w:r w:rsidRPr="00B64D1D">
        <w:rPr>
          <w:lang w:eastAsia="ar-SA"/>
        </w:rPr>
        <w:t xml:space="preserve"> </w:t>
      </w:r>
      <w:r w:rsidRPr="003304DB">
        <w:rPr>
          <w:rFonts w:eastAsia="MS Mincho" w:cs="Arial"/>
          <w:bCs/>
          <w:lang w:val="pt-PT"/>
        </w:rPr>
        <w:t xml:space="preserve">abrange uma área de 92,20 ha </w:t>
      </w:r>
      <w:r>
        <w:rPr>
          <w:rFonts w:eastAsia="MS Mincho" w:cs="Arial"/>
          <w:bCs/>
          <w:lang w:val="pt-PT"/>
        </w:rPr>
        <w:t>no município de Guarulhos. A</w:t>
      </w:r>
      <w:r w:rsidRPr="00A2361D">
        <w:rPr>
          <w:rFonts w:eastAsia="MS Mincho" w:cs="Arial"/>
          <w:bCs/>
          <w:lang w:val="pt-PT"/>
        </w:rPr>
        <w:t xml:space="preserve"> Floresta Estadual de Guarulhos tem por objetivo</w:t>
      </w:r>
      <w:r>
        <w:rPr>
          <w:rFonts w:eastAsia="MS Mincho" w:cs="Arial"/>
          <w:bCs/>
          <w:lang w:val="pt-PT"/>
        </w:rPr>
        <w:t xml:space="preserve"> </w:t>
      </w:r>
      <w:r w:rsidRPr="00A2361D">
        <w:rPr>
          <w:rFonts w:eastAsia="MS Mincho" w:cs="Arial"/>
          <w:bCs/>
          <w:lang w:val="pt-PT"/>
        </w:rPr>
        <w:t xml:space="preserve">fomentar atividades de manejo florestal e agroflorestal sustentáveis nas zonas rural e periurbana do município </w:t>
      </w:r>
      <w:r>
        <w:rPr>
          <w:rFonts w:eastAsia="MS Mincho" w:cs="Arial"/>
          <w:bCs/>
          <w:lang w:val="pt-PT"/>
        </w:rPr>
        <w:t>de Guarulhos</w:t>
      </w:r>
      <w:r w:rsidRPr="00A2361D">
        <w:rPr>
          <w:rFonts w:eastAsia="MS Mincho" w:cs="Arial"/>
          <w:bCs/>
          <w:lang w:val="pt-PT"/>
        </w:rPr>
        <w:t>;</w:t>
      </w:r>
      <w:r w:rsidRPr="00A2361D">
        <w:rPr>
          <w:rFonts w:eastAsia="MS Mincho"/>
          <w:bCs/>
          <w:lang w:val="pt-PT"/>
        </w:rPr>
        <w:t> </w:t>
      </w:r>
      <w:r w:rsidRPr="00A2361D">
        <w:rPr>
          <w:rFonts w:eastAsia="MS Mincho" w:cs="Arial"/>
          <w:bCs/>
          <w:lang w:val="pt-PT"/>
        </w:rPr>
        <w:t>transferir tecnologia de produção desenvolvida pelo setor público, incentivar e valorizar as propriedades rurais com o adequado uso da terra, permitindo ao proprietário rural aprender a desenvolver novas possibilidades de retorno econômico com conservação ambiental;</w:t>
      </w:r>
      <w:r>
        <w:rPr>
          <w:rFonts w:eastAsia="MS Mincho" w:cs="Arial"/>
          <w:bCs/>
          <w:lang w:val="pt-PT"/>
        </w:rPr>
        <w:t xml:space="preserve"> fo</w:t>
      </w:r>
      <w:r w:rsidRPr="00A2361D">
        <w:rPr>
          <w:rFonts w:eastAsia="MS Mincho" w:cs="Arial"/>
          <w:bCs/>
          <w:lang w:val="pt-PT"/>
        </w:rPr>
        <w:t>mentar</w:t>
      </w:r>
      <w:r>
        <w:rPr>
          <w:rFonts w:eastAsia="MS Mincho" w:cs="Arial"/>
          <w:bCs/>
          <w:lang w:val="pt-PT"/>
        </w:rPr>
        <w:t xml:space="preserve"> </w:t>
      </w:r>
      <w:r w:rsidRPr="00A2361D">
        <w:rPr>
          <w:rFonts w:eastAsia="MS Mincho" w:cs="Arial"/>
          <w:bCs/>
          <w:lang w:val="pt-PT"/>
        </w:rPr>
        <w:t>o estabelecimento de pomares de sementes de espécies nativas, iniciando também a geração de alternativas de renda e aprendizado para a população periurbana de entorno sem acesso à terra;</w:t>
      </w:r>
      <w:r w:rsidRPr="00A2361D">
        <w:rPr>
          <w:rFonts w:eastAsia="MS Mincho"/>
          <w:bCs/>
          <w:lang w:val="pt-PT"/>
        </w:rPr>
        <w:t> </w:t>
      </w:r>
      <w:r w:rsidRPr="00A2361D">
        <w:rPr>
          <w:rFonts w:eastAsia="MS Mincho" w:cs="Arial"/>
          <w:bCs/>
          <w:lang w:val="pt-PT"/>
        </w:rPr>
        <w:t>gerar pesquisas de produção e manejo florestal com espécies nativas de Mata Atlântica, enfocando o benefício de comunidades de entorno de unidades de conservação.</w:t>
      </w:r>
      <w:r>
        <w:rPr>
          <w:rFonts w:eastAsia="MS Mincho" w:cs="Arial"/>
          <w:bCs/>
          <w:lang w:val="pt-PT"/>
        </w:rPr>
        <w:t xml:space="preserve"> É</w:t>
      </w:r>
      <w:r w:rsidRPr="00A2361D">
        <w:rPr>
          <w:rFonts w:eastAsia="MS Mincho" w:cs="Arial"/>
          <w:bCs/>
          <w:lang w:val="pt-PT"/>
        </w:rPr>
        <w:t xml:space="preserve"> administrada pelo Instituto Florestal, da Secretaria </w:t>
      </w:r>
      <w:r>
        <w:rPr>
          <w:rFonts w:eastAsia="MS Mincho" w:cs="Arial"/>
          <w:bCs/>
          <w:lang w:val="pt-PT"/>
        </w:rPr>
        <w:t xml:space="preserve">de Estado </w:t>
      </w:r>
      <w:r w:rsidRPr="00A2361D">
        <w:rPr>
          <w:rFonts w:eastAsia="MS Mincho" w:cs="Arial"/>
          <w:bCs/>
          <w:lang w:val="pt-PT"/>
        </w:rPr>
        <w:t>do Meio Ambiente.</w:t>
      </w:r>
    </w:p>
    <w:p w:rsidR="00A3238D" w:rsidRDefault="00BD69C9" w:rsidP="00A3238D">
      <w:pPr>
        <w:rPr>
          <w:rFonts w:eastAsia="MS Mincho" w:cs="Arial"/>
          <w:bCs/>
          <w:lang w:val="pt-PT"/>
        </w:rPr>
      </w:pPr>
      <w:r>
        <w:rPr>
          <w:u w:val="single"/>
        </w:rPr>
        <w:lastRenderedPageBreak/>
        <w:t>Interface</w:t>
      </w:r>
      <w:r w:rsidR="00A3238D">
        <w:t>: É relacionada por estar situada na alta bacia do rio Jaguari, integrante da AII.</w:t>
      </w:r>
      <w:r>
        <w:t xml:space="preserve"> A Interligação não terá interferência com esta UC.</w:t>
      </w:r>
    </w:p>
    <w:p w:rsidR="00A3238D" w:rsidRDefault="00A3238D" w:rsidP="00A3238D">
      <w:r w:rsidRPr="007C464F">
        <w:rPr>
          <w:b/>
        </w:rPr>
        <w:t>RPPN Fazenda Rio dos Pilões</w:t>
      </w:r>
      <w:r w:rsidRPr="0069310A">
        <w:t xml:space="preserve">. </w:t>
      </w:r>
      <w:r w:rsidRPr="007C464F">
        <w:t xml:space="preserve">UC Federal de Uso Sustentável. </w:t>
      </w:r>
      <w:r w:rsidRPr="0069310A">
        <w:t xml:space="preserve">Criada por meio da Portaria IBAMA n° 84/1999, </w:t>
      </w:r>
      <w:r>
        <w:t xml:space="preserve">a RPPN possui 2.156,51 ha, </w:t>
      </w:r>
      <w:r w:rsidRPr="0069310A">
        <w:t>está situada no município de Santa Isabel e faz parte do projeto Reserva Ibirapitanga</w:t>
      </w:r>
      <w:r>
        <w:t>.</w:t>
      </w:r>
      <w:r w:rsidRPr="00737BD9">
        <w:t xml:space="preserve"> Possui Plano de Manejo com sete programas ambientais, gerenciados pela Associação dos Proprietários em Reserva Ibirapitanga</w:t>
      </w:r>
      <w:r>
        <w:t xml:space="preserve"> – APRI</w:t>
      </w:r>
      <w:r w:rsidRPr="00737BD9">
        <w:t xml:space="preserve">: </w:t>
      </w:r>
      <w:r>
        <w:t xml:space="preserve">Manejo de Vegetação; </w:t>
      </w:r>
      <w:r w:rsidRPr="00737BD9">
        <w:t>Manejo de Fauna</w:t>
      </w:r>
      <w:r>
        <w:t xml:space="preserve">; </w:t>
      </w:r>
      <w:r w:rsidRPr="00737BD9">
        <w:t>Monitoramento do Meio Abiótico</w:t>
      </w:r>
      <w:r>
        <w:t xml:space="preserve">; </w:t>
      </w:r>
      <w:r w:rsidRPr="00737BD9">
        <w:t>Fiscalização e Segurança</w:t>
      </w:r>
      <w:r>
        <w:t xml:space="preserve">; </w:t>
      </w:r>
      <w:r w:rsidRPr="00737BD9">
        <w:t>Educação Ambiental e Visitação</w:t>
      </w:r>
      <w:r>
        <w:t xml:space="preserve">; </w:t>
      </w:r>
      <w:r w:rsidRPr="00737BD9">
        <w:t>Responsabilidade Social e Relações com as Comunidades do Entorno</w:t>
      </w:r>
      <w:r>
        <w:t xml:space="preserve">; e Administração. </w:t>
      </w:r>
      <w:r w:rsidRPr="00737BD9">
        <w:t xml:space="preserve">O zoneamento da RPPN estabelece usos diferenciados para cada espaço e divide a Reserva Ibirapitanga em sete ambientes: Zona Silvestre (ZS); </w:t>
      </w:r>
      <w:r>
        <w:t>Z</w:t>
      </w:r>
      <w:r w:rsidRPr="00737BD9">
        <w:t xml:space="preserve">ona de Proteção (ZP); </w:t>
      </w:r>
      <w:r>
        <w:t>Z</w:t>
      </w:r>
      <w:r w:rsidRPr="00737BD9">
        <w:t>ona de Visitação (ZV); Zona de Transição (ZT); Zona de Recuperação (ZR)</w:t>
      </w:r>
      <w:r>
        <w:t xml:space="preserve">; </w:t>
      </w:r>
      <w:r w:rsidRPr="00737BD9">
        <w:t>Área de Administração (AA, fora da RPPN); Área Residencial (AR, fora da RPPN).</w:t>
      </w:r>
      <w:r>
        <w:t xml:space="preserve"> Não possui </w:t>
      </w:r>
      <w:r w:rsidR="00497DF2">
        <w:t>Zona de Amortecimento</w:t>
      </w:r>
      <w:r>
        <w:t>.</w:t>
      </w:r>
    </w:p>
    <w:p w:rsidR="00A3238D" w:rsidRDefault="00BD69C9" w:rsidP="00A3238D">
      <w:r>
        <w:rPr>
          <w:u w:val="single"/>
        </w:rPr>
        <w:t>Interface</w:t>
      </w:r>
      <w:r w:rsidR="00A3238D">
        <w:t xml:space="preserve">: É relacionada por estar situada na sub-bacia do rio Pilões, tributário do reservatório Jaguari e principal curso d’água que atravessa </w:t>
      </w:r>
      <w:r w:rsidR="00A3238D" w:rsidRPr="00227C23">
        <w:t xml:space="preserve">o município de </w:t>
      </w:r>
      <w:r w:rsidR="00A3238D">
        <w:t>Santa Isabel, integrante da AII, a montante do eixo da adutora e da captação.</w:t>
      </w:r>
      <w:r>
        <w:t xml:space="preserve"> A Interligação não terá interferência com esta UC.</w:t>
      </w:r>
    </w:p>
    <w:p w:rsidR="00A3238D" w:rsidRPr="008F1864" w:rsidRDefault="00A3238D" w:rsidP="00A3238D">
      <w:pPr>
        <w:rPr>
          <w:rFonts w:eastAsia="Times New Roman" w:cs="Arial"/>
          <w:b/>
          <w:bCs/>
          <w:lang w:eastAsia="ar-SA"/>
        </w:rPr>
      </w:pPr>
      <w:r w:rsidRPr="008F1864">
        <w:rPr>
          <w:rFonts w:eastAsia="Times New Roman" w:cs="Arial"/>
          <w:b/>
          <w:bCs/>
          <w:lang w:eastAsia="ar-SA"/>
        </w:rPr>
        <w:t xml:space="preserve">APA </w:t>
      </w:r>
      <w:r>
        <w:rPr>
          <w:rFonts w:eastAsia="Times New Roman" w:cs="Arial"/>
          <w:b/>
          <w:bCs/>
          <w:lang w:eastAsia="ar-SA"/>
        </w:rPr>
        <w:t>Estadual</w:t>
      </w:r>
      <w:r w:rsidRPr="008F1864">
        <w:rPr>
          <w:rFonts w:eastAsia="Times New Roman" w:cs="Arial"/>
          <w:b/>
          <w:bCs/>
          <w:lang w:eastAsia="ar-SA"/>
        </w:rPr>
        <w:t xml:space="preserve"> </w:t>
      </w:r>
      <w:r w:rsidRPr="008F1864">
        <w:rPr>
          <w:b/>
        </w:rPr>
        <w:t>Jaguari / Rio do Peixe</w:t>
      </w:r>
      <w:r>
        <w:t xml:space="preserve">. </w:t>
      </w:r>
      <w:r w:rsidRPr="007C464F">
        <w:t>UC de Uso Sustentável</w:t>
      </w:r>
      <w:r>
        <w:t>.</w:t>
      </w:r>
      <w:r w:rsidRPr="007C464F">
        <w:t xml:space="preserve"> A APA foi criada pela Lei Estadual nº 11.262 de 08/11/2002, com o objetivo de proteger a planície de inundação do rio Paraíba do Sul </w:t>
      </w:r>
      <w:r>
        <w:t>no município de São José dos Campos. P</w:t>
      </w:r>
      <w:r w:rsidRPr="007C464F">
        <w:t>ossui 417,65 ha e protege os mananciais da bacia do rio do Peixe, bacia afluente do rio Jaguari pela margem esquerda, na porção norte do município</w:t>
      </w:r>
      <w:r>
        <w:t xml:space="preserve">. </w:t>
      </w:r>
      <w:r w:rsidRPr="007C464F">
        <w:t xml:space="preserve">Os perímetros desta APA correspondem a uma vasta planície aluvial, formada por sedimentos transportados pelo rio Paraíba do Sul, onde estão presentes muitos meandros abandonados e terraços, compondo um cenário totalmente integrado à paisagem urbana de São José dos Campos. A maior parte da área é ocupada por pastagens destinadas à pecuária extensiva, além de áreas de culturas temporárias e reflorestamento. </w:t>
      </w:r>
    </w:p>
    <w:p w:rsidR="00A3238D" w:rsidRPr="007C464F" w:rsidRDefault="00BD69C9" w:rsidP="00A3238D">
      <w:r>
        <w:rPr>
          <w:u w:val="single"/>
        </w:rPr>
        <w:t>Interface</w:t>
      </w:r>
      <w:r w:rsidR="00A3238D">
        <w:t xml:space="preserve">: A </w:t>
      </w:r>
      <w:r w:rsidR="00A3238D" w:rsidRPr="003077F1">
        <w:rPr>
          <w:rFonts w:eastAsia="Times New Roman" w:cs="Arial"/>
          <w:bCs/>
          <w:lang w:eastAsia="ar-SA"/>
        </w:rPr>
        <w:t xml:space="preserve">APA </w:t>
      </w:r>
      <w:r>
        <w:t xml:space="preserve">é </w:t>
      </w:r>
      <w:r w:rsidR="00A3238D" w:rsidRPr="007C464F">
        <w:t>relacionada pelo fato do município de São José dos Campos fazer parte da AII do meio socioeconômico e</w:t>
      </w:r>
      <w:r w:rsidR="00A3238D">
        <w:t xml:space="preserve"> da sub-bacia </w:t>
      </w:r>
      <w:r w:rsidR="0004735B">
        <w:t xml:space="preserve">do rio do Peixe </w:t>
      </w:r>
      <w:r w:rsidR="00A3238D">
        <w:t>ser integrante d</w:t>
      </w:r>
      <w:r w:rsidR="00A3238D" w:rsidRPr="007C464F">
        <w:t>a bacia do rio Jaguari.</w:t>
      </w:r>
      <w:r>
        <w:t xml:space="preserve"> A Interligação </w:t>
      </w:r>
      <w:r w:rsidRPr="007C464F">
        <w:t>não terá interferência com a</w:t>
      </w:r>
      <w:r>
        <w:t>s</w:t>
      </w:r>
      <w:r w:rsidRPr="007C464F">
        <w:t xml:space="preserve"> APA</w:t>
      </w:r>
      <w:r>
        <w:t>s</w:t>
      </w:r>
      <w:r w:rsidRPr="007C464F">
        <w:t xml:space="preserve"> de São José dos Campos</w:t>
      </w:r>
      <w:r>
        <w:t>, inclusive as APAs Serra da Mantiqueira e do Banhado</w:t>
      </w:r>
      <w:r w:rsidRPr="007C464F">
        <w:t>.</w:t>
      </w:r>
    </w:p>
    <w:p w:rsidR="005A6854" w:rsidRPr="00962F6B" w:rsidRDefault="005A6854" w:rsidP="005A6854">
      <w:pPr>
        <w:pStyle w:val="Fonte"/>
        <w:spacing w:before="0"/>
        <w:jc w:val="both"/>
        <w:rPr>
          <w:i w:val="0"/>
          <w:sz w:val="22"/>
          <w:szCs w:val="22"/>
          <w:lang w:val="pt-BR"/>
        </w:rPr>
      </w:pPr>
      <w:r w:rsidRPr="00D2301F">
        <w:rPr>
          <w:rFonts w:cs="Arial"/>
          <w:b/>
          <w:i w:val="0"/>
          <w:iCs w:val="0"/>
          <w:sz w:val="22"/>
          <w:szCs w:val="22"/>
          <w:lang w:val="pt-BR"/>
        </w:rPr>
        <w:t>APA Banhado</w:t>
      </w:r>
      <w:r>
        <w:rPr>
          <w:rFonts w:cs="Arial"/>
          <w:b/>
          <w:i w:val="0"/>
          <w:iCs w:val="0"/>
          <w:sz w:val="22"/>
          <w:szCs w:val="22"/>
          <w:lang w:val="pt-BR"/>
        </w:rPr>
        <w:t xml:space="preserve">. </w:t>
      </w:r>
      <w:r w:rsidRPr="00D2301F">
        <w:rPr>
          <w:rFonts w:cs="Arial"/>
          <w:i w:val="0"/>
          <w:iCs w:val="0"/>
          <w:sz w:val="22"/>
          <w:szCs w:val="22"/>
          <w:lang w:val="pt-BR"/>
        </w:rPr>
        <w:t>UC Estadual de Uso Sustentável</w:t>
      </w:r>
      <w:r>
        <w:rPr>
          <w:rFonts w:cs="Arial"/>
          <w:i w:val="0"/>
          <w:iCs w:val="0"/>
          <w:sz w:val="22"/>
          <w:szCs w:val="22"/>
          <w:lang w:val="pt-BR"/>
        </w:rPr>
        <w:t xml:space="preserve">. </w:t>
      </w:r>
      <w:r w:rsidRPr="00D2301F">
        <w:rPr>
          <w:rFonts w:cs="Arial"/>
          <w:i w:val="0"/>
          <w:iCs w:val="0"/>
          <w:sz w:val="22"/>
          <w:szCs w:val="22"/>
          <w:lang w:val="pt-BR"/>
        </w:rPr>
        <w:t xml:space="preserve">Esta APA foi criada pela Lei Estadual nº 11.262 de </w:t>
      </w:r>
      <w:r>
        <w:rPr>
          <w:rFonts w:cs="Arial"/>
          <w:i w:val="0"/>
          <w:iCs w:val="0"/>
          <w:sz w:val="22"/>
          <w:szCs w:val="22"/>
          <w:lang w:val="pt-BR"/>
        </w:rPr>
        <w:t>0</w:t>
      </w:r>
      <w:r w:rsidRPr="00D2301F">
        <w:rPr>
          <w:rFonts w:cs="Arial"/>
          <w:i w:val="0"/>
          <w:iCs w:val="0"/>
          <w:sz w:val="22"/>
          <w:szCs w:val="22"/>
          <w:lang w:val="pt-BR"/>
        </w:rPr>
        <w:t>8</w:t>
      </w:r>
      <w:r>
        <w:rPr>
          <w:rFonts w:cs="Arial"/>
          <w:i w:val="0"/>
          <w:iCs w:val="0"/>
          <w:sz w:val="22"/>
          <w:szCs w:val="22"/>
          <w:lang w:val="pt-BR"/>
        </w:rPr>
        <w:t>/11/</w:t>
      </w:r>
      <w:r w:rsidRPr="00D2301F">
        <w:rPr>
          <w:rFonts w:cs="Arial"/>
          <w:i w:val="0"/>
          <w:iCs w:val="0"/>
          <w:sz w:val="22"/>
          <w:szCs w:val="22"/>
          <w:lang w:val="pt-BR"/>
        </w:rPr>
        <w:t>2002, com o objetivo de proteger a planície de inundação do rio Paraíba do Sul. Os perímetros desta APA correspondem a uma vasta planície aluvial, formada por sedimentos transportados pelo rio Paraíba do Sul, onde estão presentes muitos meandros abandonados e terraços, compondo um cenário totalmente integrado à paisagem urbana de São José dos Campos. A maior parte da área é ocupada por pastagens destinadas à pecuária extensiva, além de áreas de culturas temporárias e reflorestamento.</w:t>
      </w:r>
    </w:p>
    <w:p w:rsidR="005A6854" w:rsidRPr="0009181A" w:rsidRDefault="0004735B" w:rsidP="005A6854">
      <w:pPr>
        <w:rPr>
          <w:iCs/>
        </w:rPr>
      </w:pPr>
      <w:r>
        <w:rPr>
          <w:u w:val="single"/>
        </w:rPr>
        <w:t>Interface</w:t>
      </w:r>
      <w:r>
        <w:t>:</w:t>
      </w:r>
      <w:r>
        <w:rPr>
          <w:lang w:eastAsia="ar-SA"/>
        </w:rPr>
        <w:t xml:space="preserve"> </w:t>
      </w:r>
      <w:r w:rsidR="005A6854">
        <w:rPr>
          <w:lang w:eastAsia="ar-SA"/>
        </w:rPr>
        <w:t xml:space="preserve">O empreendimento não terá interferência com a APA. É relacionada pelo fato do </w:t>
      </w:r>
      <w:r w:rsidR="005A6854" w:rsidRPr="00D2301F">
        <w:t>município de São José dos Campos faz</w:t>
      </w:r>
      <w:r w:rsidR="005A6854">
        <w:t>er</w:t>
      </w:r>
      <w:r w:rsidR="005A6854" w:rsidRPr="00D2301F">
        <w:t xml:space="preserve"> parte da AII do meio socioeconômico</w:t>
      </w:r>
      <w:r>
        <w:t xml:space="preserve"> e porque parte </w:t>
      </w:r>
      <w:r w:rsidRPr="0009181A">
        <w:t>da APA é lindeira ao trecho do Rio Jaguari à jusante da UHE da CESP.</w:t>
      </w:r>
    </w:p>
    <w:p w:rsidR="00A3238D" w:rsidRDefault="00A3238D" w:rsidP="00A3238D">
      <w:r w:rsidRPr="007C464F">
        <w:rPr>
          <w:b/>
        </w:rPr>
        <w:t>Parque Ecológico de Igaratá</w:t>
      </w:r>
      <w:r w:rsidRPr="007C464F">
        <w:t xml:space="preserve">. </w:t>
      </w:r>
      <w:r>
        <w:t>Área protegida m</w:t>
      </w:r>
      <w:r w:rsidRPr="007C464F">
        <w:t>unicipal</w:t>
      </w:r>
      <w:r w:rsidR="00BD69C9">
        <w:t>,</w:t>
      </w:r>
      <w:r>
        <w:t xml:space="preserve"> não </w:t>
      </w:r>
      <w:r w:rsidR="00BD69C9">
        <w:t xml:space="preserve">faz parte </w:t>
      </w:r>
      <w:r>
        <w:t>do SNUC - não constitui Parque Natural Municipal</w:t>
      </w:r>
      <w:r w:rsidRPr="007C464F">
        <w:t xml:space="preserve">. Criado por meio da Lei Municipal </w:t>
      </w:r>
      <w:r>
        <w:t>O</w:t>
      </w:r>
      <w:r w:rsidRPr="007C464F">
        <w:t>rdinária n</w:t>
      </w:r>
      <w:r>
        <w:t>º</w:t>
      </w:r>
      <w:r w:rsidRPr="007C464F">
        <w:t xml:space="preserve"> 1</w:t>
      </w:r>
      <w:r>
        <w:t>.</w:t>
      </w:r>
      <w:r w:rsidRPr="007C464F">
        <w:t xml:space="preserve">109, de 19/09/2002, </w:t>
      </w:r>
      <w:r>
        <w:t xml:space="preserve">tem como </w:t>
      </w:r>
      <w:r w:rsidRPr="00986C26">
        <w:t>objetivo</w:t>
      </w:r>
      <w:r>
        <w:t xml:space="preserve"> </w:t>
      </w:r>
      <w:r w:rsidRPr="00986C26">
        <w:t>assegurar</w:t>
      </w:r>
      <w:r>
        <w:t xml:space="preserve"> </w:t>
      </w:r>
      <w:r w:rsidRPr="00986C26">
        <w:t>a</w:t>
      </w:r>
      <w:r>
        <w:t xml:space="preserve"> proteção </w:t>
      </w:r>
      <w:r w:rsidRPr="00986C26">
        <w:t>de</w:t>
      </w:r>
      <w:r>
        <w:t xml:space="preserve"> </w:t>
      </w:r>
      <w:r w:rsidRPr="00986C26">
        <w:t>ecossistemas</w:t>
      </w:r>
      <w:r>
        <w:t xml:space="preserve"> </w:t>
      </w:r>
      <w:r w:rsidRPr="00986C26">
        <w:t>e</w:t>
      </w:r>
      <w:r>
        <w:t xml:space="preserve"> </w:t>
      </w:r>
      <w:r w:rsidRPr="00986C26">
        <w:t>demais</w:t>
      </w:r>
      <w:r>
        <w:t xml:space="preserve"> </w:t>
      </w:r>
      <w:r w:rsidRPr="00986C26">
        <w:t>recursos</w:t>
      </w:r>
      <w:r>
        <w:t xml:space="preserve"> </w:t>
      </w:r>
      <w:r w:rsidRPr="00986C26">
        <w:t>locais,</w:t>
      </w:r>
      <w:r>
        <w:t xml:space="preserve"> promover </w:t>
      </w:r>
      <w:r w:rsidRPr="00986C26">
        <w:t xml:space="preserve">a </w:t>
      </w:r>
      <w:r>
        <w:t>m</w:t>
      </w:r>
      <w:r w:rsidRPr="00986C26">
        <w:t>elhoria</w:t>
      </w:r>
      <w:r>
        <w:t xml:space="preserve"> </w:t>
      </w:r>
      <w:r w:rsidRPr="00986C26">
        <w:t>da qualidade</w:t>
      </w:r>
      <w:r>
        <w:t xml:space="preserve"> </w:t>
      </w:r>
      <w:r w:rsidRPr="00986C26">
        <w:t>de vida</w:t>
      </w:r>
      <w:r>
        <w:t xml:space="preserve"> </w:t>
      </w:r>
      <w:r w:rsidRPr="00986C26">
        <w:t>da comunidade</w:t>
      </w:r>
      <w:r>
        <w:t xml:space="preserve"> do</w:t>
      </w:r>
      <w:r w:rsidRPr="0025476A">
        <w:t xml:space="preserve"> núcleo urbano de Igaratá, bem como estabelecer critérios de uso e ocupação compatíveis com a importância da área para o município.</w:t>
      </w:r>
      <w:r>
        <w:t xml:space="preserve"> Além disso, objetiva preserva</w:t>
      </w:r>
      <w:r w:rsidRPr="00DA4B54">
        <w:t>r a diversidade biológica</w:t>
      </w:r>
      <w:r>
        <w:t>;</w:t>
      </w:r>
      <w:r w:rsidRPr="00DA4B54">
        <w:t xml:space="preserve"> preservar recursos de fauna e flora; manejar recursos de fauna e flora</w:t>
      </w:r>
      <w:r>
        <w:t>;</w:t>
      </w:r>
      <w:r w:rsidRPr="00DA4B54">
        <w:t xml:space="preserve"> proteger paisagens e belezas cênicas</w:t>
      </w:r>
      <w:r>
        <w:t>;</w:t>
      </w:r>
      <w:r w:rsidRPr="00DA4B54">
        <w:t xml:space="preserve"> proteger recursos hídricos</w:t>
      </w:r>
      <w:r>
        <w:t xml:space="preserve"> e</w:t>
      </w:r>
      <w:r w:rsidRPr="00DA4B54">
        <w:t xml:space="preserve"> nascentes existentes no local</w:t>
      </w:r>
      <w:r>
        <w:t>;</w:t>
      </w:r>
      <w:r w:rsidRPr="00DA4B54">
        <w:t xml:space="preserve"> incentivar </w:t>
      </w:r>
      <w:r>
        <w:t xml:space="preserve">a </w:t>
      </w:r>
      <w:r w:rsidRPr="00DA4B54">
        <w:t>pesquisa</w:t>
      </w:r>
      <w:r>
        <w:t>;</w:t>
      </w:r>
      <w:r w:rsidRPr="00DA4B54">
        <w:t xml:space="preserve"> e propiciar recreação e lazer ao ar livre. O </w:t>
      </w:r>
      <w:r w:rsidRPr="00986C26">
        <w:t>Parque</w:t>
      </w:r>
      <w:r>
        <w:t xml:space="preserve"> </w:t>
      </w:r>
      <w:r w:rsidRPr="00986C26">
        <w:t>Ecológico</w:t>
      </w:r>
      <w:r>
        <w:t xml:space="preserve"> </w:t>
      </w:r>
      <w:r w:rsidRPr="00986C26">
        <w:t>de</w:t>
      </w:r>
      <w:r>
        <w:t xml:space="preserve"> </w:t>
      </w:r>
      <w:r w:rsidRPr="00986C26">
        <w:t>Igaratá</w:t>
      </w:r>
      <w:r>
        <w:t xml:space="preserve"> </w:t>
      </w:r>
      <w:r w:rsidRPr="00986C26">
        <w:t>abrange</w:t>
      </w:r>
      <w:r>
        <w:t xml:space="preserve"> </w:t>
      </w:r>
      <w:r w:rsidRPr="00986C26">
        <w:t>uma</w:t>
      </w:r>
      <w:r>
        <w:t xml:space="preserve"> </w:t>
      </w:r>
      <w:r w:rsidRPr="00986C26">
        <w:t>área</w:t>
      </w:r>
      <w:r>
        <w:t xml:space="preserve"> </w:t>
      </w:r>
      <w:r w:rsidRPr="00986C26">
        <w:t>de 15</w:t>
      </w:r>
      <w:r>
        <w:t xml:space="preserve">,2 ha. Em sua criação foi prevista a constituição </w:t>
      </w:r>
      <w:r w:rsidRPr="00AC2421">
        <w:t xml:space="preserve">de um conselho para gestão colegiada, com a participação </w:t>
      </w:r>
      <w:r>
        <w:t>de</w:t>
      </w:r>
      <w:r w:rsidRPr="00AC2421">
        <w:t xml:space="preserve"> </w:t>
      </w:r>
      <w:r>
        <w:t xml:space="preserve">3 representantes da </w:t>
      </w:r>
      <w:r w:rsidRPr="00AC2421">
        <w:t xml:space="preserve">Prefeitura Municipal; </w:t>
      </w:r>
      <w:r>
        <w:t xml:space="preserve">1 representante de ONG </w:t>
      </w:r>
      <w:r w:rsidRPr="00AC2421">
        <w:t>Ambientalista</w:t>
      </w:r>
      <w:r>
        <w:t xml:space="preserve">, 3 </w:t>
      </w:r>
      <w:r w:rsidRPr="00AC2421">
        <w:t>representantes da comunidade</w:t>
      </w:r>
      <w:r>
        <w:t>, 1 do</w:t>
      </w:r>
      <w:r w:rsidRPr="00AC2421">
        <w:t xml:space="preserve"> órgão estadual de florestas</w:t>
      </w:r>
      <w:r>
        <w:t xml:space="preserve"> e 1 representante da</w:t>
      </w:r>
      <w:r w:rsidRPr="00AC2421">
        <w:t xml:space="preserve"> comunidade científica</w:t>
      </w:r>
      <w:r>
        <w:t xml:space="preserve">. </w:t>
      </w:r>
    </w:p>
    <w:p w:rsidR="00A3238D" w:rsidRDefault="00BD69C9" w:rsidP="00A3238D">
      <w:r>
        <w:rPr>
          <w:u w:val="single"/>
        </w:rPr>
        <w:lastRenderedPageBreak/>
        <w:t>Interface</w:t>
      </w:r>
      <w:r w:rsidR="00A3238D">
        <w:t xml:space="preserve">: </w:t>
      </w:r>
      <w:r>
        <w:t xml:space="preserve">A Interligação </w:t>
      </w:r>
      <w:r w:rsidR="00A3238D">
        <w:t xml:space="preserve">não terá interferência com </w:t>
      </w:r>
      <w:r>
        <w:t>o Parque. É relacionado por estar situado</w:t>
      </w:r>
      <w:r w:rsidR="00A3238D">
        <w:t xml:space="preserve"> no </w:t>
      </w:r>
      <w:r w:rsidR="00A3238D" w:rsidRPr="00227C23">
        <w:t xml:space="preserve">município de </w:t>
      </w:r>
      <w:r w:rsidR="00A3238D">
        <w:t xml:space="preserve">Igaratá, </w:t>
      </w:r>
      <w:r>
        <w:t>junto da represa do Jaguari</w:t>
      </w:r>
      <w:r w:rsidR="00A3238D">
        <w:t xml:space="preserve">, </w:t>
      </w:r>
      <w:r>
        <w:t>na</w:t>
      </w:r>
      <w:r w:rsidR="00A3238D">
        <w:t xml:space="preserve"> área urbana.</w:t>
      </w:r>
    </w:p>
    <w:p w:rsidR="00E34F70" w:rsidRPr="00D839ED" w:rsidRDefault="00AC034C" w:rsidP="00E34F70">
      <w:r w:rsidRPr="00D839ED">
        <w:rPr>
          <w:b/>
        </w:rPr>
        <w:t>APA Fernão Dias</w:t>
      </w:r>
      <w:r w:rsidRPr="00D839ED">
        <w:t xml:space="preserve">. </w:t>
      </w:r>
      <w:r w:rsidR="00E34F70" w:rsidRPr="00D839ED">
        <w:t>UC de Uso Sustentável. A APA foi criada pelo Decreto</w:t>
      </w:r>
      <w:r w:rsidR="002C24B4" w:rsidRPr="00D839ED">
        <w:t xml:space="preserve"> Estadual</w:t>
      </w:r>
      <w:r w:rsidR="00E34F70" w:rsidRPr="00D839ED">
        <w:t xml:space="preserve"> nº 38.925 de julho de 1997, com área aproximada de 180 mil hectares. Tem como objetivo a proteção e preservação das formações florestais remanescentes da Mata Atlântica e fauna silvestre, disciplinando o uso e incentivando o ecodesenvolvimento da região Sul do estado de Minas Gerais. Estende-se por oito municípios</w:t>
      </w:r>
      <w:r w:rsidR="002C24B4" w:rsidRPr="00D839ED">
        <w:t xml:space="preserve"> mineiros</w:t>
      </w:r>
      <w:r w:rsidR="00E34F70" w:rsidRPr="00D839ED">
        <w:t>: Toledo, Extrema, Camanducaia, Itapeva, Sapucaí-Mirim, Gonçalves, Paraisópolis e Brasópolis (os dois últimos parcialmente). A UC é atravessada por dois importantes eixos viários: a BR-381 Rodovia Fernão Dias, que liga a capital mineira com a cidade de São Paulo; e a MG-173 que dá acesso aos municípios a leste da APA.</w:t>
      </w:r>
      <w:r w:rsidR="002C24B4" w:rsidRPr="00D839ED">
        <w:t xml:space="preserve"> </w:t>
      </w:r>
      <w:r w:rsidR="00E34F70" w:rsidRPr="00D839ED">
        <w:t>Inserida no Bioma Mata Atlântica, de grande importância devido à diversidade e endemismo tanto da fauna como da flora, engloba em seu perímetro porções de duas bacias hidrográficas: a do rio Piracicaba/Jaguari e a do rio Sapucaí.</w:t>
      </w:r>
      <w:r w:rsidR="002C24B4" w:rsidRPr="00D839ED">
        <w:t xml:space="preserve"> O órgão gestor é o Instituto Estadual de Florestas do Estado de Minas Gerais, possui Conselho Consultivo e também Plano de Manejo aprovado.</w:t>
      </w:r>
    </w:p>
    <w:p w:rsidR="00E34F70" w:rsidRDefault="00E34F70" w:rsidP="00E34F70">
      <w:r w:rsidRPr="00D839ED">
        <w:rPr>
          <w:u w:val="single"/>
        </w:rPr>
        <w:t>Interface</w:t>
      </w:r>
      <w:r w:rsidRPr="00D839ED">
        <w:t>: A Interligação não terá interferência com a APA. É relacionada por proteger as nascentes e cursos superiores do</w:t>
      </w:r>
      <w:r w:rsidR="00D31758" w:rsidRPr="00D839ED">
        <w:t>s</w:t>
      </w:r>
      <w:r w:rsidRPr="00D839ED">
        <w:t xml:space="preserve"> principa</w:t>
      </w:r>
      <w:r w:rsidR="00D31758" w:rsidRPr="00D839ED">
        <w:t>is</w:t>
      </w:r>
      <w:r w:rsidRPr="00D839ED">
        <w:t xml:space="preserve"> </w:t>
      </w:r>
      <w:r w:rsidR="00D54314">
        <w:t xml:space="preserve">formadores </w:t>
      </w:r>
      <w:r w:rsidRPr="00D839ED">
        <w:t>do Sistema Cantareira no estado de Minas Gerais.</w:t>
      </w:r>
    </w:p>
    <w:p w:rsidR="00A3238D" w:rsidRPr="00253E44" w:rsidRDefault="00A3238D" w:rsidP="00A3238D">
      <w:pPr>
        <w:pStyle w:val="Ttulo4"/>
      </w:pPr>
      <w:bookmarkStart w:id="155" w:name="_Toc401741362"/>
      <w:bookmarkStart w:id="156" w:name="_Toc411871219"/>
      <w:r w:rsidRPr="00253E44">
        <w:t>Corredores Ecológicos e Áreas Prioritárias para Conservação</w:t>
      </w:r>
      <w:bookmarkEnd w:id="155"/>
      <w:r>
        <w:t xml:space="preserve"> e Conectividade</w:t>
      </w:r>
      <w:bookmarkEnd w:id="156"/>
    </w:p>
    <w:p w:rsidR="00A3238D" w:rsidRPr="0069310A" w:rsidRDefault="00A3238D" w:rsidP="00A3238D">
      <w:pPr>
        <w:rPr>
          <w:rStyle w:val="NormalDestaque"/>
          <w:rFonts w:cs="Arial"/>
        </w:rPr>
      </w:pPr>
      <w:r w:rsidRPr="0069310A">
        <w:rPr>
          <w:rFonts w:cs="Arial"/>
        </w:rPr>
        <w:t xml:space="preserve">A importância ambiental </w:t>
      </w:r>
      <w:r w:rsidR="007363DD">
        <w:rPr>
          <w:rFonts w:cs="Arial"/>
        </w:rPr>
        <w:t>d</w:t>
      </w:r>
      <w:r w:rsidRPr="0069310A">
        <w:rPr>
          <w:rFonts w:cs="Arial"/>
        </w:rPr>
        <w:t>a AII</w:t>
      </w:r>
      <w:r w:rsidRPr="0069310A">
        <w:rPr>
          <w:rStyle w:val="NormalDestaque"/>
          <w:rFonts w:cs="Arial"/>
        </w:rPr>
        <w:t xml:space="preserve"> </w:t>
      </w:r>
      <w:r w:rsidRPr="0069310A">
        <w:rPr>
          <w:rStyle w:val="NormalDestaque"/>
          <w:rFonts w:cs="Arial"/>
          <w:b w:val="0"/>
          <w:color w:val="auto"/>
        </w:rPr>
        <w:t>também se destaca através da</w:t>
      </w:r>
      <w:r w:rsidR="00E300E9">
        <w:rPr>
          <w:rStyle w:val="NormalDestaque"/>
          <w:rFonts w:cs="Arial"/>
          <w:b w:val="0"/>
          <w:color w:val="auto"/>
        </w:rPr>
        <w:t>s</w:t>
      </w:r>
      <w:r w:rsidRPr="0069310A">
        <w:rPr>
          <w:rStyle w:val="NormalDestaque"/>
          <w:rFonts w:cs="Arial"/>
        </w:rPr>
        <w:t xml:space="preserve"> </w:t>
      </w:r>
      <w:r w:rsidRPr="0069310A">
        <w:rPr>
          <w:rFonts w:cs="Arial"/>
        </w:rPr>
        <w:t xml:space="preserve">áreas prioritárias para criação de corredores ecológicos, incremento de vegetação e Unidades de Conservação (UCs), </w:t>
      </w:r>
      <w:r w:rsidR="00E300E9">
        <w:rPr>
          <w:rFonts w:cs="Arial"/>
        </w:rPr>
        <w:t xml:space="preserve">que ocorrem em </w:t>
      </w:r>
      <w:r w:rsidRPr="0069310A">
        <w:rPr>
          <w:rFonts w:cs="Arial"/>
        </w:rPr>
        <w:t>parte dos municípios de Igaratá</w:t>
      </w:r>
      <w:r>
        <w:rPr>
          <w:rFonts w:cs="Arial"/>
        </w:rPr>
        <w:t>,</w:t>
      </w:r>
      <w:r w:rsidRPr="0069310A">
        <w:rPr>
          <w:rFonts w:cs="Arial"/>
        </w:rPr>
        <w:t xml:space="preserve"> Santa Isabel</w:t>
      </w:r>
      <w:r w:rsidRPr="00A12E8E">
        <w:rPr>
          <w:rFonts w:cs="Arial"/>
        </w:rPr>
        <w:t xml:space="preserve"> </w:t>
      </w:r>
      <w:r>
        <w:rPr>
          <w:rFonts w:cs="Arial"/>
        </w:rPr>
        <w:t xml:space="preserve">e </w:t>
      </w:r>
      <w:r w:rsidRPr="0069310A">
        <w:rPr>
          <w:rFonts w:cs="Arial"/>
        </w:rPr>
        <w:t>Nazaré Paulista, entre outros</w:t>
      </w:r>
      <w:r w:rsidRPr="0069310A">
        <w:rPr>
          <w:rStyle w:val="NormalDestaque"/>
          <w:rFonts w:cs="Arial"/>
        </w:rPr>
        <w:t>.</w:t>
      </w:r>
    </w:p>
    <w:p w:rsidR="00A3238D" w:rsidRDefault="00A3238D" w:rsidP="00A3238D">
      <w:pPr>
        <w:rPr>
          <w:rFonts w:eastAsia="MS Mincho" w:cs="Arial"/>
        </w:rPr>
      </w:pPr>
      <w:r w:rsidRPr="0069310A">
        <w:rPr>
          <w:rFonts w:eastAsia="Times New Roman" w:cs="Arial"/>
          <w:lang w:eastAsia="ar-SA"/>
        </w:rPr>
        <w:t xml:space="preserve">Em 2008, a Secretaria de Estado do Meio Ambiente (SMA-SP) divulgou o “Mapa de Conectividade do Estado de São Paulo”, </w:t>
      </w:r>
      <w:r>
        <w:rPr>
          <w:rFonts w:eastAsia="Times New Roman" w:cs="Arial"/>
          <w:lang w:eastAsia="ar-SA"/>
        </w:rPr>
        <w:t>que</w:t>
      </w:r>
      <w:r w:rsidRPr="0069310A">
        <w:rPr>
          <w:rFonts w:eastAsia="Times New Roman" w:cs="Arial"/>
          <w:lang w:eastAsia="ar-SA"/>
        </w:rPr>
        <w:t xml:space="preserve"> agrupa informações presentes nos mapas de “Áreas </w:t>
      </w:r>
      <w:r>
        <w:rPr>
          <w:rFonts w:eastAsia="Times New Roman" w:cs="Arial"/>
          <w:lang w:eastAsia="ar-SA"/>
        </w:rPr>
        <w:t>P</w:t>
      </w:r>
      <w:r w:rsidRPr="0069310A">
        <w:rPr>
          <w:rFonts w:eastAsia="Times New Roman" w:cs="Arial"/>
          <w:lang w:eastAsia="ar-SA"/>
        </w:rPr>
        <w:t xml:space="preserve">rioritárias para </w:t>
      </w:r>
      <w:r>
        <w:rPr>
          <w:rFonts w:eastAsia="Times New Roman" w:cs="Arial"/>
          <w:lang w:eastAsia="ar-SA"/>
        </w:rPr>
        <w:t>I</w:t>
      </w:r>
      <w:r w:rsidRPr="0069310A">
        <w:rPr>
          <w:rFonts w:eastAsia="Times New Roman" w:cs="Arial"/>
          <w:lang w:eastAsia="ar-SA"/>
        </w:rPr>
        <w:t xml:space="preserve">ncremento da </w:t>
      </w:r>
      <w:r>
        <w:rPr>
          <w:rFonts w:eastAsia="Times New Roman" w:cs="Arial"/>
          <w:lang w:eastAsia="ar-SA"/>
        </w:rPr>
        <w:t>Conectividade” e “Áreas P</w:t>
      </w:r>
      <w:r w:rsidRPr="0069310A">
        <w:rPr>
          <w:rFonts w:eastAsia="Times New Roman" w:cs="Arial"/>
          <w:lang w:eastAsia="ar-SA"/>
        </w:rPr>
        <w:t xml:space="preserve">rioritárias para </w:t>
      </w:r>
      <w:r>
        <w:rPr>
          <w:rFonts w:eastAsia="Times New Roman" w:cs="Arial"/>
          <w:lang w:eastAsia="ar-SA"/>
        </w:rPr>
        <w:t>C</w:t>
      </w:r>
      <w:r w:rsidRPr="0069310A">
        <w:rPr>
          <w:rFonts w:eastAsia="Times New Roman" w:cs="Arial"/>
          <w:lang w:eastAsia="ar-SA"/>
        </w:rPr>
        <w:t xml:space="preserve">riação de Unidades de Conservação”, resultantes do Projeto Biota FAPESP, </w:t>
      </w:r>
      <w:r>
        <w:rPr>
          <w:rFonts w:eastAsia="Times New Roman" w:cs="Arial"/>
          <w:lang w:eastAsia="ar-SA"/>
        </w:rPr>
        <w:t xml:space="preserve">que </w:t>
      </w:r>
      <w:r w:rsidRPr="0069310A">
        <w:rPr>
          <w:rFonts w:eastAsia="MS Mincho" w:cs="Arial"/>
        </w:rPr>
        <w:t xml:space="preserve">identifica os fragmentos considerados prioritários para conservação e a possibilidade de interligação desses fragmentos por meio da restauração das matas ciliares, funcionando como corredores ecológicos. </w:t>
      </w:r>
    </w:p>
    <w:p w:rsidR="00A3238D" w:rsidRDefault="00F05FCB" w:rsidP="00A3238D">
      <w:pPr>
        <w:rPr>
          <w:rFonts w:eastAsia="MS Mincho" w:cs="Arial"/>
        </w:rPr>
      </w:pPr>
      <w:r w:rsidRPr="00B638CB">
        <w:rPr>
          <w:rFonts w:eastAsia="MS Mincho" w:cs="Arial"/>
          <w:bCs/>
          <w:lang w:val="pt-PT"/>
        </w:rPr>
        <w:t xml:space="preserve">A </w:t>
      </w:r>
      <w:r w:rsidR="00B81B5D" w:rsidRPr="00B638CB">
        <w:rPr>
          <w:rFonts w:eastAsia="MS Mincho" w:cs="Arial"/>
          <w:b/>
          <w:bCs/>
          <w:lang w:val="pt-PT"/>
        </w:rPr>
        <w:t>Figura</w:t>
      </w:r>
      <w:r w:rsidR="00002970" w:rsidRPr="00B638CB">
        <w:rPr>
          <w:rFonts w:eastAsia="MS Mincho" w:cs="Arial"/>
          <w:b/>
          <w:bCs/>
          <w:lang w:val="pt-PT"/>
        </w:rPr>
        <w:t xml:space="preserve"> </w:t>
      </w:r>
      <w:r w:rsidR="00B638CB" w:rsidRPr="00B638CB">
        <w:rPr>
          <w:rFonts w:eastAsia="MS Mincho" w:cs="Arial"/>
          <w:b/>
          <w:bCs/>
          <w:lang w:val="pt-PT"/>
        </w:rPr>
        <w:t>6.4.6-</w:t>
      </w:r>
      <w:r w:rsidR="00646E1D">
        <w:rPr>
          <w:rFonts w:eastAsia="MS Mincho" w:cs="Arial"/>
          <w:b/>
          <w:bCs/>
          <w:lang w:val="pt-PT"/>
        </w:rPr>
        <w:t>4</w:t>
      </w:r>
      <w:r w:rsidR="00002970" w:rsidRPr="00B638CB">
        <w:rPr>
          <w:rFonts w:eastAsia="MS Mincho" w:cs="Arial"/>
          <w:b/>
          <w:bCs/>
          <w:lang w:val="pt-PT"/>
        </w:rPr>
        <w:t xml:space="preserve"> </w:t>
      </w:r>
      <w:r w:rsidR="00107011" w:rsidRPr="00107011">
        <w:rPr>
          <w:rFonts w:eastAsia="MS Mincho" w:cs="Arial"/>
          <w:bCs/>
          <w:lang w:val="pt-PT"/>
        </w:rPr>
        <w:t xml:space="preserve">Áreas Prioritárias para a Conservação e Conectividade </w:t>
      </w:r>
      <w:r w:rsidR="00002970" w:rsidRPr="00107011">
        <w:rPr>
          <w:rFonts w:eastAsia="MS Mincho" w:cs="Arial"/>
          <w:bCs/>
          <w:lang w:val="pt-PT"/>
        </w:rPr>
        <w:t xml:space="preserve">e </w:t>
      </w:r>
      <w:r w:rsidR="00107011" w:rsidRPr="00107011">
        <w:rPr>
          <w:rFonts w:eastAsia="MS Mincho" w:cs="Arial"/>
          <w:bCs/>
          <w:lang w:val="pt-PT"/>
        </w:rPr>
        <w:t xml:space="preserve">a </w:t>
      </w:r>
      <w:r w:rsidR="00107011">
        <w:rPr>
          <w:rFonts w:eastAsia="MS Mincho" w:cs="Arial"/>
          <w:b/>
          <w:bCs/>
          <w:lang w:val="pt-PT"/>
        </w:rPr>
        <w:t xml:space="preserve">Figura </w:t>
      </w:r>
      <w:r w:rsidR="00B638CB" w:rsidRPr="00B638CB">
        <w:rPr>
          <w:rFonts w:eastAsia="MS Mincho" w:cs="Arial"/>
          <w:b/>
          <w:bCs/>
          <w:lang w:val="pt-PT"/>
        </w:rPr>
        <w:t>6.4.6-</w:t>
      </w:r>
      <w:r w:rsidR="00646E1D">
        <w:rPr>
          <w:rFonts w:eastAsia="MS Mincho" w:cs="Arial"/>
          <w:b/>
          <w:bCs/>
          <w:lang w:val="pt-PT"/>
        </w:rPr>
        <w:t>5</w:t>
      </w:r>
      <w:r w:rsidR="00107011">
        <w:rPr>
          <w:rFonts w:eastAsia="MS Mincho" w:cs="Arial"/>
          <w:b/>
          <w:bCs/>
          <w:lang w:val="pt-PT"/>
        </w:rPr>
        <w:t xml:space="preserve"> </w:t>
      </w:r>
      <w:r w:rsidR="00107011" w:rsidRPr="00107011">
        <w:rPr>
          <w:rFonts w:eastAsia="MS Mincho" w:cs="Arial"/>
          <w:bCs/>
          <w:lang w:val="pt-PT"/>
        </w:rPr>
        <w:t>Fragmentos Indicados para Criação de Unidades de Conservação de Proteção Integral</w:t>
      </w:r>
      <w:r w:rsidR="00B638CB" w:rsidRPr="00107011">
        <w:rPr>
          <w:rFonts w:eastAsia="MS Mincho" w:cs="Arial"/>
          <w:bCs/>
          <w:lang w:val="pt-PT"/>
        </w:rPr>
        <w:t>,</w:t>
      </w:r>
      <w:r w:rsidR="00B81B5D" w:rsidRPr="00107011">
        <w:rPr>
          <w:rFonts w:eastAsia="MS Mincho" w:cs="Arial"/>
          <w:bCs/>
          <w:lang w:val="pt-PT"/>
        </w:rPr>
        <w:t xml:space="preserve"> </w:t>
      </w:r>
      <w:r w:rsidR="00107011" w:rsidRPr="00107011">
        <w:rPr>
          <w:rFonts w:eastAsia="MS Mincho" w:cs="Arial"/>
          <w:bCs/>
          <w:lang w:val="pt-PT"/>
        </w:rPr>
        <w:t>ambas na</w:t>
      </w:r>
      <w:r w:rsidR="00107011">
        <w:rPr>
          <w:rFonts w:eastAsia="MS Mincho" w:cs="Arial"/>
          <w:b/>
          <w:bCs/>
          <w:lang w:val="pt-PT"/>
        </w:rPr>
        <w:t xml:space="preserve"> </w:t>
      </w:r>
      <w:r w:rsidR="00B81B5D" w:rsidRPr="00B638CB">
        <w:rPr>
          <w:rFonts w:eastAsia="MS Mincho" w:cs="Arial"/>
          <w:bCs/>
          <w:lang w:val="pt-PT"/>
        </w:rPr>
        <w:t>es</w:t>
      </w:r>
      <w:r w:rsidR="00002970" w:rsidRPr="00B638CB">
        <w:rPr>
          <w:rFonts w:eastAsia="MS Mincho" w:cs="Arial"/>
          <w:bCs/>
          <w:lang w:val="pt-PT"/>
        </w:rPr>
        <w:t>cala 1:</w:t>
      </w:r>
      <w:r w:rsidR="00B81B5D" w:rsidRPr="00B638CB">
        <w:rPr>
          <w:rFonts w:eastAsia="MS Mincho" w:cs="Arial"/>
          <w:bCs/>
          <w:lang w:val="pt-PT"/>
        </w:rPr>
        <w:t>250.000 mostram o eixo do empreendimento em relação a</w:t>
      </w:r>
      <w:r w:rsidR="00B638CB">
        <w:rPr>
          <w:rFonts w:eastAsia="MS Mincho" w:cs="Arial"/>
          <w:bCs/>
          <w:lang w:val="pt-PT"/>
        </w:rPr>
        <w:t>os</w:t>
      </w:r>
      <w:r w:rsidR="00B81B5D" w:rsidRPr="00B638CB">
        <w:rPr>
          <w:rFonts w:eastAsia="MS Mincho" w:cs="Arial"/>
          <w:bCs/>
          <w:lang w:val="pt-PT"/>
        </w:rPr>
        <w:t xml:space="preserve"> </w:t>
      </w:r>
      <w:r w:rsidR="00A3238D" w:rsidRPr="00B638CB">
        <w:rPr>
          <w:rFonts w:eastAsia="MS Mincho" w:cs="Arial"/>
        </w:rPr>
        <w:t xml:space="preserve">mapeamentos </w:t>
      </w:r>
      <w:r w:rsidR="00A3238D" w:rsidRPr="00B638CB">
        <w:rPr>
          <w:rFonts w:eastAsia="MS Mincho" w:cs="Arial"/>
          <w:bCs/>
          <w:lang w:val="pt-PT"/>
        </w:rPr>
        <w:t>elaborados</w:t>
      </w:r>
      <w:r w:rsidR="00A3238D" w:rsidRPr="00B12EE5">
        <w:rPr>
          <w:rFonts w:eastAsia="MS Mincho" w:cs="Arial"/>
          <w:bCs/>
          <w:lang w:val="pt-PT"/>
        </w:rPr>
        <w:t xml:space="preserve"> </w:t>
      </w:r>
      <w:r w:rsidR="00B81B5D">
        <w:rPr>
          <w:rFonts w:eastAsia="MS Mincho" w:cs="Arial"/>
          <w:bCs/>
          <w:lang w:val="pt-PT"/>
        </w:rPr>
        <w:t>pel</w:t>
      </w:r>
      <w:r w:rsidR="00A3238D" w:rsidRPr="00B12EE5">
        <w:rPr>
          <w:rFonts w:eastAsia="MS Mincho" w:cs="Arial"/>
          <w:bCs/>
          <w:lang w:val="pt-PT"/>
        </w:rPr>
        <w:t>o Projeto Biota</w:t>
      </w:r>
      <w:r w:rsidR="00A3238D">
        <w:rPr>
          <w:rFonts w:eastAsia="MS Mincho" w:cs="Arial"/>
          <w:bCs/>
          <w:lang w:val="pt-PT"/>
        </w:rPr>
        <w:t xml:space="preserve"> </w:t>
      </w:r>
      <w:r w:rsidR="00A3238D" w:rsidRPr="00B12EE5">
        <w:rPr>
          <w:rFonts w:eastAsia="MS Mincho" w:cs="Arial"/>
          <w:bCs/>
          <w:lang w:val="pt-PT"/>
        </w:rPr>
        <w:t>/</w:t>
      </w:r>
      <w:r w:rsidR="00A3238D">
        <w:rPr>
          <w:rFonts w:eastAsia="MS Mincho" w:cs="Arial"/>
          <w:bCs/>
          <w:lang w:val="pt-PT"/>
        </w:rPr>
        <w:t xml:space="preserve"> </w:t>
      </w:r>
      <w:r w:rsidR="00A3238D" w:rsidRPr="00B12EE5">
        <w:rPr>
          <w:rFonts w:eastAsia="MS Mincho" w:cs="Arial"/>
          <w:bCs/>
          <w:lang w:val="pt-PT"/>
        </w:rPr>
        <w:t xml:space="preserve">Fapesp </w:t>
      </w:r>
      <w:r w:rsidR="00A3238D">
        <w:rPr>
          <w:rFonts w:eastAsia="MS Mincho" w:cs="Arial"/>
          <w:bCs/>
          <w:lang w:val="pt-PT"/>
        </w:rPr>
        <w:t>–</w:t>
      </w:r>
      <w:r w:rsidR="00A3238D" w:rsidRPr="00B12EE5">
        <w:rPr>
          <w:rFonts w:eastAsia="MS Mincho" w:cs="Arial"/>
          <w:bCs/>
          <w:lang w:val="pt-PT"/>
        </w:rPr>
        <w:t xml:space="preserve"> SMA</w:t>
      </w:r>
      <w:r w:rsidR="00A3238D">
        <w:rPr>
          <w:rFonts w:eastAsia="MS Mincho" w:cs="Arial"/>
          <w:bCs/>
          <w:lang w:val="pt-PT"/>
        </w:rPr>
        <w:t xml:space="preserve"> (</w:t>
      </w:r>
      <w:r w:rsidR="00A3238D" w:rsidRPr="00B12EE5">
        <w:rPr>
          <w:rFonts w:eastAsia="MS Mincho" w:cs="Arial"/>
          <w:bCs/>
          <w:lang w:val="pt-PT"/>
        </w:rPr>
        <w:t>2008</w:t>
      </w:r>
      <w:r w:rsidR="00A3238D">
        <w:rPr>
          <w:rFonts w:eastAsia="MS Mincho" w:cs="Arial"/>
          <w:bCs/>
          <w:lang w:val="pt-PT"/>
        </w:rPr>
        <w:t>)</w:t>
      </w:r>
      <w:r w:rsidR="00A3238D">
        <w:rPr>
          <w:rFonts w:eastAsia="MS Mincho" w:cs="Arial"/>
        </w:rPr>
        <w:t>.</w:t>
      </w:r>
    </w:p>
    <w:p w:rsidR="00A3238D" w:rsidRPr="00A159A1" w:rsidRDefault="00A3238D" w:rsidP="00A3238D">
      <w:pPr>
        <w:rPr>
          <w:rFonts w:eastAsia="MS Mincho" w:cs="Arial"/>
          <w:bCs/>
          <w:lang w:val="pt-PT"/>
        </w:rPr>
      </w:pPr>
      <w:r>
        <w:rPr>
          <w:rFonts w:eastAsia="MS Mincho" w:cs="Arial"/>
          <w:bCs/>
          <w:lang w:val="pt-PT"/>
        </w:rPr>
        <w:t>Observa-se que o</w:t>
      </w:r>
      <w:r w:rsidRPr="00A159A1">
        <w:rPr>
          <w:rFonts w:eastAsia="MS Mincho" w:cs="Arial"/>
          <w:bCs/>
          <w:lang w:val="pt-PT"/>
        </w:rPr>
        <w:t xml:space="preserve">s </w:t>
      </w:r>
      <w:r>
        <w:rPr>
          <w:rFonts w:eastAsia="MS Mincho" w:cs="Arial"/>
          <w:bCs/>
          <w:lang w:val="pt-PT"/>
        </w:rPr>
        <w:t>terrenos das bacias componentes da AII</w:t>
      </w:r>
      <w:r w:rsidRPr="00A159A1">
        <w:rPr>
          <w:rFonts w:eastAsia="MS Mincho" w:cs="Arial"/>
          <w:bCs/>
          <w:lang w:val="pt-PT"/>
        </w:rPr>
        <w:t xml:space="preserve"> encontram-se em áreas classificadas com graus </w:t>
      </w:r>
      <w:r w:rsidRPr="00A159A1">
        <w:rPr>
          <w:rFonts w:eastAsia="Arial" w:cs="Times New Roman"/>
        </w:rPr>
        <w:t xml:space="preserve">em escala crescente </w:t>
      </w:r>
      <w:r w:rsidRPr="00A159A1">
        <w:rPr>
          <w:rFonts w:eastAsia="MS Mincho" w:cs="Arial"/>
          <w:bCs/>
          <w:lang w:val="pt-PT"/>
        </w:rPr>
        <w:t xml:space="preserve">de </w:t>
      </w:r>
      <w:r w:rsidRPr="008509C1">
        <w:rPr>
          <w:rFonts w:eastAsia="MS Mincho" w:cs="Arial"/>
          <w:b/>
          <w:bCs/>
          <w:lang w:val="pt-PT"/>
        </w:rPr>
        <w:t>2 a 7</w:t>
      </w:r>
      <w:r w:rsidRPr="00A159A1">
        <w:rPr>
          <w:rFonts w:eastAsia="MS Mincho" w:cs="Arial"/>
          <w:bCs/>
          <w:lang w:val="pt-PT"/>
        </w:rPr>
        <w:t xml:space="preserve"> no </w:t>
      </w:r>
      <w:r>
        <w:rPr>
          <w:rFonts w:eastAsia="MS Mincho" w:cs="Arial"/>
          <w:bCs/>
          <w:lang w:val="pt-PT"/>
        </w:rPr>
        <w:t>m</w:t>
      </w:r>
      <w:r w:rsidRPr="00A159A1">
        <w:rPr>
          <w:rFonts w:eastAsia="MS Mincho" w:cs="Arial"/>
          <w:bCs/>
          <w:lang w:val="pt-PT"/>
        </w:rPr>
        <w:t xml:space="preserve">apa “Áreas Prioritárias para </w:t>
      </w:r>
      <w:r>
        <w:rPr>
          <w:rFonts w:eastAsia="MS Mincho" w:cs="Arial"/>
          <w:bCs/>
          <w:lang w:val="pt-PT"/>
        </w:rPr>
        <w:t>Incremento d</w:t>
      </w:r>
      <w:r w:rsidRPr="00A159A1">
        <w:rPr>
          <w:rFonts w:eastAsia="MS Mincho" w:cs="Arial"/>
          <w:bCs/>
          <w:lang w:val="pt-PT"/>
        </w:rPr>
        <w:t>a Conectividade” elaborado pela SMA/CPRN/GT</w:t>
      </w:r>
      <w:r>
        <w:rPr>
          <w:rFonts w:eastAsia="MS Mincho" w:cs="Arial"/>
          <w:bCs/>
          <w:lang w:val="pt-PT"/>
        </w:rPr>
        <w:t>I (Programa Biota-FAPESP, 2008)</w:t>
      </w:r>
      <w:r w:rsidRPr="00A159A1">
        <w:rPr>
          <w:rFonts w:eastAsia="MS Mincho" w:cs="Arial"/>
          <w:bCs/>
          <w:lang w:val="pt-PT"/>
        </w:rPr>
        <w:t>.</w:t>
      </w:r>
    </w:p>
    <w:p w:rsidR="00A3238D" w:rsidRPr="00B12EE5" w:rsidRDefault="00A3238D" w:rsidP="00A3238D">
      <w:pPr>
        <w:rPr>
          <w:rFonts w:eastAsia="MS Mincho" w:cs="Arial"/>
          <w:bCs/>
          <w:lang w:val="pt-PT"/>
        </w:rPr>
      </w:pPr>
      <w:r>
        <w:rPr>
          <w:rFonts w:eastAsia="MS Mincho" w:cs="Arial"/>
          <w:bCs/>
          <w:lang w:val="pt-PT"/>
        </w:rPr>
        <w:t>Observa-se também que o</w:t>
      </w:r>
      <w:r w:rsidRPr="00B12EE5">
        <w:rPr>
          <w:rFonts w:eastAsia="MS Mincho" w:cs="Arial"/>
          <w:bCs/>
          <w:lang w:val="pt-PT"/>
        </w:rPr>
        <w:t xml:space="preserve"> eixo do projeto de Interligação Jaguari-Atibainha </w:t>
      </w:r>
      <w:r w:rsidRPr="008E3D34">
        <w:rPr>
          <w:rFonts w:eastAsia="MS Mincho" w:cs="Arial"/>
          <w:bCs/>
          <w:u w:val="single"/>
          <w:lang w:val="pt-PT"/>
        </w:rPr>
        <w:t>não atravessa áreas indicadas para criação de unidades de conservação de proteção integral</w:t>
      </w:r>
      <w:r>
        <w:rPr>
          <w:rFonts w:eastAsia="MS Mincho" w:cs="Arial"/>
          <w:bCs/>
          <w:lang w:val="pt-PT"/>
        </w:rPr>
        <w:t>.</w:t>
      </w:r>
    </w:p>
    <w:p w:rsidR="00A3238D" w:rsidRPr="0069310A" w:rsidRDefault="00A3238D" w:rsidP="00A3238D">
      <w:pPr>
        <w:rPr>
          <w:rFonts w:cs="Arial"/>
          <w:b/>
        </w:rPr>
      </w:pPr>
      <w:r w:rsidRPr="0069310A">
        <w:rPr>
          <w:rFonts w:cs="Arial"/>
        </w:rPr>
        <w:t xml:space="preserve">Buscando fornecer as bases teóricas para a recuperação ambiental do Estado, e considerando diversos indicadores biológicos e de ecologia da paisagem, o Programa BIOTA/FAPESP estabeleceu as Diretrizes Básicas para a Restauração e Conservação da Biodiversidade no estado de São Paulo (Rodrigues; Bononi, 2008). </w:t>
      </w:r>
      <w:r w:rsidRPr="0069310A">
        <w:rPr>
          <w:rStyle w:val="NormalDestaque"/>
          <w:rFonts w:cs="Arial"/>
          <w:b w:val="0"/>
          <w:color w:val="auto"/>
        </w:rPr>
        <w:t>Neste contexto, também se destacam as ações desenvolvidas pela Comissão Paulista da Biodiversidade (CPB), que está construindo o “Plano de Expansão de Áreas Protegidas no Estado de São Paulo”.</w:t>
      </w:r>
    </w:p>
    <w:p w:rsidR="00A3238D" w:rsidRPr="0069310A" w:rsidRDefault="00A3238D" w:rsidP="00A3238D">
      <w:r w:rsidRPr="0069310A">
        <w:t>Possuindo relação direta com a AII, destaca-se a indicação de duas áreas prioritárias para a conservação e estabelecimento de conectividade:</w:t>
      </w:r>
    </w:p>
    <w:p w:rsidR="00A3238D" w:rsidRPr="0069310A" w:rsidRDefault="00A3238D" w:rsidP="00A3238D">
      <w:r w:rsidRPr="0069310A">
        <w:t xml:space="preserve">(a) </w:t>
      </w:r>
      <w:r w:rsidRPr="0069310A">
        <w:rPr>
          <w:b/>
        </w:rPr>
        <w:t>Unidade de Conservação de Proteção Integral no entorno da Serra da Cantareira</w:t>
      </w:r>
      <w:r w:rsidRPr="0069310A">
        <w:t>, com importância biológica Extremamente Alta e grau de prioridade Extremamente Alto, tem como proposta inicial a proteção de uma área protegida de aproximadamente 1.079 km</w:t>
      </w:r>
      <w:r w:rsidRPr="0069310A">
        <w:rPr>
          <w:vertAlign w:val="superscript"/>
        </w:rPr>
        <w:t>2</w:t>
      </w:r>
      <w:r w:rsidRPr="0069310A">
        <w:t>, garantindo a conservação de fragmentos importantes da Floresta Ombrófila Densa;</w:t>
      </w:r>
    </w:p>
    <w:p w:rsidR="00F05FCB" w:rsidRDefault="00F05FCB">
      <w:pPr>
        <w:spacing w:after="200" w:line="276" w:lineRule="auto"/>
        <w:jc w:val="left"/>
      </w:pPr>
      <w:r>
        <w:br w:type="page"/>
      </w:r>
    </w:p>
    <w:p w:rsidR="00F05FCB" w:rsidRPr="00F05FCB" w:rsidRDefault="00F05FCB" w:rsidP="00F05FCB">
      <w:pPr>
        <w:rPr>
          <w:b/>
          <w:lang w:val="pt-PT"/>
        </w:rPr>
      </w:pPr>
      <w:r w:rsidRPr="007938F3">
        <w:rPr>
          <w:b/>
          <w:highlight w:val="yellow"/>
          <w:lang w:val="pt-PT"/>
        </w:rPr>
        <w:lastRenderedPageBreak/>
        <w:t>Figura 6.4.6-4. Áreas Prioritárias para a Conservação e Conectividade</w:t>
      </w:r>
    </w:p>
    <w:p w:rsidR="00F05FCB" w:rsidRDefault="00F05FCB">
      <w:pPr>
        <w:spacing w:after="200" w:line="276" w:lineRule="auto"/>
        <w:jc w:val="left"/>
      </w:pPr>
      <w:r>
        <w:t xml:space="preserve"> </w:t>
      </w:r>
      <w:r>
        <w:br w:type="page"/>
      </w:r>
    </w:p>
    <w:p w:rsidR="00F05FCB" w:rsidRPr="00F05FCB" w:rsidRDefault="00F05FCB" w:rsidP="00F05FCB">
      <w:pPr>
        <w:rPr>
          <w:b/>
          <w:lang w:val="pt-PT"/>
        </w:rPr>
      </w:pPr>
      <w:r w:rsidRPr="007938F3">
        <w:rPr>
          <w:b/>
          <w:highlight w:val="yellow"/>
          <w:lang w:val="pt-PT"/>
        </w:rPr>
        <w:lastRenderedPageBreak/>
        <w:t>Figura 6.4.6-5. Fragmentos Indicados para Criação de Unidades de Conservação de Proteção Integral</w:t>
      </w:r>
    </w:p>
    <w:p w:rsidR="00F05FCB" w:rsidRDefault="00F05FCB">
      <w:pPr>
        <w:spacing w:after="200" w:line="276" w:lineRule="auto"/>
        <w:jc w:val="left"/>
      </w:pPr>
      <w:r>
        <w:t xml:space="preserve"> </w:t>
      </w:r>
      <w:r>
        <w:br w:type="page"/>
      </w:r>
    </w:p>
    <w:p w:rsidR="00A3238D" w:rsidRPr="0069310A" w:rsidRDefault="00A3238D" w:rsidP="00A3238D">
      <w:r w:rsidRPr="0069310A">
        <w:lastRenderedPageBreak/>
        <w:t xml:space="preserve">(b) </w:t>
      </w:r>
      <w:r w:rsidRPr="0069310A">
        <w:rPr>
          <w:b/>
        </w:rPr>
        <w:t>Unidade de Conservação de Categoria Indefinida - Corredor Cantareira/Mantiqueira</w:t>
      </w:r>
      <w:r w:rsidRPr="0069310A">
        <w:t>, com importância biológica Muito Alta e grau de prioridade Extremamente Alto, tem como proposta inicial a proteção de uma área de aproximadamente 1.912 km</w:t>
      </w:r>
      <w:r w:rsidRPr="0069310A">
        <w:rPr>
          <w:vertAlign w:val="superscript"/>
        </w:rPr>
        <w:t>2</w:t>
      </w:r>
      <w:r w:rsidRPr="0069310A">
        <w:t>, garantindo a conservação de fragmentos importantes, proporcionando ampliação de habitat de interligação de duas áreas protegidas.</w:t>
      </w:r>
    </w:p>
    <w:p w:rsidR="00A3238D" w:rsidRPr="0069310A" w:rsidRDefault="00A3238D" w:rsidP="00A3238D">
      <w:pPr>
        <w:rPr>
          <w:bCs/>
          <w:iCs/>
        </w:rPr>
      </w:pPr>
      <w:r w:rsidRPr="0069310A">
        <w:t xml:space="preserve">Vale ressaltar que o termo Corredor Ecológico encontra-se relacionado tanto com a função de facilitador para o trânsito da fauna entre fragmentos remanescentes (Resolução CONAMA nº 9, de 24/10/1996), quanto seu papel na facilitação do fluxo de genes e o movimento da biota (Lei n° 9.985/00). Em ambos os casos, este papel é fundamentalmente cumprido </w:t>
      </w:r>
      <w:r w:rsidR="007363DD">
        <w:t>pel</w:t>
      </w:r>
      <w:r w:rsidRPr="0069310A">
        <w:t>as formações ciliares. Por se tratar de região de manancial, ao longo do traçado da adutora são ob</w:t>
      </w:r>
      <w:r>
        <w:t xml:space="preserve">servados inúmeros cursos d’água, </w:t>
      </w:r>
      <w:r w:rsidRPr="0069310A">
        <w:t>em sua maioria de pequeno porte</w:t>
      </w:r>
      <w:r>
        <w:t>,</w:t>
      </w:r>
      <w:r w:rsidRPr="0069310A">
        <w:t xml:space="preserve"> mas que, por apresentar cobertura vegetal significativa, podem potencialmente desempenhar o papel de corredores ecológicos.</w:t>
      </w:r>
    </w:p>
    <w:p w:rsidR="00A3238D" w:rsidRDefault="00A3238D" w:rsidP="00A3238D">
      <w:r w:rsidRPr="0069310A">
        <w:t xml:space="preserve">A estratégia de conservação e restauração estabelecida pelo Programa BIOTA/FAPESP consiste em três ações: (i) integração dos fragmentos naturais amplos, bem conectados e com alta riqueza de espécies ao conjunto de Unidades de Conservação de Proteção Integral; (ii) utilização de áreas menos ricas, com espécies relevantes, compostas de fragmentos com tamanho e conectividade intermediários para ações de incremento da conectividade pelo setor privado; (iii) realização de inventários biológicos em regiões com dados biológicos insuficientes, para sustentar a adoção de ações efetivas de conservação da biodiversidade. </w:t>
      </w:r>
    </w:p>
    <w:p w:rsidR="00A3238D" w:rsidRDefault="00A3238D" w:rsidP="00A3238D">
      <w:r>
        <w:t xml:space="preserve">Dessa forma, por meio do </w:t>
      </w:r>
      <w:r w:rsidRPr="0069310A">
        <w:t>Decreto Estadual n° 55.662, de 30/03/2010</w:t>
      </w:r>
      <w:r>
        <w:t>,</w:t>
      </w:r>
      <w:r w:rsidRPr="007F347E">
        <w:t xml:space="preserve"> </w:t>
      </w:r>
      <w:r>
        <w:t xml:space="preserve">foram criadas quatro novas UCs na região do Corredor Cantareira – Mantiqueira: </w:t>
      </w:r>
      <w:r w:rsidRPr="007F347E">
        <w:t>Parque Estadual de Itaberaba, Parque Estadual de Itapetinga</w:t>
      </w:r>
      <w:r w:rsidRPr="00472DCB">
        <w:t xml:space="preserve"> </w:t>
      </w:r>
      <w:r>
        <w:t>e</w:t>
      </w:r>
      <w:r w:rsidRPr="007F347E">
        <w:t xml:space="preserve"> o Monumento N</w:t>
      </w:r>
      <w:r>
        <w:t>atural Estadual da Pedra Grande (de Proteção Integral)</w:t>
      </w:r>
      <w:r w:rsidRPr="007F347E">
        <w:t>,</w:t>
      </w:r>
      <w:r>
        <w:t xml:space="preserve"> e a</w:t>
      </w:r>
      <w:r w:rsidRPr="007F347E">
        <w:t xml:space="preserve"> Floresta Estadual de Guarulhos</w:t>
      </w:r>
      <w:r>
        <w:t xml:space="preserve"> (de Uso Sustentável). Foram principalmente c</w:t>
      </w:r>
      <w:r w:rsidRPr="00BA6A66">
        <w:t>onsiderado</w:t>
      </w:r>
      <w:r>
        <w:t>s:</w:t>
      </w:r>
      <w:r w:rsidRPr="00BA6A66">
        <w:t xml:space="preserve"> </w:t>
      </w:r>
      <w:r w:rsidRPr="007F347E">
        <w:rPr>
          <w:b/>
        </w:rPr>
        <w:t>a)</w:t>
      </w:r>
      <w:r>
        <w:t xml:space="preserve"> “</w:t>
      </w:r>
      <w:r w:rsidRPr="00BA6A66">
        <w:t>os resultados dos estudos do projeto “Diretrizes para Conservação e Restauração da Biodiversidade do Estado de São Paulo”, desenvolvido pelo Programa Biota - FAPESP, com a indicação de forte grau de importância para a criação de unidades de conservação de proteção integral, nas áreas constituídas, em maior parte, pelas Serras de Itaberaba e de Itapetinga</w:t>
      </w:r>
      <w:r>
        <w:t xml:space="preserve">”; </w:t>
      </w:r>
      <w:r w:rsidRPr="007F347E">
        <w:rPr>
          <w:b/>
        </w:rPr>
        <w:t>b)</w:t>
      </w:r>
      <w:r>
        <w:t xml:space="preserve"> “</w:t>
      </w:r>
      <w:r w:rsidRPr="00BA6A66">
        <w:t>que a relevância do setor norte</w:t>
      </w:r>
      <w:r>
        <w:t>-</w:t>
      </w:r>
      <w:r w:rsidRPr="00BA6A66">
        <w:t>nordeste da Serra da Cantareira para a conservação da biodiversidade ao longo das últimas décadas, tem sido objeto de inúmeros estudos que ressaltam, entre outras, a importância do Corredor Cantareira-Mantiqueira, desde a conectividade dos fragmentos florestais, às evidências de presença e deslocamento de felinos e pela necessidade de proteção dos seus recursos hídricos</w:t>
      </w:r>
      <w:r>
        <w:t xml:space="preserve">”; </w:t>
      </w:r>
      <w:r w:rsidRPr="007F347E">
        <w:rPr>
          <w:b/>
        </w:rPr>
        <w:t>c)</w:t>
      </w:r>
      <w:r>
        <w:t xml:space="preserve"> “</w:t>
      </w:r>
      <w:r w:rsidRPr="00BA6A66">
        <w:t>que o Parque Estadual da Cantareira é exemplo de manutenção de integridade florestal em região de forte pressão e expansão urbana, e vem demonstrando, ao longo do tempo, que essa categoria de unidade de conservação é a mais adequada à proteção da biodiversidade</w:t>
      </w:r>
      <w:r>
        <w:t>”.</w:t>
      </w:r>
    </w:p>
    <w:p w:rsidR="000D0D7C" w:rsidRDefault="009F7255" w:rsidP="000D0D7C">
      <w:pPr>
        <w:pStyle w:val="Ttulo4"/>
      </w:pPr>
      <w:bookmarkStart w:id="157" w:name="_Toc411871220"/>
      <w:r>
        <w:t>Interfaces com a</w:t>
      </w:r>
      <w:r w:rsidR="00AE4A6B">
        <w:t>s</w:t>
      </w:r>
      <w:r>
        <w:t xml:space="preserve"> </w:t>
      </w:r>
      <w:r w:rsidR="000D0D7C">
        <w:t>Área</w:t>
      </w:r>
      <w:r w:rsidR="00AE4A6B">
        <w:t>s</w:t>
      </w:r>
      <w:r w:rsidR="000D0D7C">
        <w:t xml:space="preserve"> de Proteção de Mananciais</w:t>
      </w:r>
      <w:r w:rsidR="007A3F2E">
        <w:t xml:space="preserve"> da RMSP</w:t>
      </w:r>
      <w:bookmarkEnd w:id="157"/>
    </w:p>
    <w:p w:rsidR="00A74053" w:rsidRDefault="00A74053" w:rsidP="00BC0CE6">
      <w:r w:rsidRPr="00A74053">
        <w:rPr>
          <w:lang w:eastAsia="pt-BR"/>
        </w:rPr>
        <w:t xml:space="preserve">De acordo com os conceitos estabelecidos na </w:t>
      </w:r>
      <w:r w:rsidRPr="00A74053">
        <w:t>Lei Estadual n</w:t>
      </w:r>
      <w:r w:rsidRPr="00A74053">
        <w:rPr>
          <w:vertAlign w:val="superscript"/>
        </w:rPr>
        <w:t>o</w:t>
      </w:r>
      <w:r w:rsidRPr="00A74053">
        <w:t xml:space="preserve"> 9.866/97 (nova lei de proteção de</w:t>
      </w:r>
      <w:r>
        <w:t xml:space="preserve"> mananciais), o reservatório Jaguari/CESP e os reservatórios que compõem o Sistema Cantareira constituem mananciais de interesse regional, e a gestão das respectivas bacias deverá ser regida por Leis Específicas que estabelecerão uma nova disciplina de zoneamento e de instrumentos de gestão de cada bacia.</w:t>
      </w:r>
    </w:p>
    <w:p w:rsidR="00A74053" w:rsidRDefault="00A74053" w:rsidP="00BC0CE6">
      <w:r>
        <w:t>Enquanto essas leis específicas não forem promulgadas, continua</w:t>
      </w:r>
      <w:r w:rsidR="003F2865">
        <w:t>m</w:t>
      </w:r>
      <w:r>
        <w:t xml:space="preserve"> a vigorar, apenas no âmbito territorial dos municípios que compõem a RMSP, as leis 898/75 e 1.172/76. Essas leis abrangem as seguintes porções territoriais:</w:t>
      </w:r>
    </w:p>
    <w:p w:rsidR="00A74053" w:rsidRDefault="00A74053" w:rsidP="00A74053">
      <w:pPr>
        <w:pStyle w:val="PargrafodaLista"/>
        <w:numPr>
          <w:ilvl w:val="0"/>
          <w:numId w:val="37"/>
        </w:numPr>
      </w:pPr>
      <w:r>
        <w:t xml:space="preserve">A bacia do reservatório Jaguari/CESP até o limite </w:t>
      </w:r>
      <w:r w:rsidR="003F2865">
        <w:t>do município de Santa Isabel com Igaratá e Jacareí;</w:t>
      </w:r>
    </w:p>
    <w:p w:rsidR="003F2865" w:rsidRDefault="003F2865" w:rsidP="00A74053">
      <w:pPr>
        <w:pStyle w:val="PargrafodaLista"/>
        <w:numPr>
          <w:ilvl w:val="0"/>
          <w:numId w:val="37"/>
        </w:numPr>
      </w:pPr>
      <w:r>
        <w:t>A bacia do reservatório Paiva Castro</w:t>
      </w:r>
      <w:r w:rsidR="00AA3592">
        <w:t>,</w:t>
      </w:r>
      <w:r>
        <w:t xml:space="preserve"> </w:t>
      </w:r>
      <w:r w:rsidR="00AA3592">
        <w:t>exclusive a parte superior da bacia do rio Juqueri situada em Nazaré Paulista. O reservatório Paiva Castro faz parte do Sistema Cantareira e recebe as águas do reservatório Atibainha.</w:t>
      </w:r>
    </w:p>
    <w:p w:rsidR="00A74053" w:rsidRPr="00DE2980" w:rsidRDefault="00E14E2B" w:rsidP="00BC0CE6">
      <w:pPr>
        <w:rPr>
          <w:lang w:eastAsia="pt-BR"/>
        </w:rPr>
      </w:pPr>
      <w:r w:rsidRPr="00DE2980">
        <w:rPr>
          <w:lang w:eastAsia="pt-BR"/>
        </w:rPr>
        <w:t>Destacam-se duas iniciativas em curso:</w:t>
      </w:r>
    </w:p>
    <w:p w:rsidR="00AA3592" w:rsidRDefault="00E14E2B" w:rsidP="00F05FCB">
      <w:pPr>
        <w:pStyle w:val="PargrafodaLista"/>
        <w:numPr>
          <w:ilvl w:val="0"/>
          <w:numId w:val="37"/>
        </w:numPr>
        <w:rPr>
          <w:lang w:eastAsia="pt-BR"/>
        </w:rPr>
      </w:pPr>
      <w:r w:rsidRPr="00DE2980">
        <w:lastRenderedPageBreak/>
        <w:t>A contratação, pela Secretaria de Estado de Saneamento e Recursos Hídricos de São Paulo (SSRH) da Elaboração e Revisão dos Planos de Desenvolvimento e Proteção Ambiental (PDPA) das Áreas de Proteção e Recuperação dos Mananciais (APRM) da RMSP, como parte do Programa Mananciais, financiado pelo Banco Mundial.</w:t>
      </w:r>
      <w:r w:rsidR="00AA3592">
        <w:t xml:space="preserve"> </w:t>
      </w:r>
      <w:r w:rsidR="00DE2980" w:rsidRPr="00DE2980">
        <w:rPr>
          <w:lang w:eastAsia="pt-BR"/>
        </w:rPr>
        <w:t xml:space="preserve">Estes estudos abrangem: </w:t>
      </w:r>
    </w:p>
    <w:p w:rsidR="00AA3592" w:rsidRDefault="00AA3592" w:rsidP="00AA3592">
      <w:pPr>
        <w:pStyle w:val="PargrafodaLista"/>
        <w:numPr>
          <w:ilvl w:val="1"/>
          <w:numId w:val="37"/>
        </w:numPr>
        <w:ind w:left="714" w:hanging="357"/>
        <w:rPr>
          <w:lang w:eastAsia="pt-BR"/>
        </w:rPr>
      </w:pPr>
      <w:r w:rsidRPr="00DE2980">
        <w:rPr>
          <w:lang w:eastAsia="pt-BR"/>
        </w:rPr>
        <w:t xml:space="preserve">Toda </w:t>
      </w:r>
      <w:r w:rsidR="00DE2980" w:rsidRPr="00DE2980">
        <w:rPr>
          <w:lang w:eastAsia="pt-BR"/>
        </w:rPr>
        <w:t>a bacia do reservatório Jaguari/CESP</w:t>
      </w:r>
      <w:r>
        <w:rPr>
          <w:lang w:eastAsia="pt-BR"/>
        </w:rPr>
        <w:t>, inclusive as porções territoriais situadas em Igaratá, Jacareí, São José dos Campos e Monteiro Lobato</w:t>
      </w:r>
      <w:r w:rsidR="00DE2980" w:rsidRPr="00DE2980">
        <w:rPr>
          <w:lang w:eastAsia="pt-BR"/>
        </w:rPr>
        <w:t xml:space="preserve">; e </w:t>
      </w:r>
    </w:p>
    <w:p w:rsidR="00DE2980" w:rsidRPr="00DE2980" w:rsidRDefault="00AA3592" w:rsidP="00AA3592">
      <w:pPr>
        <w:pStyle w:val="PargrafodaLista"/>
        <w:numPr>
          <w:ilvl w:val="1"/>
          <w:numId w:val="37"/>
        </w:numPr>
        <w:ind w:left="714" w:hanging="357"/>
        <w:rPr>
          <w:lang w:eastAsia="pt-BR"/>
        </w:rPr>
      </w:pPr>
      <w:r>
        <w:rPr>
          <w:lang w:eastAsia="pt-BR"/>
        </w:rPr>
        <w:t xml:space="preserve">Toda a </w:t>
      </w:r>
      <w:r w:rsidR="00DE2980" w:rsidRPr="00DE2980">
        <w:rPr>
          <w:lang w:eastAsia="pt-BR"/>
        </w:rPr>
        <w:t>bacia do Alto Juqueri contribuinte ao reservatório Paiva Castro</w:t>
      </w:r>
      <w:r>
        <w:rPr>
          <w:lang w:eastAsia="pt-BR"/>
        </w:rPr>
        <w:t>, inclusive o trecho em Nazaré Paulista</w:t>
      </w:r>
      <w:r w:rsidR="00DE2980" w:rsidRPr="00DE2980">
        <w:rPr>
          <w:lang w:eastAsia="pt-BR"/>
        </w:rPr>
        <w:t>.</w:t>
      </w:r>
    </w:p>
    <w:p w:rsidR="00DE2980" w:rsidRPr="00DE2980" w:rsidRDefault="00DE2980" w:rsidP="00DE2980">
      <w:pPr>
        <w:pStyle w:val="PargrafodaLista"/>
        <w:numPr>
          <w:ilvl w:val="0"/>
          <w:numId w:val="37"/>
        </w:numPr>
        <w:rPr>
          <w:lang w:eastAsia="pt-BR"/>
        </w:rPr>
      </w:pPr>
      <w:r w:rsidRPr="00DE2980">
        <w:rPr>
          <w:lang w:eastAsia="pt-BR"/>
        </w:rPr>
        <w:t>O Projeto de Lei n</w:t>
      </w:r>
      <w:r w:rsidRPr="00DE2980">
        <w:rPr>
          <w:vertAlign w:val="superscript"/>
          <w:lang w:eastAsia="pt-BR"/>
        </w:rPr>
        <w:t>o</w:t>
      </w:r>
      <w:r w:rsidRPr="00DE2980">
        <w:rPr>
          <w:lang w:eastAsia="pt-BR"/>
        </w:rPr>
        <w:t xml:space="preserve"> 272/2010, em discussão na Assembleia Legislativa, que institui a Lei Específica para a bacia do Alto Juquer</w:t>
      </w:r>
      <w:r w:rsidR="0017290C">
        <w:rPr>
          <w:lang w:eastAsia="pt-BR"/>
        </w:rPr>
        <w:t>y</w:t>
      </w:r>
      <w:r w:rsidR="00AA3592">
        <w:rPr>
          <w:lang w:eastAsia="pt-BR"/>
        </w:rPr>
        <w:t xml:space="preserve"> (que deve sofrer revisão no estudo</w:t>
      </w:r>
      <w:r w:rsidR="0017290C">
        <w:rPr>
          <w:lang w:eastAsia="pt-BR"/>
        </w:rPr>
        <w:t xml:space="preserve"> em curso)</w:t>
      </w:r>
      <w:r w:rsidRPr="00DE2980">
        <w:rPr>
          <w:lang w:eastAsia="pt-BR"/>
        </w:rPr>
        <w:t>.</w:t>
      </w:r>
    </w:p>
    <w:p w:rsidR="00397B94" w:rsidRPr="00397B94" w:rsidRDefault="00397B94" w:rsidP="00397B94">
      <w:r w:rsidRPr="00397B94">
        <w:t>O objetivo principal dos estudos em andamento contratados pela SSRH é a elaboração, atualização ou revisão dos PDPAs para diversas bacias de mananciais da RMSP, sua aprovação pelo Comitê de Bacia Hidrográfica do Alto Tietê (CBH-AT) e Comitê Estadual de Recursos Hídricos, e o apoio técnico na aprovação das respectivas leis específicas.</w:t>
      </w:r>
      <w:r w:rsidR="00715322">
        <w:t xml:space="preserve"> </w:t>
      </w:r>
      <w:r w:rsidRPr="00397B94">
        <w:t>Os serviços de consultoria para cada bacia</w:t>
      </w:r>
      <w:r w:rsidR="00715322">
        <w:t xml:space="preserve"> abrangem</w:t>
      </w:r>
      <w:r w:rsidRPr="00397B94">
        <w:t>:</w:t>
      </w:r>
    </w:p>
    <w:p w:rsidR="00397B94" w:rsidRPr="00397B94" w:rsidRDefault="00397B94" w:rsidP="00397B94">
      <w:pPr>
        <w:pStyle w:val="PargrafodaLista"/>
        <w:numPr>
          <w:ilvl w:val="0"/>
          <w:numId w:val="28"/>
        </w:numPr>
        <w:ind w:left="357" w:hanging="357"/>
      </w:pPr>
      <w:r w:rsidRPr="00397B94">
        <w:t>Caracterização física, socioeconômica e ambiental das APRM;</w:t>
      </w:r>
    </w:p>
    <w:p w:rsidR="00397B94" w:rsidRPr="00397B94" w:rsidRDefault="00397B94" w:rsidP="00397B94">
      <w:pPr>
        <w:pStyle w:val="PargrafodaLista"/>
        <w:numPr>
          <w:ilvl w:val="0"/>
          <w:numId w:val="28"/>
        </w:numPr>
        <w:ind w:left="357" w:hanging="357"/>
      </w:pPr>
      <w:r w:rsidRPr="00397B94">
        <w:t>Metas para obtenção dos padrões de qualidade;</w:t>
      </w:r>
    </w:p>
    <w:p w:rsidR="00397B94" w:rsidRPr="00397B94" w:rsidRDefault="00397B94" w:rsidP="00397B94">
      <w:pPr>
        <w:pStyle w:val="PargrafodaLista"/>
        <w:numPr>
          <w:ilvl w:val="0"/>
          <w:numId w:val="28"/>
        </w:numPr>
        <w:ind w:left="357" w:hanging="357"/>
      </w:pPr>
      <w:r w:rsidRPr="00397B94">
        <w:t>Análise, definição de indicadores, metas e propostas de ações e programas;</w:t>
      </w:r>
    </w:p>
    <w:p w:rsidR="00397B94" w:rsidRPr="00397B94" w:rsidRDefault="00397B94" w:rsidP="00397B94">
      <w:pPr>
        <w:pStyle w:val="PargrafodaLista"/>
        <w:numPr>
          <w:ilvl w:val="0"/>
          <w:numId w:val="28"/>
        </w:numPr>
        <w:ind w:left="357" w:hanging="357"/>
      </w:pPr>
      <w:r w:rsidRPr="00397B94">
        <w:t>Elaboração dos PDPA;</w:t>
      </w:r>
    </w:p>
    <w:p w:rsidR="00397B94" w:rsidRPr="00397B94" w:rsidRDefault="00397B94" w:rsidP="00397B94">
      <w:pPr>
        <w:pStyle w:val="PargrafodaLista"/>
        <w:numPr>
          <w:ilvl w:val="0"/>
          <w:numId w:val="28"/>
        </w:numPr>
        <w:ind w:left="357" w:hanging="357"/>
      </w:pPr>
      <w:r w:rsidRPr="00397B94">
        <w:t>Apoio na aprovação da Lei específica na Assembleia Legislativa do estado.</w:t>
      </w:r>
    </w:p>
    <w:p w:rsidR="00715322" w:rsidRPr="00715322" w:rsidRDefault="00715322" w:rsidP="00715322">
      <w:pPr>
        <w:rPr>
          <w:lang w:eastAsia="pt-BR"/>
        </w:rPr>
      </w:pPr>
      <w:r w:rsidRPr="00715322">
        <w:rPr>
          <w:lang w:eastAsia="pt-BR"/>
        </w:rPr>
        <w:t xml:space="preserve">Enquanto as respectivas Leis Específicas não sejam </w:t>
      </w:r>
      <w:r w:rsidR="0017290C">
        <w:rPr>
          <w:lang w:eastAsia="pt-BR"/>
        </w:rPr>
        <w:t>promulgadas</w:t>
      </w:r>
      <w:r w:rsidRPr="00715322">
        <w:rPr>
          <w:lang w:eastAsia="pt-BR"/>
        </w:rPr>
        <w:t>, as AP</w:t>
      </w:r>
      <w:r w:rsidR="0017290C">
        <w:rPr>
          <w:lang w:eastAsia="pt-BR"/>
        </w:rPr>
        <w:t>Ms Jaguari e Alto Juqueri</w:t>
      </w:r>
      <w:r w:rsidRPr="00715322">
        <w:rPr>
          <w:lang w:eastAsia="pt-BR"/>
        </w:rPr>
        <w:t xml:space="preserve"> ainda estarão sob a vigência das Leis n</w:t>
      </w:r>
      <w:r w:rsidRPr="00715322">
        <w:rPr>
          <w:vertAlign w:val="superscript"/>
          <w:lang w:eastAsia="pt-BR"/>
        </w:rPr>
        <w:t>o</w:t>
      </w:r>
      <w:r w:rsidRPr="00715322">
        <w:rPr>
          <w:lang w:eastAsia="pt-BR"/>
        </w:rPr>
        <w:t xml:space="preserve"> 898/75 e n</w:t>
      </w:r>
      <w:r w:rsidRPr="00715322">
        <w:rPr>
          <w:vertAlign w:val="superscript"/>
          <w:lang w:eastAsia="pt-BR"/>
        </w:rPr>
        <w:t>o</w:t>
      </w:r>
      <w:r w:rsidRPr="00715322">
        <w:rPr>
          <w:lang w:eastAsia="pt-BR"/>
        </w:rPr>
        <w:t xml:space="preserve"> 1.172/76, que define áreas onde há restrições de uso e ocupação do solo e que são válidas apenas para o território </w:t>
      </w:r>
      <w:r w:rsidR="008733DA">
        <w:rPr>
          <w:lang w:eastAsia="pt-BR"/>
        </w:rPr>
        <w:t>dos municípios pertencentes à RMSP</w:t>
      </w:r>
      <w:r w:rsidRPr="00715322">
        <w:rPr>
          <w:lang w:eastAsia="pt-BR"/>
        </w:rPr>
        <w:t>.</w:t>
      </w:r>
    </w:p>
    <w:p w:rsidR="00715322" w:rsidRPr="00715322" w:rsidRDefault="00715322" w:rsidP="00715322">
      <w:r w:rsidRPr="00715322">
        <w:t>Essas áreas estão lançadas em forma gráfica na coleção de cartas planialtimétricas, em escala 1:10.000, do levantamento aerofotogramétrico do Sistema Cartográfico Metropolitano, efetuado em 1974, registrado no Estado Maior das Forças Armadas, sob nº 5/74, e cujos originais autenticados encontram-se depositados na SMA.</w:t>
      </w:r>
    </w:p>
    <w:p w:rsidR="00DE2980" w:rsidRDefault="0017290C" w:rsidP="00BC0CE6">
      <w:pPr>
        <w:rPr>
          <w:lang w:eastAsia="pt-BR"/>
        </w:rPr>
      </w:pPr>
      <w:r>
        <w:rPr>
          <w:lang w:eastAsia="pt-BR"/>
        </w:rPr>
        <w:t>Não há estudos previstos para a elaboração de PDPA nem Lei Específica de Proteção de Mananciais para as bacias dos reservatórios Atibainha, Cachoeira e Jaguari-Jacareí, integrantes do Sistema Cantareira.</w:t>
      </w:r>
    </w:p>
    <w:p w:rsidR="00BC0CE6" w:rsidRPr="00F05FCB" w:rsidRDefault="008733DA" w:rsidP="00F05FCB">
      <w:pPr>
        <w:pStyle w:val="Ttulo5"/>
        <w:numPr>
          <w:ilvl w:val="0"/>
          <w:numId w:val="38"/>
        </w:numPr>
      </w:pPr>
      <w:r w:rsidRPr="00F05FCB">
        <w:t xml:space="preserve">Bacia </w:t>
      </w:r>
      <w:r w:rsidR="00BC0CE6" w:rsidRPr="00F05FCB">
        <w:t xml:space="preserve">do Reservatório Jaguari – </w:t>
      </w:r>
      <w:r w:rsidRPr="00F05FCB">
        <w:t xml:space="preserve">Futura </w:t>
      </w:r>
      <w:r w:rsidR="00BC0CE6" w:rsidRPr="00F05FCB">
        <w:t>APRM Jaguari</w:t>
      </w:r>
    </w:p>
    <w:p w:rsidR="00BC0CE6" w:rsidRDefault="00BC0CE6" w:rsidP="00BC0CE6">
      <w:r>
        <w:t>A Lei estadual n</w:t>
      </w:r>
      <w:r>
        <w:rPr>
          <w:vertAlign w:val="superscript"/>
        </w:rPr>
        <w:t>o</w:t>
      </w:r>
      <w:r>
        <w:t xml:space="preserve"> 1.172 de 17/11/1976 delimita as áreas de proteção aos mananciais, cursos e reservatórios de água, a que se refere o artigo </w:t>
      </w:r>
      <w:hyperlink r:id="rId235" w:tooltip="Artigo 2 da Lei nº 898 de 18 de Dezembro de 1975 de São Paulo" w:history="1">
        <w:r>
          <w:rPr>
            <w:rStyle w:val="Hyperlink"/>
            <w:color w:val="auto"/>
            <w:u w:val="none"/>
          </w:rPr>
          <w:t>2º</w:t>
        </w:r>
      </w:hyperlink>
      <w:r>
        <w:t xml:space="preserve"> da Lei nº 898/75 (que delimitou as áreas de mananciais da RMSP) e estabelece normas de restrição de uso do solo em tais áreas.</w:t>
      </w:r>
    </w:p>
    <w:p w:rsidR="00BC0CE6" w:rsidRDefault="00BC0CE6" w:rsidP="00BC0CE6">
      <w:r>
        <w:t xml:space="preserve">A bacia do reservatório Jaguari, na porção territorial inserida na RMSP (parcelas dos municípios de Guarulhos, Arujá e Santa Isabel) é um dos mananciais abrangidos pela Lei 1.172/76. O complexo da captação (tomada d’água, estação elevatória, subestação, acessos viários), a linha de transmissão e trecho </w:t>
      </w:r>
      <w:r w:rsidR="007363DD">
        <w:t xml:space="preserve">inicial </w:t>
      </w:r>
      <w:r>
        <w:t>de 3,3 km da adutora da Interligação situam-se em Santa Isabel e na APRM do reservatório Jaguari.</w:t>
      </w:r>
    </w:p>
    <w:p w:rsidR="00BC0CE6" w:rsidRDefault="00BC0CE6" w:rsidP="00BC0CE6">
      <w:r>
        <w:t>N</w:t>
      </w:r>
      <w:r w:rsidR="008733DA">
        <w:t>a</w:t>
      </w:r>
      <w:r>
        <w:t xml:space="preserve"> </w:t>
      </w:r>
      <w:r w:rsidR="008733DA">
        <w:t>classificação territorial d</w:t>
      </w:r>
      <w:r>
        <w:t>a Lei n</w:t>
      </w:r>
      <w:r>
        <w:rPr>
          <w:vertAlign w:val="superscript"/>
        </w:rPr>
        <w:t>o</w:t>
      </w:r>
      <w:r>
        <w:t xml:space="preserve"> 1.172, constituem áreas ou faixas de </w:t>
      </w:r>
      <w:r>
        <w:rPr>
          <w:u w:val="single"/>
        </w:rPr>
        <w:t>1ª categoria</w:t>
      </w:r>
      <w:r>
        <w:t xml:space="preserve">, as ambientalmente sensíveis e com papel importante no processo de produção de água, e onde há restrição máxima quanto ao uso e ocupação. São elas: os corpos de água; a faixa de 50 metros de largura, medida em projeção horizontal, a partir da linha de contorno correspondente ao nível de água máximo dos reservatórios; a faixa de 20 metros de largura, medida em projeção horizontal, a partir da limites do álveo, em cada uma das margens dos rios referidos no artigo </w:t>
      </w:r>
      <w:hyperlink r:id="rId236" w:tooltip="Artigo 2 da Lei nº 898 de 18 de Dezembro de 1975 de São Paulo" w:history="1">
        <w:r>
          <w:rPr>
            <w:rStyle w:val="Hyperlink"/>
            <w:color w:val="auto"/>
            <w:u w:val="none"/>
          </w:rPr>
          <w:t>2º</w:t>
        </w:r>
      </w:hyperlink>
      <w:r>
        <w:t xml:space="preserve"> da referida Lei nº </w:t>
      </w:r>
      <w:hyperlink r:id="rId237" w:tooltip="Lei nº 898, de 18 de dezembro de 1975" w:history="1">
        <w:r>
          <w:rPr>
            <w:rStyle w:val="Hyperlink"/>
            <w:color w:val="auto"/>
            <w:u w:val="none"/>
          </w:rPr>
          <w:t>898</w:t>
        </w:r>
      </w:hyperlink>
      <w:r>
        <w:t xml:space="preserve">; as faixas referentes ás margens dos demais cursos de água conforme a Lei Federal nº </w:t>
      </w:r>
      <w:hyperlink r:id="rId238" w:tooltip="Lei nº 4.771, de 15 de setembro de 1965." w:history="1">
        <w:r>
          <w:rPr>
            <w:rStyle w:val="Hyperlink"/>
            <w:color w:val="auto"/>
            <w:u w:val="none"/>
          </w:rPr>
          <w:t>4.771</w:t>
        </w:r>
      </w:hyperlink>
      <w:r>
        <w:t xml:space="preserve">/75; as áreas cobertas por mata e todas as formas de vegetação primitiva; as áreas com cota inferior a 1,50 metros, medidas a partir do nível máximo dos reservatórios </w:t>
      </w:r>
      <w:r>
        <w:lastRenderedPageBreak/>
        <w:t>públicos; e as áreas onde a declividade média for superior a 60%, calculada a intervalos de 100 metros a partir do nível de água máximo dos reservatórios.</w:t>
      </w:r>
    </w:p>
    <w:p w:rsidR="00BC0CE6" w:rsidRDefault="00BC0CE6" w:rsidP="00BC0CE6">
      <w:r>
        <w:t xml:space="preserve">Constituem áreas ou faixas de </w:t>
      </w:r>
      <w:r>
        <w:rPr>
          <w:u w:val="single"/>
        </w:rPr>
        <w:t>2ª categoria</w:t>
      </w:r>
      <w:r>
        <w:t xml:space="preserve">, todas aquelas que não são de 1º categoria. São áreas com menor grau de restrição de uso, desde que estes sejam implantados de acordo com os parâmetros urbanísticos definidos na lei. São classificadas em: </w:t>
      </w:r>
    </w:p>
    <w:p w:rsidR="00BC0CE6" w:rsidRDefault="00797FA7" w:rsidP="00BC0CE6">
      <w:hyperlink r:id="rId239" w:tooltip="Art. 4, inc. I da Lei 1172/76, São Paulo" w:history="1">
        <w:r w:rsidR="00BC0CE6">
          <w:rPr>
            <w:rStyle w:val="Hyperlink"/>
            <w:color w:val="auto"/>
            <w:u w:val="none"/>
          </w:rPr>
          <w:t xml:space="preserve">I </w:t>
        </w:r>
      </w:hyperlink>
      <w:r w:rsidR="00BC0CE6">
        <w:t>- áreas ou faixas de Classe A (</w:t>
      </w:r>
      <w:r w:rsidR="00BC0CE6">
        <w:rPr>
          <w:rFonts w:ascii="Helvetica" w:hAnsi="Helvetica" w:cs="Helvetica"/>
        </w:rPr>
        <w:t>as áreas arruadas e ocupadas com densidade demográfica bruta superior a 30 habitantes por hectare e demais áreas arruadas à época de edição da lei)</w:t>
      </w:r>
      <w:r w:rsidR="00BC0CE6">
        <w:t xml:space="preserve">; </w:t>
      </w:r>
    </w:p>
    <w:p w:rsidR="00BC0CE6" w:rsidRDefault="00797FA7" w:rsidP="00BC0CE6">
      <w:hyperlink r:id="rId240" w:tooltip="Art. 4, inc. II da Lei 1172/76, São Paulo" w:history="1">
        <w:r w:rsidR="00BC0CE6">
          <w:rPr>
            <w:rStyle w:val="Hyperlink"/>
            <w:color w:val="auto"/>
            <w:u w:val="none"/>
          </w:rPr>
          <w:t xml:space="preserve">II </w:t>
        </w:r>
      </w:hyperlink>
      <w:r w:rsidR="00BC0CE6">
        <w:t xml:space="preserve">- áreas ou faixas de Classe B (áreas </w:t>
      </w:r>
      <w:r w:rsidR="00BC0CE6">
        <w:rPr>
          <w:rFonts w:ascii="Helvetica" w:hAnsi="Helvetica" w:cs="Helvetica"/>
        </w:rPr>
        <w:t>contíguas às de Classe A, delimitadas mediante a aplicação dos critérios constantes do Quadro I da Lei, à época de edição da lei)</w:t>
      </w:r>
      <w:r w:rsidR="00BC0CE6">
        <w:t xml:space="preserve">; </w:t>
      </w:r>
    </w:p>
    <w:p w:rsidR="00BC0CE6" w:rsidRDefault="00797FA7" w:rsidP="00BC0CE6">
      <w:hyperlink r:id="rId241" w:tooltip="Art. 4, inc. III da Lei 1172/76, São Paulo" w:history="1">
        <w:r w:rsidR="00BC0CE6">
          <w:rPr>
            <w:rStyle w:val="Hyperlink"/>
            <w:color w:val="auto"/>
            <w:u w:val="none"/>
          </w:rPr>
          <w:t xml:space="preserve">III </w:t>
        </w:r>
      </w:hyperlink>
      <w:r w:rsidR="00BC0CE6">
        <w:t>- áreas ou faixas de Classe C (</w:t>
      </w:r>
      <w:r w:rsidR="00BC0CE6">
        <w:rPr>
          <w:rFonts w:ascii="Helvetica" w:hAnsi="Helvetica" w:cs="Helvetica"/>
        </w:rPr>
        <w:t>as não compreendidas nas Classe A e B).</w:t>
      </w:r>
    </w:p>
    <w:p w:rsidR="00BC0CE6" w:rsidRDefault="00BC0CE6" w:rsidP="00BC0CE6">
      <w:pPr>
        <w:rPr>
          <w:rFonts w:ascii="Helvetica" w:hAnsi="Helvetica" w:cs="Helvetica"/>
        </w:rPr>
      </w:pPr>
      <w:r>
        <w:rPr>
          <w:rFonts w:ascii="Helvetica" w:hAnsi="Helvetica" w:cs="Helvetica"/>
        </w:rPr>
        <w:t>As águas dos mananciais destinam-se, prioritariamente, ao abastecimento de água.</w:t>
      </w:r>
    </w:p>
    <w:p w:rsidR="00BC0CE6" w:rsidRDefault="00BC0CE6" w:rsidP="00BC0CE6">
      <w:r>
        <w:rPr>
          <w:rFonts w:ascii="Helvetica" w:hAnsi="Helvetica" w:cs="Helvetica"/>
        </w:rPr>
        <w:t>Nas áreas de 1ª categoria, além da utilização das águas para abastecimento humano, são permitidos serviços, obras e edificações destinados à proteção dos mananciais, à regularização de vazões com fins múltiplos e ao controle de cheias; e somente os seguintes usos e atividades: pesca, excursionismo, excetuado o campismo, natação, esporte náuticos, outros esportes ao ar livre, que não importe em instalações permanentes e quaisquer edificações.</w:t>
      </w:r>
    </w:p>
    <w:p w:rsidR="00BC0CE6" w:rsidRDefault="00BC0CE6" w:rsidP="00BC0CE6">
      <w:pPr>
        <w:rPr>
          <w:rFonts w:ascii="Helvetica" w:hAnsi="Helvetica" w:cs="Helvetica"/>
        </w:rPr>
      </w:pPr>
      <w:r>
        <w:rPr>
          <w:rFonts w:ascii="Helvetica" w:hAnsi="Helvetica" w:cs="Helvetica"/>
        </w:rPr>
        <w:t>Nas áreas ou faixas de 2º categoria são permitidos: usos residenciais, industrial, de acordo com a relação das indústrias permitidas pela Cetesb, comercial, com exceção do comércio atacadista, de serviços e institucional, com exceção de hospitais, sanatórios ou outros equipamentos de saúde, de lazer, hortifrutícola e reflorestamento.</w:t>
      </w:r>
    </w:p>
    <w:p w:rsidR="00BC0CE6" w:rsidRDefault="00BC0CE6" w:rsidP="00BC0CE6">
      <w:r>
        <w:t>Nas áreas de Classe A, somente são admitidos parcelamento, loteamento, arruamento, edificação, reforma, ampliação de edificações existentes, instalação de estabelecimentos, alteração de uso ou qualquer outra forma de ocupação, se satisfeitas as seguintes exigências: quota ideal de terreno por unidade residencial, comercial, industrial, de serviços e institucional de, no mínimo, 500m²; máxima Densidade Bruta Equivalente (Dbeq) de 50 ocupantes equivalentes por hectare, índices urbanísticos constantes do Quadro II, anexo à lei.</w:t>
      </w:r>
    </w:p>
    <w:p w:rsidR="00BC0CE6" w:rsidRDefault="00BC0CE6" w:rsidP="00BC0CE6">
      <w:r w:rsidRPr="008733DA">
        <w:t xml:space="preserve">A </w:t>
      </w:r>
      <w:r w:rsidRPr="008733DA">
        <w:rPr>
          <w:b/>
        </w:rPr>
        <w:t xml:space="preserve">Figura 6.4.6-6 </w:t>
      </w:r>
      <w:r w:rsidRPr="008733DA">
        <w:t>registra esse zoneamento de Categorias e Classes na área de influência da Interligação na bacia do reservatório Jaguari em Santa Isabel.</w:t>
      </w:r>
    </w:p>
    <w:p w:rsidR="00BC0CE6" w:rsidRDefault="00BC0CE6" w:rsidP="00BC0CE6">
      <w:r>
        <w:t>Com o objetivo de proteger os mananciais responsáveis pelo abastecimento de água da metrópole, esta legislação, com caráter marcadamente sanitarista e restritivo, procurou frear a ocupação urbana que já existia de forma embrionária, de modo a impedir a poluição das águas pelo uso urbano e intensivo do entorno. A partir deste momento, a gestão metropolitana e a municipal deveriam, em conjunto, controlar o uso e ocupação do solo.</w:t>
      </w:r>
    </w:p>
    <w:p w:rsidR="00BC0CE6" w:rsidRDefault="00BC0CE6" w:rsidP="00BC0CE6">
      <w:r>
        <w:t>A intenção de proteger essas áreas apenas através de medidas restritivas teve efeito contrário ao desejado. As grandes glebas desocupadas, uma vez retiradas do mercado formal de terras, devido às limitações impostas pela legislação ambiental, formaram um estoque significativo de terras baratas que, ao invés de constituír reserva estratégica para a proteção das represas, passaram a aglutinar vantagens para a reprodução do padrão periférico de ocupação urbana. Passaram a representar o espaço possível para o assentamento residencial da população menos favorecida, constituindo periferias precárias e mal servidas de equipamentos públicos e infraestrutura urbana.</w:t>
      </w:r>
    </w:p>
    <w:p w:rsidR="00BC0CE6" w:rsidRDefault="00BC0CE6" w:rsidP="00BC0CE6">
      <w:r>
        <w:t>Este processo conduziu à configuração de ambientes urbanos precários, mal servidos de infraestrutura e de serviços que caracterizam o padrão periférico da expansão urbana na RMSP, o qual também ocorre em porções da APM Jaguari em setores dos municípios de Guarulhos, Arujá e Santa Isabel.</w:t>
      </w:r>
    </w:p>
    <w:p w:rsidR="007938F3" w:rsidRDefault="007938F3">
      <w:pPr>
        <w:spacing w:after="200" w:line="276" w:lineRule="auto"/>
        <w:jc w:val="left"/>
      </w:pPr>
      <w:r>
        <w:br w:type="page"/>
      </w:r>
    </w:p>
    <w:p w:rsidR="007938F3" w:rsidRPr="007938F3" w:rsidRDefault="007938F3" w:rsidP="007938F3">
      <w:pPr>
        <w:rPr>
          <w:b/>
          <w:highlight w:val="yellow"/>
        </w:rPr>
      </w:pPr>
      <w:r w:rsidRPr="007938F3">
        <w:rPr>
          <w:b/>
          <w:highlight w:val="yellow"/>
        </w:rPr>
        <w:lastRenderedPageBreak/>
        <w:t>Figura 6.4.6-6. A Interligação na APM Jaguari em Santa Isabel</w:t>
      </w:r>
    </w:p>
    <w:p w:rsidR="007938F3" w:rsidRDefault="007938F3" w:rsidP="007938F3">
      <w:pPr>
        <w:spacing w:after="200" w:line="276" w:lineRule="auto"/>
        <w:jc w:val="left"/>
      </w:pPr>
      <w:r>
        <w:br w:type="page"/>
      </w:r>
    </w:p>
    <w:p w:rsidR="00BC0CE6" w:rsidRDefault="00BC0CE6" w:rsidP="00BC0CE6">
      <w:r>
        <w:lastRenderedPageBreak/>
        <w:t>As Leis 898/75 e 1.172/76 ainda estão vigentes na bacia do Jaguari na RMSP. De acordo com a Lei n</w:t>
      </w:r>
      <w:r>
        <w:rPr>
          <w:vertAlign w:val="superscript"/>
        </w:rPr>
        <w:t>o</w:t>
      </w:r>
      <w:r>
        <w:t xml:space="preserve"> 9.866/97 (nova lei de proteção de mananciais), toda a bacia do reservatório Jaguari constitui manancial de interesse regional, que deverá ser regido por Lei Específica que estabelecerá uma nova disciplina de zoneamento e de instrumentos de gestão da bacia. Enquanto a Lei Específica não for promulgada, continuam a vigorar as leis de 1975/76.</w:t>
      </w:r>
    </w:p>
    <w:p w:rsidR="00BC0CE6" w:rsidRDefault="00BC0CE6" w:rsidP="00BC0CE6">
      <w:r>
        <w:t>A Secretaria de Estado de Saneamento e Recursos Hídricos contratou recentemente a elaboração de Plano de Desenvolvimento e Proteção Ambiental (PDPA) e o apoio técnico na elaboração e aprovação de Lei Específica para a bacia do reservatório Jaguari. Estima-se que esse processo leve, no mínimo, cerca de 18-24 meses.</w:t>
      </w:r>
    </w:p>
    <w:p w:rsidR="00BC0CE6" w:rsidRDefault="00BC0CE6" w:rsidP="00BC0CE6">
      <w:r>
        <w:t>A Interligação interfere em áreas de 1ª Categoria nos seguintes locais e intervenções:</w:t>
      </w:r>
    </w:p>
    <w:p w:rsidR="00BC0CE6" w:rsidRDefault="00BC0CE6" w:rsidP="00BC0CE6">
      <w:pPr>
        <w:pStyle w:val="PargrafodaLista"/>
        <w:numPr>
          <w:ilvl w:val="0"/>
          <w:numId w:val="29"/>
        </w:numPr>
      </w:pPr>
      <w:r>
        <w:t xml:space="preserve">Na construção da tomada d’água, implantação e posterior remoção de ensecadeira provisória, e escavação dentro do reservatório (próximo da margem); </w:t>
      </w:r>
    </w:p>
    <w:p w:rsidR="00BC0CE6" w:rsidRDefault="00BC0CE6" w:rsidP="00BC0CE6">
      <w:pPr>
        <w:pStyle w:val="PargrafodaLista"/>
        <w:numPr>
          <w:ilvl w:val="0"/>
          <w:numId w:val="29"/>
        </w:numPr>
      </w:pPr>
      <w:r>
        <w:t>Na construção de estação elevatória, trecho de adutora, trecho de acesso viário e descarga de 2ª etapa, na faixa de 50 m na margem do reservatório;</w:t>
      </w:r>
    </w:p>
    <w:p w:rsidR="00BC0CE6" w:rsidRDefault="00BC0CE6" w:rsidP="00BC0CE6">
      <w:pPr>
        <w:pStyle w:val="PargrafodaLista"/>
        <w:numPr>
          <w:ilvl w:val="0"/>
          <w:numId w:val="29"/>
        </w:numPr>
      </w:pPr>
      <w:r>
        <w:t>Na implantação da linha de transmissão, nos trechos na faixa de 50 m em ambas margens e sobre o próprio espelho d’água do reservatório;</w:t>
      </w:r>
    </w:p>
    <w:p w:rsidR="00BC0CE6" w:rsidRDefault="00BC0CE6" w:rsidP="00BC0CE6">
      <w:pPr>
        <w:pStyle w:val="PargrafodaLista"/>
        <w:numPr>
          <w:ilvl w:val="0"/>
          <w:numId w:val="29"/>
        </w:numPr>
      </w:pPr>
      <w:r>
        <w:t>Na execução de travessia de cursos d’água em faixa de 30 m a cada lado, na altura do Km 1,4+20m e Km 1,8+80m;</w:t>
      </w:r>
    </w:p>
    <w:p w:rsidR="00BC0CE6" w:rsidRDefault="00BC0CE6" w:rsidP="00BC0CE6">
      <w:pPr>
        <w:pStyle w:val="PargrafodaLista"/>
        <w:numPr>
          <w:ilvl w:val="0"/>
          <w:numId w:val="29"/>
        </w:numPr>
      </w:pPr>
      <w:r>
        <w:t>Setores em que a faixa de intervenção ocupa parte da APP de curso d’água, mesmo que a adutora não atravesse o córrego;</w:t>
      </w:r>
    </w:p>
    <w:p w:rsidR="00BC0CE6" w:rsidRDefault="00BC0CE6" w:rsidP="00BC0CE6">
      <w:pPr>
        <w:pStyle w:val="PargrafodaLista"/>
        <w:numPr>
          <w:ilvl w:val="0"/>
          <w:numId w:val="29"/>
        </w:numPr>
      </w:pPr>
      <w:r>
        <w:t>Setores onde se requer a supressão de mata (vegetação nativa em estágio médio ou avançado de regeneração), como no caso de algumas bordas de fragmentos florestais e a clareira para implantação de tubulação de descarga na altura do Km 2,8+60m.</w:t>
      </w:r>
    </w:p>
    <w:p w:rsidR="00BC0CE6" w:rsidRDefault="00BC0CE6" w:rsidP="00BC0CE6">
      <w:r>
        <w:t xml:space="preserve">Conforme o Art. 11 da Lei 1.172/76 nas áreas de 1ª categoria ficam proibidos o desmatamento, a remoção da cobertura vegetal existente e a movimentação de terra, inclusive empréstimos e bota-fora, </w:t>
      </w:r>
      <w:r>
        <w:rPr>
          <w:u w:val="single"/>
        </w:rPr>
        <w:t>a menos que</w:t>
      </w:r>
      <w:r>
        <w:t xml:space="preserve"> se destinem aos serviços, obras e dificações mencionadas no Art. 10 [que são: serviços, obras e edificações destinados à proteção dos mananciais, à regularização de vazões com fins múltiplos, ao controle de cheias e à utilização de águas prevista no Art. 8º, o qual dispõe que “As águas ..., destinam-se, prioritariamente ao abastecimento de água”].</w:t>
      </w:r>
    </w:p>
    <w:p w:rsidR="00BC0CE6" w:rsidRDefault="00BC0CE6" w:rsidP="00BC0CE6">
      <w:r>
        <w:t>Portanto, a Lei 1.172/76 explicitamente admite a supressão de vegetação, movimento de terra e a execução de obras e serviços em áreas de 1ª categoria para implantação de sistemas de abastecimento de água, como é o caso da Interligação.</w:t>
      </w:r>
    </w:p>
    <w:p w:rsidR="00BC0CE6" w:rsidRDefault="00BC0CE6" w:rsidP="00BC0CE6">
      <w:r>
        <w:t>Destaca-se que o Projeto da Interligação não servirá ao abastecimento público na APM do reservatório Jaguari, com o que não se aplicam as restrições da lei quanto às áreas e faixas em APM que podem ser atendidas pelos sistemas de abastecimento público de água.</w:t>
      </w:r>
    </w:p>
    <w:p w:rsidR="00BC0CE6" w:rsidRDefault="00BC0CE6" w:rsidP="00BC0CE6">
      <w:r>
        <w:t>Conforme o Decreto n</w:t>
      </w:r>
      <w:r>
        <w:rPr>
          <w:vertAlign w:val="superscript"/>
        </w:rPr>
        <w:t>o</w:t>
      </w:r>
      <w:r>
        <w:t xml:space="preserve"> 9.714/77, que aprova o Regulamento da Leis 898/75 e 1.172/76, Art. 10º </w:t>
      </w:r>
      <w:r>
        <w:rPr>
          <w:rFonts w:cs="Arial"/>
        </w:rPr>
        <w:t>§</w:t>
      </w:r>
      <w:r>
        <w:t xml:space="preserve"> 2º, as obras de infraestrutura sanitária e viária em APM deverão atender os requisitos mínimos estabelecidos nos artigos 23, 24 e 25 da Lei 1.172/76, atinentes à questão dos efluentes líquidos sanitários.</w:t>
      </w:r>
    </w:p>
    <w:p w:rsidR="00BC0CE6" w:rsidRDefault="00BC0CE6" w:rsidP="00BC0CE6">
      <w:r>
        <w:t>Por outro lado, o Art. 11 do Regulamento dispõe que, nas áreas de proteção, o licenciamento das atividades e a realização das obras referidas no Art. 10º ficarão sujeitos às seguintes exigências:</w:t>
      </w:r>
    </w:p>
    <w:p w:rsidR="00BC0CE6" w:rsidRDefault="00BC0CE6" w:rsidP="00BC0CE6">
      <w:r>
        <w:t>I – destinação e uso da área perfeitamente caracterizados e expressos nos projetos e documentos submetidos a aprovação;</w:t>
      </w:r>
    </w:p>
    <w:p w:rsidR="00BC0CE6" w:rsidRDefault="00BC0CE6" w:rsidP="00BC0CE6">
      <w:r>
        <w:t>II – apresentação, nos projetos, de solução adequada para a coleta, tratamento e destino final dos resíduos sólidos, líquidos ou gasosos produzidos pelas atividades que se propõem a exercer ou desenvolver nas áreas;</w:t>
      </w:r>
    </w:p>
    <w:p w:rsidR="00BC0CE6" w:rsidRDefault="00BC0CE6" w:rsidP="00BC0CE6">
      <w:r>
        <w:t>III – apresentação, nos projetos, de solução adequada relativamente aos problemas de erosão e de escoamento das águas, inclusive as pluviais.</w:t>
      </w:r>
    </w:p>
    <w:p w:rsidR="00BC0CE6" w:rsidRDefault="00BC0CE6" w:rsidP="00BC0CE6">
      <w:r>
        <w:lastRenderedPageBreak/>
        <w:t>As diretrizes e medidas do Programa de Controle Ambiental de Obras (PCA) da Interligação prevêm soluções e projetos de engenharia perfeitamente aderentes às exigências da Lei 1.172/76 e do seu Regulamento, tanto nas atividades de obra quanto na operação do sistema.</w:t>
      </w:r>
    </w:p>
    <w:p w:rsidR="00BC0CE6" w:rsidRDefault="00BC0CE6" w:rsidP="00BC0CE6">
      <w:r>
        <w:t>Conclui-se, portanto, que o Projeto da Interligação é consistente, em termos de concepção e localização, com as leis que regulam a proteção de mananciais na bacia do reservatório Jaguari, no município de Santa Isabel. O projeto executivo do Sistema e o detalhamento dos programas ambientais deverão atender as exigências específicas da Lei e Regulamento.</w:t>
      </w:r>
    </w:p>
    <w:p w:rsidR="00BC0CE6" w:rsidRDefault="00BC0CE6" w:rsidP="00BC0CE6">
      <w:r>
        <w:t>A nova Lei Específica deverá adequar</w:t>
      </w:r>
      <w:r w:rsidR="007722B6">
        <w:t>-se</w:t>
      </w:r>
      <w:r>
        <w:t xml:space="preserve"> à Lei 9.866/97, que dispõe sobre diretrizes e normas para a proteção e recuperação das bacias hidrográficas dos mananciais de interesse regional do Estado de São Paulo. Esta lei alterou a postura pública diante do fato consumado e irreversível da ocupação urbana nas áreas de mananciais. Ela reconhece a existência de áreas efetivamente consolidadas nas APMs, e que devem ser tratadas de forma diferenciada, daquelas que ainda não apresentam ocupação significativa e que devem ser preservadas e fiscalizadas adequadamente.</w:t>
      </w:r>
    </w:p>
    <w:p w:rsidR="00BC0CE6" w:rsidRDefault="00BC0CE6" w:rsidP="00BC0CE6">
      <w:r>
        <w:t>A Lei Específica para a APRM Jaguari (a bacia toda do reservatório, não só a porção inserida na RMSP) deverá definir e delimitar as seguintes Áreas de Intervenção:</w:t>
      </w:r>
    </w:p>
    <w:p w:rsidR="00BC0CE6" w:rsidRDefault="00BC0CE6" w:rsidP="00BC0CE6">
      <w:pPr>
        <w:rPr>
          <w:rFonts w:cs="Arial"/>
        </w:rPr>
      </w:pPr>
      <w:r>
        <w:rPr>
          <w:rFonts w:cs="Arial"/>
        </w:rPr>
        <w:t>I - Áreas de Restrição à Ocupação (aquelas de interesse para a proteção dos mananciais e para a preservação, conservação e recuperação dos recursos naturais);</w:t>
      </w:r>
    </w:p>
    <w:p w:rsidR="00BC0CE6" w:rsidRDefault="00BC0CE6" w:rsidP="00BC0CE6">
      <w:pPr>
        <w:rPr>
          <w:rFonts w:cs="Arial"/>
        </w:rPr>
      </w:pPr>
      <w:r>
        <w:rPr>
          <w:rFonts w:cs="Arial"/>
        </w:rPr>
        <w:t>II - Áreas de Ocupação Dirigida (aquelas de interesse para a consolidação ou implantação de usos rurais e urbanos, desde que atendidos os requisitos que garantam a manutenção das condições ambientais necessárias à produção de água em quantidade e qualidade para o abastecimento das populações atuais e futuras); e</w:t>
      </w:r>
    </w:p>
    <w:p w:rsidR="00BC0CE6" w:rsidRDefault="00BC0CE6" w:rsidP="00BC0CE6">
      <w:pPr>
        <w:rPr>
          <w:rFonts w:cs="Arial"/>
        </w:rPr>
      </w:pPr>
      <w:r>
        <w:rPr>
          <w:rFonts w:cs="Arial"/>
        </w:rPr>
        <w:t>III - Áreas de Recuperação Ambiental (aquelas cujos usos e ocupações estejam comprometendo a fluidez, potabilidade, quantidade e qualidade dos mananciais de abastecimento público e que necessitem de intervenção de caráter corretivo).</w:t>
      </w:r>
    </w:p>
    <w:p w:rsidR="00BC0CE6" w:rsidRDefault="00BC0CE6" w:rsidP="00BC0CE6">
      <w:pPr>
        <w:rPr>
          <w:rFonts w:cs="Arial"/>
        </w:rPr>
      </w:pPr>
      <w:r>
        <w:rPr>
          <w:rFonts w:cs="Arial"/>
        </w:rPr>
        <w:t>Esas duas últimas Áreas de Intervenção podem ser subdivididas internamente e correspondem aproximadamente às de 2ª Categoria da Lei 1.172/76.</w:t>
      </w:r>
    </w:p>
    <w:p w:rsidR="00BC0CE6" w:rsidRDefault="00BC0CE6" w:rsidP="00BC0CE6">
      <w:pPr>
        <w:rPr>
          <w:rFonts w:cs="Arial"/>
        </w:rPr>
      </w:pPr>
      <w:r>
        <w:rPr>
          <w:rFonts w:cs="Arial"/>
        </w:rPr>
        <w:t xml:space="preserve">O Plano Diretor de Santa Isabel, instituído pela Lei Complementar nº 106, de 09/04/2007 procurou seguir em seu zoneamento esta legislação estadual. Como descrito no </w:t>
      </w:r>
      <w:r>
        <w:rPr>
          <w:rFonts w:cs="Arial"/>
          <w:b/>
        </w:rPr>
        <w:t>Capítulo 6</w:t>
      </w:r>
      <w:r>
        <w:rPr>
          <w:rFonts w:cs="Arial"/>
        </w:rPr>
        <w:t xml:space="preserve">, item </w:t>
      </w:r>
      <w:r>
        <w:rPr>
          <w:rFonts w:cs="Arial"/>
          <w:b/>
        </w:rPr>
        <w:t>6.5.5.1</w:t>
      </w:r>
      <w:r>
        <w:rPr>
          <w:rFonts w:cs="Arial"/>
        </w:rPr>
        <w:t xml:space="preserve"> e mapeado na </w:t>
      </w:r>
      <w:r>
        <w:rPr>
          <w:rFonts w:cs="Arial"/>
          <w:b/>
        </w:rPr>
        <w:t>Figura 6.5.6</w:t>
      </w:r>
      <w:r>
        <w:rPr>
          <w:rFonts w:cs="Arial"/>
        </w:rPr>
        <w:t>, o Macrozoneamento definido para o município tem como objetivo seu ordenamento territorial de forma a garantir:</w:t>
      </w:r>
    </w:p>
    <w:p w:rsidR="00BC0CE6" w:rsidRDefault="00BC0CE6" w:rsidP="00BC0CE6">
      <w:pPr>
        <w:rPr>
          <w:rFonts w:cs="Arial"/>
        </w:rPr>
      </w:pPr>
      <w:r>
        <w:rPr>
          <w:rFonts w:cs="Arial"/>
        </w:rPr>
        <w:t xml:space="preserve">I - a preservação da qualidade da água do reservatório do rio Jaguari; </w:t>
      </w:r>
    </w:p>
    <w:p w:rsidR="00BC0CE6" w:rsidRDefault="00BC0CE6" w:rsidP="00BC0CE6">
      <w:pPr>
        <w:rPr>
          <w:rFonts w:cs="Arial"/>
        </w:rPr>
      </w:pPr>
      <w:r>
        <w:rPr>
          <w:rFonts w:cs="Arial"/>
        </w:rPr>
        <w:t>II - o desenvolvimento das potencialidades turísticas do município;</w:t>
      </w:r>
    </w:p>
    <w:p w:rsidR="00BC0CE6" w:rsidRDefault="00BC0CE6" w:rsidP="00BC0CE6">
      <w:pPr>
        <w:rPr>
          <w:rFonts w:cs="Arial"/>
        </w:rPr>
      </w:pPr>
      <w:r>
        <w:rPr>
          <w:rFonts w:cs="Arial"/>
        </w:rPr>
        <w:t>III - a contenção do espraiamento indesejável da área urbana;</w:t>
      </w:r>
    </w:p>
    <w:p w:rsidR="00BC0CE6" w:rsidRDefault="00BC0CE6" w:rsidP="00BC0CE6">
      <w:pPr>
        <w:rPr>
          <w:rFonts w:cs="Arial"/>
        </w:rPr>
      </w:pPr>
      <w:r>
        <w:rPr>
          <w:rFonts w:cs="Arial"/>
        </w:rPr>
        <w:t>IV - o desenvolvimento de núcleos isolados de apoio urbano.</w:t>
      </w:r>
    </w:p>
    <w:p w:rsidR="00BC0CE6" w:rsidRDefault="00BC0CE6" w:rsidP="00BC0CE6">
      <w:pPr>
        <w:rPr>
          <w:rFonts w:cs="Arial"/>
        </w:rPr>
      </w:pPr>
      <w:r>
        <w:rPr>
          <w:rFonts w:cs="Arial"/>
        </w:rPr>
        <w:t>O macrozoneamento divide o território do Município em três tipos de macrozonas, na forma estabelecida no artigo 12 da Lei Estadual nº 9.866/97:</w:t>
      </w:r>
    </w:p>
    <w:p w:rsidR="00BC0CE6" w:rsidRDefault="00BC0CE6" w:rsidP="00BC0CE6">
      <w:pPr>
        <w:rPr>
          <w:rFonts w:cs="Arial"/>
        </w:rPr>
      </w:pPr>
      <w:r>
        <w:rPr>
          <w:rFonts w:cs="Arial"/>
        </w:rPr>
        <w:t>I - Macrozona de Restrição à Ocupação;</w:t>
      </w:r>
    </w:p>
    <w:p w:rsidR="00BC0CE6" w:rsidRDefault="00BC0CE6" w:rsidP="00BC0CE6">
      <w:pPr>
        <w:rPr>
          <w:rFonts w:cs="Arial"/>
        </w:rPr>
      </w:pPr>
      <w:r>
        <w:rPr>
          <w:rFonts w:cs="Arial"/>
        </w:rPr>
        <w:t>II - Macrozona de Ocupação Dirigida, e</w:t>
      </w:r>
    </w:p>
    <w:p w:rsidR="00BC0CE6" w:rsidRDefault="00BC0CE6" w:rsidP="00BC0CE6">
      <w:pPr>
        <w:rPr>
          <w:rFonts w:cs="Arial"/>
        </w:rPr>
      </w:pPr>
      <w:r>
        <w:rPr>
          <w:rFonts w:cs="Arial"/>
        </w:rPr>
        <w:t>III - Macrozona de Recuperação Ambiental.</w:t>
      </w:r>
    </w:p>
    <w:p w:rsidR="00BC0CE6" w:rsidRDefault="00BC0CE6" w:rsidP="00BC0CE6">
      <w:pPr>
        <w:rPr>
          <w:rFonts w:cs="Arial"/>
        </w:rPr>
      </w:pPr>
      <w:r>
        <w:rPr>
          <w:rFonts w:cs="Arial"/>
        </w:rPr>
        <w:t>Pelo Plano Diretor, a captação, estação elevatória, subestação de energia, LT e o trecho inicial de 0,815 km da adutora de água bruta situam-se na</w:t>
      </w:r>
      <w:r>
        <w:rPr>
          <w:rFonts w:cs="Arial"/>
          <w:color w:val="000000"/>
        </w:rPr>
        <w:t xml:space="preserve"> Macrozona de Ocupação Dirigida e na Subárea Envoltória do Reservatório do Jaguari</w:t>
      </w:r>
      <w:r>
        <w:rPr>
          <w:rFonts w:cs="Arial"/>
        </w:rPr>
        <w:t>, onde não há incompatibilidade de usos uma vez que elas se destinam ao abastecimento humano.</w:t>
      </w:r>
    </w:p>
    <w:p w:rsidR="00BC0CE6" w:rsidRDefault="00BC0CE6" w:rsidP="00BC0CE6">
      <w:pPr>
        <w:rPr>
          <w:rFonts w:cs="Arial"/>
        </w:rPr>
      </w:pPr>
      <w:r>
        <w:rPr>
          <w:rFonts w:cs="Arial"/>
        </w:rPr>
        <w:t xml:space="preserve">Na sequência, a adutora atravessa por cerca de 2,5 km a Macrozona de Ocupação Dirigida, na Subárea de Desenvolvimento Rural e de Apoio ao Turismo, onde também não há </w:t>
      </w:r>
      <w:r>
        <w:rPr>
          <w:rFonts w:cs="Arial"/>
        </w:rPr>
        <w:lastRenderedPageBreak/>
        <w:t>incompatibilidade de usos, uma vez que a adutora seguirá enterrada por estradas vicinais existentes, não interferindo com usos de lazer e rurais.</w:t>
      </w:r>
    </w:p>
    <w:p w:rsidR="00BC0CE6" w:rsidRDefault="00BC0CE6" w:rsidP="00BC0CE6">
      <w:pPr>
        <w:rPr>
          <w:rFonts w:cs="Arial"/>
        </w:rPr>
      </w:pPr>
      <w:r>
        <w:rPr>
          <w:rFonts w:cs="Arial"/>
        </w:rPr>
        <w:t xml:space="preserve">No entanto, tanto essas Macrozonas como as subáreas em que cada uma se subdivide deverão ser definidas pela futura Lei Específica da APRM Jaguari e esse Plano Diretor deverá ser compatibilizado com ela. </w:t>
      </w:r>
    </w:p>
    <w:p w:rsidR="00BC0CE6" w:rsidRPr="00D217AA" w:rsidRDefault="008733DA" w:rsidP="007938F3">
      <w:pPr>
        <w:pStyle w:val="Ttulo5"/>
        <w:numPr>
          <w:ilvl w:val="0"/>
          <w:numId w:val="38"/>
        </w:numPr>
      </w:pPr>
      <w:r w:rsidRPr="00D217AA">
        <w:t xml:space="preserve">Bacia </w:t>
      </w:r>
      <w:r w:rsidR="00BC0CE6" w:rsidRPr="00D217AA">
        <w:t xml:space="preserve">do Reservatório </w:t>
      </w:r>
      <w:r w:rsidRPr="00D217AA">
        <w:t xml:space="preserve">Paiva Castro </w:t>
      </w:r>
      <w:r w:rsidR="00BC0CE6" w:rsidRPr="00D217AA">
        <w:t xml:space="preserve">– </w:t>
      </w:r>
      <w:r w:rsidRPr="00D217AA">
        <w:t xml:space="preserve">Futura </w:t>
      </w:r>
      <w:r w:rsidR="00BC0CE6" w:rsidRPr="00D217AA">
        <w:t>APRM Alto Juquery</w:t>
      </w:r>
    </w:p>
    <w:p w:rsidR="00BC0CE6" w:rsidRPr="00D217AA" w:rsidRDefault="008733DA" w:rsidP="00BC0CE6">
      <w:r w:rsidRPr="00D217AA">
        <w:t xml:space="preserve">O reservatório Paiva Castro, </w:t>
      </w:r>
      <w:r w:rsidR="00BC0CE6" w:rsidRPr="00D217AA">
        <w:t xml:space="preserve">componente do Sistema Cantareira, </w:t>
      </w:r>
      <w:r w:rsidRPr="00D217AA">
        <w:t xml:space="preserve">recebe as águas derivadas de outras três </w:t>
      </w:r>
      <w:r w:rsidR="00BC0CE6" w:rsidRPr="00D217AA">
        <w:t>represas, interligadas por túneis e canais: Jaguarí-Jacareí, Cachoeira</w:t>
      </w:r>
      <w:r w:rsidRPr="00D217AA">
        <w:t xml:space="preserve"> e</w:t>
      </w:r>
      <w:r w:rsidR="00BC0CE6" w:rsidRPr="00D217AA">
        <w:t xml:space="preserve"> Atibainha. Para garantir a qualidade desse manancial, a </w:t>
      </w:r>
      <w:r w:rsidR="00E14E2B" w:rsidRPr="00D217AA">
        <w:t>SMA</w:t>
      </w:r>
      <w:r w:rsidRPr="00D217AA">
        <w:t>-SP</w:t>
      </w:r>
      <w:r w:rsidR="00E14E2B" w:rsidRPr="00D217AA">
        <w:t xml:space="preserve"> elaborou o</w:t>
      </w:r>
      <w:r w:rsidR="00BC0CE6" w:rsidRPr="00D217AA">
        <w:t xml:space="preserve"> Projeto de Lei n</w:t>
      </w:r>
      <w:r w:rsidR="00E14E2B" w:rsidRPr="00D217AA">
        <w:rPr>
          <w:vertAlign w:val="superscript"/>
        </w:rPr>
        <w:t>o</w:t>
      </w:r>
      <w:r w:rsidR="00BC0CE6" w:rsidRPr="00D217AA">
        <w:t xml:space="preserve"> 272/10 que </w:t>
      </w:r>
      <w:r w:rsidRPr="00D217AA">
        <w:t xml:space="preserve">institui a Área de Proteção e Recuperação de Manancial Alto Juquery (APRM-AJ) e </w:t>
      </w:r>
      <w:r w:rsidR="00BC0CE6" w:rsidRPr="00D217AA">
        <w:t xml:space="preserve">propõe legislação </w:t>
      </w:r>
      <w:r w:rsidRPr="00D217AA">
        <w:t>e</w:t>
      </w:r>
      <w:r w:rsidR="00BC0CE6" w:rsidRPr="00D217AA">
        <w:t xml:space="preserve">specífica </w:t>
      </w:r>
      <w:r w:rsidRPr="00D217AA">
        <w:t>para a mesma</w:t>
      </w:r>
      <w:r w:rsidR="00BC0CE6" w:rsidRPr="00D217AA">
        <w:t xml:space="preserve">. </w:t>
      </w:r>
    </w:p>
    <w:p w:rsidR="00BC0CE6" w:rsidRPr="00D217AA" w:rsidRDefault="007722B6" w:rsidP="00BC0CE6">
      <w:r w:rsidRPr="00D217AA">
        <w:t>O projeto de Lei n</w:t>
      </w:r>
      <w:r w:rsidRPr="00D217AA">
        <w:rPr>
          <w:vertAlign w:val="superscript"/>
        </w:rPr>
        <w:t>o</w:t>
      </w:r>
      <w:r w:rsidR="00BC0CE6" w:rsidRPr="00D217AA">
        <w:t xml:space="preserve"> 272/10 foi encaminhado pelo Governador do Estado à Assembléia Legislativa em 30/03/2010. </w:t>
      </w:r>
      <w:r w:rsidR="00D217AA" w:rsidRPr="00D217AA">
        <w:t xml:space="preserve">O projeto </w:t>
      </w:r>
      <w:r w:rsidR="00BC0CE6" w:rsidRPr="00D217AA">
        <w:t>está em tramitação na Comissão de Meio Ambiente e Desenvolvimento Sustentável da</w:t>
      </w:r>
      <w:r w:rsidRPr="00D217AA">
        <w:t xml:space="preserve"> Assembléia Legislativa</w:t>
      </w:r>
      <w:r w:rsidR="00BC0CE6" w:rsidRPr="00D217AA">
        <w:t xml:space="preserve">. Nesse tempo foram realizadas duas audiências púbicas para debate do Projeto de Lei: </w:t>
      </w:r>
      <w:r w:rsidR="00D217AA" w:rsidRPr="00D217AA">
        <w:t xml:space="preserve">(i) </w:t>
      </w:r>
      <w:r w:rsidRPr="00D217AA">
        <w:t>n</w:t>
      </w:r>
      <w:r w:rsidR="00BC0CE6" w:rsidRPr="00D217AA">
        <w:t xml:space="preserve">a primeira, em 26/10/2011 em Mairiporâ, surgiram duas reivindicações da sociedade local: regularização das moradias próximas ao reservatório Paiva Castro e implantação da rede coletora e tratamento de esgotos pela Sabesp; </w:t>
      </w:r>
      <w:r w:rsidR="00D217AA" w:rsidRPr="00D217AA">
        <w:t xml:space="preserve">(ii) </w:t>
      </w:r>
      <w:r w:rsidRPr="00D217AA">
        <w:t>n</w:t>
      </w:r>
      <w:r w:rsidR="00BC0CE6" w:rsidRPr="00D217AA">
        <w:t>a segunda, em 10/03/2014 em Franco da Rocha, constou o debate de projeto substitutivo ao referido Projeto de Lei, que buscou incorporar reivindações surgidas ao longo desse período.</w:t>
      </w:r>
    </w:p>
    <w:p w:rsidR="00BC0CE6" w:rsidRPr="00D217AA" w:rsidRDefault="00D217AA" w:rsidP="00BC0CE6">
      <w:pPr>
        <w:rPr>
          <w:b/>
        </w:rPr>
      </w:pPr>
      <w:r w:rsidRPr="00D217AA">
        <w:t>O</w:t>
      </w:r>
      <w:r w:rsidR="00BC0CE6" w:rsidRPr="00D217AA">
        <w:t xml:space="preserve">s limites dessa </w:t>
      </w:r>
      <w:r w:rsidRPr="00D217AA">
        <w:t xml:space="preserve">futura </w:t>
      </w:r>
      <w:r w:rsidR="00BC0CE6" w:rsidRPr="00D217AA">
        <w:t>APRM não abrangem a área de in</w:t>
      </w:r>
      <w:r w:rsidRPr="00D217AA">
        <w:t>f</w:t>
      </w:r>
      <w:r w:rsidR="00BC0CE6" w:rsidRPr="00D217AA">
        <w:t xml:space="preserve">luência da Interligação. A APRM em discussão abrange apenas a porção </w:t>
      </w:r>
      <w:r w:rsidR="00150176" w:rsidRPr="00D217AA">
        <w:t>onde se situa</w:t>
      </w:r>
      <w:r w:rsidR="007722B6" w:rsidRPr="00D217AA">
        <w:t>m</w:t>
      </w:r>
      <w:r w:rsidR="00150176" w:rsidRPr="00D217AA">
        <w:t xml:space="preserve"> as nascentes do Rio Juquery, a </w:t>
      </w:r>
      <w:r w:rsidR="00BC0CE6" w:rsidRPr="00D217AA">
        <w:t>sudoeste do município d</w:t>
      </w:r>
      <w:r w:rsidR="00150176" w:rsidRPr="00D217AA">
        <w:t>e Nazar</w:t>
      </w:r>
      <w:r w:rsidR="007722B6" w:rsidRPr="00D217AA">
        <w:t>é</w:t>
      </w:r>
      <w:r w:rsidR="00150176" w:rsidRPr="00D217AA">
        <w:t xml:space="preserve"> Paulista</w:t>
      </w:r>
      <w:r w:rsidR="00BC0CE6" w:rsidRPr="00D217AA">
        <w:t xml:space="preserve">, como registra a </w:t>
      </w:r>
      <w:r w:rsidR="00BC0CE6" w:rsidRPr="00D217AA">
        <w:rPr>
          <w:b/>
        </w:rPr>
        <w:t>Figura 6.4.6-7.</w:t>
      </w:r>
    </w:p>
    <w:p w:rsidR="00BC0CE6" w:rsidRDefault="00BC0CE6" w:rsidP="00BC0CE6">
      <w:r w:rsidRPr="00D217AA">
        <w:t xml:space="preserve">Assim, na área </w:t>
      </w:r>
      <w:bookmarkStart w:id="158" w:name="_GoBack"/>
      <w:bookmarkEnd w:id="158"/>
      <w:r w:rsidRPr="00D217AA">
        <w:t xml:space="preserve">de intervenção da Interligação </w:t>
      </w:r>
      <w:r w:rsidR="007722B6" w:rsidRPr="00D217AA">
        <w:t>em Nazaré</w:t>
      </w:r>
      <w:r w:rsidR="00150176" w:rsidRPr="00D217AA">
        <w:t xml:space="preserve"> Paulista </w:t>
      </w:r>
      <w:r w:rsidRPr="00D217AA">
        <w:t>não se aplicam os dispositivos das antigas leis de mananciais (</w:t>
      </w:r>
      <w:r w:rsidRPr="00D217AA">
        <w:rPr>
          <w:lang w:eastAsia="pt-BR"/>
        </w:rPr>
        <w:t>n</w:t>
      </w:r>
      <w:r w:rsidR="007722B6" w:rsidRPr="00D217AA">
        <w:rPr>
          <w:vertAlign w:val="superscript"/>
          <w:lang w:eastAsia="pt-BR"/>
        </w:rPr>
        <w:t>o</w:t>
      </w:r>
      <w:r w:rsidRPr="00D217AA">
        <w:rPr>
          <w:lang w:eastAsia="pt-BR"/>
        </w:rPr>
        <w:t xml:space="preserve"> 898/75 e n</w:t>
      </w:r>
      <w:r w:rsidR="007722B6" w:rsidRPr="00D217AA">
        <w:rPr>
          <w:vertAlign w:val="superscript"/>
          <w:lang w:eastAsia="pt-BR"/>
        </w:rPr>
        <w:t>o</w:t>
      </w:r>
      <w:r w:rsidRPr="00D217AA">
        <w:rPr>
          <w:lang w:eastAsia="pt-BR"/>
        </w:rPr>
        <w:t xml:space="preserve"> 1.172/76)</w:t>
      </w:r>
      <w:r w:rsidRPr="00D217AA">
        <w:t>, nem o Projeto de Lei n</w:t>
      </w:r>
      <w:r w:rsidR="007722B6" w:rsidRPr="00D217AA">
        <w:rPr>
          <w:vertAlign w:val="superscript"/>
        </w:rPr>
        <w:t>o</w:t>
      </w:r>
      <w:r w:rsidRPr="00D217AA">
        <w:t xml:space="preserve"> 272/10.</w:t>
      </w:r>
    </w:p>
    <w:p w:rsidR="00BC0CE6" w:rsidRDefault="00BC0CE6" w:rsidP="00BC0CE6">
      <w:pPr>
        <w:pStyle w:val="Quadro"/>
      </w:pPr>
      <w:r w:rsidRPr="003B5DCD">
        <w:t>Figura 6.4.6-7</w:t>
      </w:r>
      <w:r w:rsidR="007938F3" w:rsidRPr="003B5DCD">
        <w:t>.</w:t>
      </w:r>
      <w:r w:rsidRPr="003B5DCD">
        <w:t xml:space="preserve"> </w:t>
      </w:r>
      <w:r w:rsidR="00CE7535" w:rsidRPr="003B5DCD">
        <w:t>Localização da futura APRM Alto Juquery e a Interligação</w:t>
      </w:r>
    </w:p>
    <w:p w:rsidR="00AE4A6B" w:rsidRDefault="00797FA7" w:rsidP="003B5DCD">
      <w:pPr>
        <w:jc w:val="center"/>
        <w:rPr>
          <w:rFonts w:cs="Arial"/>
        </w:rPr>
      </w:pPr>
      <w:r w:rsidRPr="00797FA7">
        <w:rPr>
          <w:rFonts w:cs="Arial"/>
          <w:noProof/>
          <w:bdr w:val="single" w:sz="8" w:space="0" w:color="auto" w:shadow="1"/>
          <w:lang w:eastAsia="pt-BR"/>
        </w:rPr>
        <w:drawing>
          <wp:inline distT="0" distB="0" distL="0" distR="0">
            <wp:extent cx="5939790" cy="3286554"/>
            <wp:effectExtent l="19050" t="19050" r="22860" b="28575"/>
            <wp:docPr id="11673" name="Imagem 11673" descr="\\PRIME-00\Arquivos\10_Sabesp\09_Jaguari\EIA\EIA etapa EIA-RIMA\Figuras SIG\Fig_ _Bacia_Juquery_T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RIME-00\Arquivos\10_Sabesp\09_Jaguari\EIA\EIA etapa EIA-RIMA\Figuras SIG\Fig_ _Bacia_Juquery_TXT.pn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939790" cy="3286554"/>
                    </a:xfrm>
                    <a:prstGeom prst="rect">
                      <a:avLst/>
                    </a:prstGeom>
                    <a:noFill/>
                    <a:ln>
                      <a:solidFill>
                        <a:schemeClr val="accent1"/>
                      </a:solidFill>
                    </a:ln>
                    <a:effectLst>
                      <a:softEdge rad="12700"/>
                    </a:effectLst>
                  </pic:spPr>
                </pic:pic>
              </a:graphicData>
            </a:graphic>
          </wp:inline>
        </w:drawing>
      </w:r>
    </w:p>
    <w:p w:rsidR="007938F3" w:rsidRDefault="007938F3">
      <w:pPr>
        <w:spacing w:after="200" w:line="276" w:lineRule="auto"/>
        <w:jc w:val="left"/>
        <w:rPr>
          <w:rFonts w:eastAsia="MS Mincho" w:cs="Times New Roman"/>
          <w:b/>
          <w:bCs/>
          <w:szCs w:val="20"/>
          <w:lang w:eastAsia="pt-BR"/>
        </w:rPr>
      </w:pPr>
      <w:r>
        <w:rPr>
          <w:rFonts w:eastAsia="MS Mincho"/>
        </w:rPr>
        <w:br w:type="page"/>
      </w:r>
    </w:p>
    <w:p w:rsidR="000D0D7C" w:rsidRDefault="000D0D7C" w:rsidP="000D0D7C">
      <w:pPr>
        <w:pStyle w:val="Ttulo4"/>
        <w:rPr>
          <w:rFonts w:eastAsia="MS Mincho"/>
        </w:rPr>
      </w:pPr>
      <w:bookmarkStart w:id="159" w:name="_Toc411871221"/>
      <w:r>
        <w:rPr>
          <w:rFonts w:eastAsia="MS Mincho"/>
        </w:rPr>
        <w:lastRenderedPageBreak/>
        <w:t>Interf</w:t>
      </w:r>
      <w:r w:rsidR="00784F95">
        <w:rPr>
          <w:rFonts w:eastAsia="MS Mincho"/>
        </w:rPr>
        <w:t>ace</w:t>
      </w:r>
      <w:r>
        <w:rPr>
          <w:rFonts w:eastAsia="MS Mincho"/>
        </w:rPr>
        <w:t xml:space="preserve"> do Projeto com a APA Federal Mananciais do Paraíba do Sul</w:t>
      </w:r>
      <w:bookmarkEnd w:id="159"/>
    </w:p>
    <w:p w:rsidR="000D0D7C" w:rsidRDefault="006F3FB1" w:rsidP="000D0D7C">
      <w:r>
        <w:t xml:space="preserve">O empreendimento Interligação Jaguari Atibainha possui interface com um </w:t>
      </w:r>
      <w:r w:rsidR="006530BB">
        <w:t xml:space="preserve">dos polígonos </w:t>
      </w:r>
      <w:r>
        <w:t xml:space="preserve">que compõem a APA </w:t>
      </w:r>
      <w:r w:rsidR="008440BF">
        <w:t xml:space="preserve">Federal </w:t>
      </w:r>
      <w:r>
        <w:t xml:space="preserve">Mananciais do Paraíba do Sul, notadamente </w:t>
      </w:r>
      <w:r w:rsidR="0009011D">
        <w:t>o setor</w:t>
      </w:r>
      <w:r>
        <w:t xml:space="preserve"> localizad</w:t>
      </w:r>
      <w:r w:rsidR="0009011D">
        <w:t>o</w:t>
      </w:r>
      <w:r>
        <w:t xml:space="preserve"> </w:t>
      </w:r>
      <w:r w:rsidR="008440BF">
        <w:t xml:space="preserve">em seu extremo </w:t>
      </w:r>
      <w:r w:rsidR="00A54DA1">
        <w:t>sud</w:t>
      </w:r>
      <w:r w:rsidR="008440BF">
        <w:t xml:space="preserve">oeste, </w:t>
      </w:r>
      <w:r w:rsidR="00BC3E64">
        <w:t xml:space="preserve">que </w:t>
      </w:r>
      <w:r w:rsidR="008440BF">
        <w:t>abriga cabeceiras de tributários da sub-bacia do rio Jaguari nos municípios de Guarulhos, Arujá, Santa Isabel e Igaratá.</w:t>
      </w:r>
    </w:p>
    <w:p w:rsidR="00BC3E64" w:rsidRPr="0052428A" w:rsidRDefault="0009011D" w:rsidP="000D0D7C">
      <w:r>
        <w:t xml:space="preserve">O setor protegido por esta UC de Uso Sustentável </w:t>
      </w:r>
      <w:r w:rsidR="00BC3E64">
        <w:t xml:space="preserve">e que </w:t>
      </w:r>
      <w:r w:rsidR="0062352A">
        <w:t>abrigará a ADA do empreendimento</w:t>
      </w:r>
      <w:r w:rsidR="00BC3E64">
        <w:t xml:space="preserve"> </w:t>
      </w:r>
      <w:r>
        <w:t>pode ser visual</w:t>
      </w:r>
      <w:r w:rsidR="00A54DA1">
        <w:t xml:space="preserve">izado na </w:t>
      </w:r>
      <w:r w:rsidR="00A54DA1" w:rsidRPr="00A54DA1">
        <w:rPr>
          <w:b/>
        </w:rPr>
        <w:t>Figura 6.4.6-2</w:t>
      </w:r>
      <w:r w:rsidR="00A54DA1">
        <w:t xml:space="preserve">, </w:t>
      </w:r>
      <w:r w:rsidR="007938F3">
        <w:t xml:space="preserve">anterior, </w:t>
      </w:r>
      <w:r>
        <w:t>onde se observa que a interferência do empreendimento com esta UC se d</w:t>
      </w:r>
      <w:r w:rsidR="0062352A">
        <w:t>ar</w:t>
      </w:r>
      <w:r>
        <w:t>á na margem esquerda do reservatório Jaguar</w:t>
      </w:r>
      <w:r w:rsidR="00BC3E64">
        <w:t xml:space="preserve">i, no </w:t>
      </w:r>
      <w:r w:rsidR="00BC3E64" w:rsidRPr="0052428A">
        <w:t>município de Santa Isabel, e segue por terrenos d</w:t>
      </w:r>
      <w:r w:rsidR="0062352A" w:rsidRPr="0052428A">
        <w:t xml:space="preserve">este </w:t>
      </w:r>
      <w:r w:rsidR="00BC3E64" w:rsidRPr="0052428A">
        <w:t xml:space="preserve">município </w:t>
      </w:r>
      <w:r w:rsidR="0062352A" w:rsidRPr="0052428A">
        <w:t>e do vizinho</w:t>
      </w:r>
      <w:r w:rsidR="00BC3E64" w:rsidRPr="0052428A">
        <w:t xml:space="preserve"> Igaratá.</w:t>
      </w:r>
      <w:r w:rsidRPr="0052428A">
        <w:t xml:space="preserve"> </w:t>
      </w:r>
    </w:p>
    <w:p w:rsidR="00767B92" w:rsidRPr="0068535D" w:rsidRDefault="00BC3E64" w:rsidP="000D0D7C">
      <w:r w:rsidRPr="000A165D">
        <w:t>Em Santa Isabel</w:t>
      </w:r>
      <w:r w:rsidR="002F2FC8" w:rsidRPr="000A165D">
        <w:t>,</w:t>
      </w:r>
      <w:r w:rsidRPr="000A165D">
        <w:t xml:space="preserve"> </w:t>
      </w:r>
      <w:r w:rsidR="00F574DC" w:rsidRPr="000A165D">
        <w:t>a ADA</w:t>
      </w:r>
      <w:r w:rsidR="002F2FC8" w:rsidRPr="000A165D">
        <w:t xml:space="preserve"> ocupa principalmente terrenos recobertos por pastagens, trecho</w:t>
      </w:r>
      <w:r w:rsidR="000E038D" w:rsidRPr="000A165D">
        <w:t>s</w:t>
      </w:r>
      <w:r w:rsidR="002F2FC8" w:rsidRPr="000A165D">
        <w:t xml:space="preserve"> de reflorestamento e estradas vicinais. A</w:t>
      </w:r>
      <w:r w:rsidR="000A165D" w:rsidRPr="000A165D">
        <w:t>s interferências da Interligação</w:t>
      </w:r>
      <w:r w:rsidR="002F2FC8" w:rsidRPr="000A165D">
        <w:t xml:space="preserve"> </w:t>
      </w:r>
      <w:r w:rsidR="000A165D" w:rsidRPr="000A165D">
        <w:t xml:space="preserve">em </w:t>
      </w:r>
      <w:r w:rsidR="00F574DC" w:rsidRPr="000A165D">
        <w:t>terrenos da APA Mananciais envolver</w:t>
      </w:r>
      <w:r w:rsidR="000A165D" w:rsidRPr="000A165D">
        <w:t>ão</w:t>
      </w:r>
      <w:r w:rsidR="00F574DC" w:rsidRPr="000A165D">
        <w:t xml:space="preserve"> </w:t>
      </w:r>
      <w:r w:rsidR="0009011D" w:rsidRPr="000A165D">
        <w:t>as i</w:t>
      </w:r>
      <w:r w:rsidRPr="000A165D">
        <w:t xml:space="preserve">nstalações da captação, </w:t>
      </w:r>
      <w:r w:rsidR="002146FB" w:rsidRPr="000A165D">
        <w:t xml:space="preserve">elevatória e subestação, </w:t>
      </w:r>
      <w:r w:rsidR="0062352A" w:rsidRPr="000A165D">
        <w:t>nas margens do reservatório Jaguari</w:t>
      </w:r>
      <w:r w:rsidR="0009011D" w:rsidRPr="000A165D">
        <w:t xml:space="preserve">, </w:t>
      </w:r>
      <w:r w:rsidR="00F574DC" w:rsidRPr="000A165D">
        <w:t>mais</w:t>
      </w:r>
      <w:r w:rsidR="0009011D" w:rsidRPr="000A165D">
        <w:t xml:space="preserve"> </w:t>
      </w:r>
      <w:r w:rsidR="0062352A" w:rsidRPr="000A165D">
        <w:t>a</w:t>
      </w:r>
      <w:r w:rsidR="0009011D" w:rsidRPr="000A165D">
        <w:t xml:space="preserve"> de faixa de trabalho </w:t>
      </w:r>
      <w:r w:rsidR="002146FB" w:rsidRPr="000A165D">
        <w:t xml:space="preserve">para </w:t>
      </w:r>
      <w:r w:rsidR="0062352A" w:rsidRPr="000A165D">
        <w:t>assenta</w:t>
      </w:r>
      <w:r w:rsidR="002146FB" w:rsidRPr="000A165D">
        <w:t>mento</w:t>
      </w:r>
      <w:r w:rsidR="0062352A" w:rsidRPr="000A165D">
        <w:t xml:space="preserve"> </w:t>
      </w:r>
      <w:r w:rsidR="002146FB" w:rsidRPr="000A165D">
        <w:t>d</w:t>
      </w:r>
      <w:r w:rsidR="0062352A" w:rsidRPr="000A165D">
        <w:t>a</w:t>
      </w:r>
      <w:r w:rsidR="0009011D" w:rsidRPr="000A165D">
        <w:t xml:space="preserve"> adutora</w:t>
      </w:r>
      <w:r w:rsidR="002146FB" w:rsidRPr="000A165D">
        <w:t xml:space="preserve"> e instalações </w:t>
      </w:r>
      <w:r w:rsidR="002146FB" w:rsidRPr="0068535D">
        <w:t>auxiliares</w:t>
      </w:r>
      <w:r w:rsidR="000E0142" w:rsidRPr="0068535D">
        <w:t xml:space="preserve">, </w:t>
      </w:r>
      <w:r w:rsidR="00767B92" w:rsidRPr="0068535D">
        <w:t xml:space="preserve">envolvendo um total de </w:t>
      </w:r>
      <w:r w:rsidR="002146FB" w:rsidRPr="0068535D">
        <w:t>10,95</w:t>
      </w:r>
      <w:r w:rsidR="00767B92" w:rsidRPr="0068535D">
        <w:t xml:space="preserve"> ha nes</w:t>
      </w:r>
      <w:r w:rsidR="000C2C21" w:rsidRPr="0068535D">
        <w:t>s</w:t>
      </w:r>
      <w:r w:rsidR="00767B92" w:rsidRPr="0068535D">
        <w:t>e município</w:t>
      </w:r>
      <w:r w:rsidR="0062352A" w:rsidRPr="0068535D">
        <w:t>.</w:t>
      </w:r>
    </w:p>
    <w:p w:rsidR="00F574DC" w:rsidRPr="000A165D" w:rsidRDefault="0062352A" w:rsidP="000D0D7C">
      <w:r w:rsidRPr="0068535D">
        <w:t>No município de Igaratá</w:t>
      </w:r>
      <w:r w:rsidR="000E0142" w:rsidRPr="0068535D">
        <w:t>,</w:t>
      </w:r>
      <w:r w:rsidRPr="0068535D">
        <w:t xml:space="preserve"> </w:t>
      </w:r>
      <w:r w:rsidR="00F574DC" w:rsidRPr="0068535D">
        <w:t xml:space="preserve">a ADA nesta APA envolverá </w:t>
      </w:r>
      <w:r w:rsidR="000A165D" w:rsidRPr="0068535D">
        <w:t xml:space="preserve">a </w:t>
      </w:r>
      <w:r w:rsidR="00F574DC" w:rsidRPr="0068535D">
        <w:t xml:space="preserve">faixa </w:t>
      </w:r>
      <w:r w:rsidR="000A165D" w:rsidRPr="0068535D">
        <w:t xml:space="preserve">de trabalho </w:t>
      </w:r>
      <w:r w:rsidR="00F574DC" w:rsidRPr="0068535D">
        <w:t>da adutora</w:t>
      </w:r>
      <w:r w:rsidR="00304E65" w:rsidRPr="0068535D">
        <w:t>,</w:t>
      </w:r>
      <w:r w:rsidR="000E0142" w:rsidRPr="0068535D">
        <w:t xml:space="preserve"> </w:t>
      </w:r>
      <w:r w:rsidR="000A165D" w:rsidRPr="0068535D">
        <w:t>a</w:t>
      </w:r>
      <w:r w:rsidR="000E0142" w:rsidRPr="0068535D">
        <w:t xml:space="preserve"> </w:t>
      </w:r>
      <w:r w:rsidR="00F574DC" w:rsidRPr="0068535D">
        <w:t>área de emboque do túnel</w:t>
      </w:r>
      <w:r w:rsidR="00304E65" w:rsidRPr="0068535D">
        <w:t xml:space="preserve"> e </w:t>
      </w:r>
      <w:r w:rsidR="000E0142" w:rsidRPr="0068535D">
        <w:t xml:space="preserve">outras pequenas </w:t>
      </w:r>
      <w:r w:rsidR="00304E65" w:rsidRPr="0068535D">
        <w:t>áreas</w:t>
      </w:r>
      <w:r w:rsidR="00F574DC" w:rsidRPr="0068535D">
        <w:t xml:space="preserve">, afetando </w:t>
      </w:r>
      <w:r w:rsidR="000E0142" w:rsidRPr="0068535D">
        <w:t>um</w:t>
      </w:r>
      <w:r w:rsidR="00767B92" w:rsidRPr="0068535D">
        <w:t xml:space="preserve"> total </w:t>
      </w:r>
      <w:r w:rsidR="000E0142" w:rsidRPr="0068535D">
        <w:t xml:space="preserve">de </w:t>
      </w:r>
      <w:r w:rsidR="000A165D" w:rsidRPr="0068535D">
        <w:t>17,73</w:t>
      </w:r>
      <w:r w:rsidR="00F574DC" w:rsidRPr="0068535D">
        <w:t xml:space="preserve"> ha neste município</w:t>
      </w:r>
      <w:r w:rsidR="002F2FC8" w:rsidRPr="0068535D">
        <w:t>, em</w:t>
      </w:r>
      <w:r w:rsidR="002F2FC8" w:rsidRPr="000A165D">
        <w:t xml:space="preserve"> terrenos principalmente ocupados por </w:t>
      </w:r>
      <w:r w:rsidR="001652B7" w:rsidRPr="000A165D">
        <w:t xml:space="preserve">campo antrópico, </w:t>
      </w:r>
      <w:r w:rsidR="002F2FC8" w:rsidRPr="000A165D">
        <w:t>pastagens e estradas vicinais.</w:t>
      </w:r>
      <w:r w:rsidR="000C2C21" w:rsidRPr="000A165D">
        <w:t xml:space="preserve"> </w:t>
      </w:r>
    </w:p>
    <w:p w:rsidR="008440BF" w:rsidRPr="000A165D" w:rsidRDefault="00F574DC" w:rsidP="000D0D7C">
      <w:r w:rsidRPr="0068535D">
        <w:t xml:space="preserve">Ao todo, a ADA do emprendimento </w:t>
      </w:r>
      <w:r w:rsidR="000A165D" w:rsidRPr="0068535D">
        <w:t xml:space="preserve">deve afetar 1,14 ha de vegetação nativa de tipo florestal (maiormente estágio inicial) </w:t>
      </w:r>
      <w:r w:rsidRPr="0068535D">
        <w:t>nos terrenos protegidos da APA Mananciais Paraíba do Sul</w:t>
      </w:r>
      <w:r w:rsidR="000A165D" w:rsidRPr="0068535D">
        <w:t>. A área de intervenção ocupa um total de</w:t>
      </w:r>
      <w:r w:rsidRPr="0068535D">
        <w:t xml:space="preserve"> </w:t>
      </w:r>
      <w:r w:rsidRPr="0068535D">
        <w:rPr>
          <w:u w:val="single"/>
        </w:rPr>
        <w:t>2</w:t>
      </w:r>
      <w:r w:rsidR="0052428A" w:rsidRPr="0068535D">
        <w:rPr>
          <w:u w:val="single"/>
        </w:rPr>
        <w:t>8,68</w:t>
      </w:r>
      <w:r w:rsidRPr="0068535D">
        <w:rPr>
          <w:u w:val="single"/>
        </w:rPr>
        <w:t xml:space="preserve"> ha</w:t>
      </w:r>
      <w:r w:rsidR="00913C1C" w:rsidRPr="0068535D">
        <w:t xml:space="preserve">, distribuídos em </w:t>
      </w:r>
      <w:r w:rsidR="002F5D5A" w:rsidRPr="0068535D">
        <w:t xml:space="preserve">categorias </w:t>
      </w:r>
      <w:r w:rsidR="0052428A" w:rsidRPr="0068535D">
        <w:t>de vegetação nativa e antropizada</w:t>
      </w:r>
      <w:r w:rsidR="00C618FE" w:rsidRPr="0068535D">
        <w:t>,</w:t>
      </w:r>
      <w:r w:rsidR="0052428A" w:rsidRPr="0068535D">
        <w:t xml:space="preserve"> </w:t>
      </w:r>
      <w:r w:rsidR="002F5D5A" w:rsidRPr="0068535D">
        <w:t xml:space="preserve">e </w:t>
      </w:r>
      <w:r w:rsidR="00913C1C" w:rsidRPr="0068535D">
        <w:t xml:space="preserve">tipologias de uso e </w:t>
      </w:r>
      <w:r w:rsidR="00955005" w:rsidRPr="0068535D">
        <w:t xml:space="preserve">ocupação </w:t>
      </w:r>
      <w:r w:rsidR="0052428A" w:rsidRPr="0068535D">
        <w:t xml:space="preserve">antrópica </w:t>
      </w:r>
      <w:r w:rsidR="00955005" w:rsidRPr="0068535D">
        <w:t>do solo</w:t>
      </w:r>
      <w:r w:rsidR="00E1295C" w:rsidRPr="0068535D">
        <w:t xml:space="preserve">, sendo </w:t>
      </w:r>
      <w:r w:rsidR="00E1295C" w:rsidRPr="0068535D">
        <w:rPr>
          <w:u w:val="single"/>
        </w:rPr>
        <w:t>10,41 ha em APP</w:t>
      </w:r>
      <w:r w:rsidR="00E1295C" w:rsidRPr="0068535D">
        <w:t>,</w:t>
      </w:r>
      <w:r w:rsidR="00955005" w:rsidRPr="000A165D">
        <w:t xml:space="preserve"> conforme apresen</w:t>
      </w:r>
      <w:r w:rsidR="00913C1C" w:rsidRPr="000A165D">
        <w:t xml:space="preserve">tado na </w:t>
      </w:r>
      <w:r w:rsidR="00913C1C" w:rsidRPr="000A165D">
        <w:rPr>
          <w:b/>
        </w:rPr>
        <w:t>Tabela 6.4.6-2</w:t>
      </w:r>
      <w:r w:rsidR="00913C1C" w:rsidRPr="000A165D">
        <w:t>.</w:t>
      </w:r>
    </w:p>
    <w:p w:rsidR="00913C1C" w:rsidRDefault="00913C1C" w:rsidP="00913C1C">
      <w:pPr>
        <w:pStyle w:val="Quadro"/>
      </w:pPr>
      <w:r w:rsidRPr="0068535D">
        <w:t>Tabela 6.4.6-2. Presença do Empreendimento na APA Mananciais Paraíba do Sul (ADA)</w:t>
      </w:r>
    </w:p>
    <w:tbl>
      <w:tblPr>
        <w:tblW w:w="0" w:type="auto"/>
        <w:tblInd w:w="56" w:type="dxa"/>
        <w:tblCellMar>
          <w:left w:w="70" w:type="dxa"/>
          <w:right w:w="70" w:type="dxa"/>
        </w:tblCellMar>
        <w:tblLook w:val="04A0" w:firstRow="1" w:lastRow="0" w:firstColumn="1" w:lastColumn="0" w:noHBand="0" w:noVBand="1"/>
      </w:tblPr>
      <w:tblGrid>
        <w:gridCol w:w="1175"/>
        <w:gridCol w:w="2592"/>
        <w:gridCol w:w="1279"/>
        <w:gridCol w:w="1139"/>
        <w:gridCol w:w="1147"/>
        <w:gridCol w:w="951"/>
        <w:gridCol w:w="1005"/>
      </w:tblGrid>
      <w:tr w:rsidR="00896AA2" w:rsidRPr="00896AA2" w:rsidTr="006530BB">
        <w:trPr>
          <w:trHeight w:val="288"/>
          <w:tblHeader/>
        </w:trPr>
        <w:tc>
          <w:tcPr>
            <w:tcW w:w="117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96AA2" w:rsidRPr="00022ED1" w:rsidRDefault="00896AA2" w:rsidP="00896AA2">
            <w:pPr>
              <w:spacing w:after="0"/>
              <w:jc w:val="center"/>
              <w:rPr>
                <w:rFonts w:eastAsia="Times New Roman" w:cs="Arial"/>
                <w:b/>
                <w:bCs/>
                <w:color w:val="000000"/>
                <w:sz w:val="18"/>
                <w:szCs w:val="18"/>
                <w:lang w:eastAsia="pt-BR"/>
              </w:rPr>
            </w:pPr>
            <w:r w:rsidRPr="00022ED1">
              <w:rPr>
                <w:rFonts w:eastAsia="Times New Roman" w:cs="Arial"/>
                <w:b/>
                <w:bCs/>
                <w:color w:val="000000"/>
                <w:sz w:val="18"/>
                <w:szCs w:val="18"/>
                <w:lang w:eastAsia="pt-BR"/>
              </w:rPr>
              <w:t>Categorias</w:t>
            </w:r>
          </w:p>
        </w:tc>
        <w:tc>
          <w:tcPr>
            <w:tcW w:w="259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96AA2" w:rsidRPr="00022ED1" w:rsidRDefault="00896AA2" w:rsidP="00896AA2">
            <w:pPr>
              <w:spacing w:after="0"/>
              <w:jc w:val="center"/>
              <w:rPr>
                <w:rFonts w:eastAsia="Times New Roman" w:cs="Arial"/>
                <w:b/>
                <w:bCs/>
                <w:color w:val="000000"/>
                <w:sz w:val="18"/>
                <w:szCs w:val="18"/>
                <w:lang w:eastAsia="pt-BR"/>
              </w:rPr>
            </w:pPr>
            <w:r w:rsidRPr="00022ED1">
              <w:rPr>
                <w:rFonts w:eastAsia="Times New Roman" w:cs="Arial"/>
                <w:b/>
                <w:bCs/>
                <w:color w:val="000000"/>
                <w:sz w:val="18"/>
                <w:szCs w:val="18"/>
                <w:lang w:eastAsia="pt-BR"/>
              </w:rPr>
              <w:t>Usos do Solo</w:t>
            </w:r>
          </w:p>
        </w:tc>
        <w:tc>
          <w:tcPr>
            <w:tcW w:w="2418"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96AA2" w:rsidRPr="00896AA2" w:rsidRDefault="00896AA2" w:rsidP="00896AA2">
            <w:pPr>
              <w:spacing w:after="0"/>
              <w:jc w:val="center"/>
              <w:rPr>
                <w:rFonts w:eastAsia="Times New Roman" w:cs="Arial"/>
                <w:b/>
                <w:bCs/>
                <w:color w:val="000000"/>
                <w:sz w:val="18"/>
                <w:szCs w:val="18"/>
                <w:lang w:eastAsia="pt-BR"/>
              </w:rPr>
            </w:pPr>
            <w:r w:rsidRPr="00022ED1">
              <w:rPr>
                <w:rFonts w:eastAsia="Times New Roman" w:cs="Arial"/>
                <w:b/>
                <w:bCs/>
                <w:color w:val="000000"/>
                <w:sz w:val="18"/>
                <w:szCs w:val="18"/>
                <w:lang w:eastAsia="pt-BR"/>
              </w:rPr>
              <w:t xml:space="preserve">Município de </w:t>
            </w:r>
            <w:r w:rsidRPr="00896AA2">
              <w:rPr>
                <w:rFonts w:eastAsia="Times New Roman" w:cs="Arial"/>
                <w:b/>
                <w:bCs/>
                <w:color w:val="000000"/>
                <w:sz w:val="18"/>
                <w:szCs w:val="18"/>
                <w:lang w:eastAsia="pt-BR"/>
              </w:rPr>
              <w:t>Santa Isabel</w:t>
            </w:r>
          </w:p>
        </w:tc>
        <w:tc>
          <w:tcPr>
            <w:tcW w:w="2098"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96AA2" w:rsidRPr="00896AA2" w:rsidRDefault="00896AA2" w:rsidP="00896AA2">
            <w:pPr>
              <w:spacing w:after="0"/>
              <w:jc w:val="center"/>
              <w:rPr>
                <w:rFonts w:eastAsia="Times New Roman" w:cs="Arial"/>
                <w:b/>
                <w:bCs/>
                <w:color w:val="000000"/>
                <w:sz w:val="18"/>
                <w:szCs w:val="18"/>
                <w:lang w:eastAsia="pt-BR"/>
              </w:rPr>
            </w:pPr>
            <w:r w:rsidRPr="00022ED1">
              <w:rPr>
                <w:rFonts w:eastAsia="Times New Roman" w:cs="Arial"/>
                <w:b/>
                <w:bCs/>
                <w:color w:val="000000"/>
                <w:sz w:val="18"/>
                <w:szCs w:val="18"/>
                <w:lang w:eastAsia="pt-BR"/>
              </w:rPr>
              <w:t xml:space="preserve">Município de </w:t>
            </w:r>
            <w:r w:rsidRPr="00896AA2">
              <w:rPr>
                <w:rFonts w:eastAsia="Times New Roman" w:cs="Arial"/>
                <w:b/>
                <w:bCs/>
                <w:color w:val="000000"/>
                <w:sz w:val="18"/>
                <w:szCs w:val="18"/>
                <w:lang w:eastAsia="pt-BR"/>
              </w:rPr>
              <w:t>Igarat</w:t>
            </w:r>
            <w:r>
              <w:rPr>
                <w:rFonts w:eastAsia="Times New Roman" w:cs="Arial"/>
                <w:b/>
                <w:bCs/>
                <w:color w:val="000000"/>
                <w:sz w:val="18"/>
                <w:szCs w:val="18"/>
                <w:lang w:eastAsia="pt-BR"/>
              </w:rPr>
              <w:t>á</w:t>
            </w:r>
          </w:p>
        </w:tc>
        <w:tc>
          <w:tcPr>
            <w:tcW w:w="1005" w:type="dxa"/>
            <w:vMerge w:val="restart"/>
            <w:tcBorders>
              <w:top w:val="single" w:sz="4" w:space="0" w:color="auto"/>
              <w:left w:val="nil"/>
              <w:right w:val="single" w:sz="4" w:space="0" w:color="auto"/>
            </w:tcBorders>
            <w:shd w:val="clear" w:color="auto" w:fill="D9D9D9" w:themeFill="background1" w:themeFillShade="D9"/>
            <w:noWrap/>
            <w:vAlign w:val="center"/>
            <w:hideMark/>
          </w:tcPr>
          <w:p w:rsidR="00896AA2" w:rsidRPr="00896AA2" w:rsidRDefault="00896AA2" w:rsidP="00896AA2">
            <w:pPr>
              <w:spacing w:after="0"/>
              <w:jc w:val="center"/>
              <w:rPr>
                <w:rFonts w:eastAsia="Times New Roman" w:cs="Arial"/>
                <w:b/>
                <w:bCs/>
                <w:color w:val="000000"/>
                <w:sz w:val="18"/>
                <w:szCs w:val="18"/>
                <w:lang w:eastAsia="pt-BR"/>
              </w:rPr>
            </w:pPr>
            <w:r w:rsidRPr="00896AA2">
              <w:rPr>
                <w:rFonts w:eastAsia="Times New Roman" w:cs="Arial"/>
                <w:b/>
                <w:bCs/>
                <w:color w:val="000000"/>
                <w:sz w:val="18"/>
                <w:szCs w:val="18"/>
                <w:lang w:eastAsia="pt-BR"/>
              </w:rPr>
              <w:t>Total Geral</w:t>
            </w:r>
          </w:p>
        </w:tc>
      </w:tr>
      <w:tr w:rsidR="006530BB" w:rsidRPr="00896AA2" w:rsidTr="006530BB">
        <w:trPr>
          <w:trHeight w:val="288"/>
          <w:tblHeader/>
        </w:trPr>
        <w:tc>
          <w:tcPr>
            <w:tcW w:w="117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96AA2" w:rsidRPr="00896AA2" w:rsidRDefault="00896AA2" w:rsidP="00896AA2">
            <w:pPr>
              <w:spacing w:after="0"/>
              <w:jc w:val="center"/>
              <w:rPr>
                <w:rFonts w:eastAsia="Times New Roman" w:cs="Arial"/>
                <w:color w:val="000000"/>
                <w:sz w:val="18"/>
                <w:szCs w:val="18"/>
                <w:lang w:eastAsia="pt-BR"/>
              </w:rPr>
            </w:pPr>
          </w:p>
        </w:tc>
        <w:tc>
          <w:tcPr>
            <w:tcW w:w="259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1279" w:type="dxa"/>
            <w:tcBorders>
              <w:top w:val="nil"/>
              <w:left w:val="nil"/>
              <w:bottom w:val="single" w:sz="4" w:space="0" w:color="auto"/>
              <w:right w:val="single" w:sz="4" w:space="0" w:color="auto"/>
            </w:tcBorders>
            <w:shd w:val="clear" w:color="auto" w:fill="D9D9D9" w:themeFill="background1" w:themeFillShade="D9"/>
            <w:noWrap/>
            <w:vAlign w:val="center"/>
            <w:hideMark/>
          </w:tcPr>
          <w:p w:rsidR="00896AA2" w:rsidRPr="00896AA2" w:rsidRDefault="00896AA2" w:rsidP="00896AA2">
            <w:pPr>
              <w:spacing w:after="0"/>
              <w:jc w:val="center"/>
              <w:rPr>
                <w:rFonts w:eastAsia="Times New Roman" w:cs="Arial"/>
                <w:b/>
                <w:bCs/>
                <w:color w:val="000000"/>
                <w:sz w:val="18"/>
                <w:szCs w:val="18"/>
                <w:lang w:eastAsia="pt-BR"/>
              </w:rPr>
            </w:pPr>
            <w:r w:rsidRPr="00896AA2">
              <w:rPr>
                <w:rFonts w:eastAsia="Times New Roman" w:cs="Arial"/>
                <w:b/>
                <w:bCs/>
                <w:color w:val="000000"/>
                <w:sz w:val="18"/>
                <w:szCs w:val="18"/>
                <w:lang w:eastAsia="pt-BR"/>
              </w:rPr>
              <w:t>Dentro de APP</w:t>
            </w:r>
          </w:p>
        </w:tc>
        <w:tc>
          <w:tcPr>
            <w:tcW w:w="1139" w:type="dxa"/>
            <w:tcBorders>
              <w:top w:val="nil"/>
              <w:left w:val="nil"/>
              <w:bottom w:val="single" w:sz="4" w:space="0" w:color="auto"/>
              <w:right w:val="single" w:sz="4" w:space="0" w:color="auto"/>
            </w:tcBorders>
            <w:shd w:val="clear" w:color="auto" w:fill="D9D9D9" w:themeFill="background1" w:themeFillShade="D9"/>
            <w:noWrap/>
            <w:vAlign w:val="center"/>
            <w:hideMark/>
          </w:tcPr>
          <w:p w:rsidR="00896AA2" w:rsidRPr="00896AA2" w:rsidRDefault="00896AA2" w:rsidP="00896AA2">
            <w:pPr>
              <w:spacing w:after="0"/>
              <w:jc w:val="center"/>
              <w:rPr>
                <w:rFonts w:eastAsia="Times New Roman" w:cs="Arial"/>
                <w:b/>
                <w:bCs/>
                <w:color w:val="000000"/>
                <w:sz w:val="18"/>
                <w:szCs w:val="18"/>
                <w:lang w:eastAsia="pt-BR"/>
              </w:rPr>
            </w:pPr>
            <w:r w:rsidRPr="00896AA2">
              <w:rPr>
                <w:rFonts w:eastAsia="Times New Roman" w:cs="Arial"/>
                <w:b/>
                <w:bCs/>
                <w:color w:val="000000"/>
                <w:sz w:val="18"/>
                <w:szCs w:val="18"/>
                <w:lang w:eastAsia="pt-BR"/>
              </w:rPr>
              <w:t>Fora de APP</w:t>
            </w:r>
          </w:p>
        </w:tc>
        <w:tc>
          <w:tcPr>
            <w:tcW w:w="1147" w:type="dxa"/>
            <w:tcBorders>
              <w:top w:val="nil"/>
              <w:left w:val="nil"/>
              <w:bottom w:val="single" w:sz="4" w:space="0" w:color="auto"/>
              <w:right w:val="single" w:sz="4" w:space="0" w:color="auto"/>
            </w:tcBorders>
            <w:shd w:val="clear" w:color="auto" w:fill="D9D9D9" w:themeFill="background1" w:themeFillShade="D9"/>
            <w:noWrap/>
            <w:vAlign w:val="center"/>
            <w:hideMark/>
          </w:tcPr>
          <w:p w:rsidR="00896AA2" w:rsidRPr="00896AA2" w:rsidRDefault="00896AA2" w:rsidP="00896AA2">
            <w:pPr>
              <w:spacing w:after="0"/>
              <w:jc w:val="center"/>
              <w:rPr>
                <w:rFonts w:eastAsia="Times New Roman" w:cs="Arial"/>
                <w:b/>
                <w:bCs/>
                <w:color w:val="000000"/>
                <w:sz w:val="18"/>
                <w:szCs w:val="18"/>
                <w:lang w:eastAsia="pt-BR"/>
              </w:rPr>
            </w:pPr>
            <w:r w:rsidRPr="00896AA2">
              <w:rPr>
                <w:rFonts w:eastAsia="Times New Roman" w:cs="Arial"/>
                <w:b/>
                <w:bCs/>
                <w:color w:val="000000"/>
                <w:sz w:val="18"/>
                <w:szCs w:val="18"/>
                <w:lang w:eastAsia="pt-BR"/>
              </w:rPr>
              <w:t>Dentro de APP</w:t>
            </w:r>
          </w:p>
        </w:tc>
        <w:tc>
          <w:tcPr>
            <w:tcW w:w="951" w:type="dxa"/>
            <w:tcBorders>
              <w:top w:val="nil"/>
              <w:left w:val="nil"/>
              <w:bottom w:val="single" w:sz="4" w:space="0" w:color="auto"/>
              <w:right w:val="single" w:sz="4" w:space="0" w:color="auto"/>
            </w:tcBorders>
            <w:shd w:val="clear" w:color="auto" w:fill="D9D9D9" w:themeFill="background1" w:themeFillShade="D9"/>
            <w:noWrap/>
            <w:vAlign w:val="center"/>
            <w:hideMark/>
          </w:tcPr>
          <w:p w:rsidR="00896AA2" w:rsidRPr="00896AA2" w:rsidRDefault="00896AA2" w:rsidP="00896AA2">
            <w:pPr>
              <w:spacing w:after="0"/>
              <w:jc w:val="center"/>
              <w:rPr>
                <w:rFonts w:eastAsia="Times New Roman" w:cs="Arial"/>
                <w:b/>
                <w:bCs/>
                <w:color w:val="000000"/>
                <w:sz w:val="18"/>
                <w:szCs w:val="18"/>
                <w:lang w:eastAsia="pt-BR"/>
              </w:rPr>
            </w:pPr>
            <w:r w:rsidRPr="00896AA2">
              <w:rPr>
                <w:rFonts w:eastAsia="Times New Roman" w:cs="Arial"/>
                <w:b/>
                <w:bCs/>
                <w:color w:val="000000"/>
                <w:sz w:val="18"/>
                <w:szCs w:val="18"/>
                <w:lang w:eastAsia="pt-BR"/>
              </w:rPr>
              <w:t>Fora de APP</w:t>
            </w:r>
          </w:p>
        </w:tc>
        <w:tc>
          <w:tcPr>
            <w:tcW w:w="1005" w:type="dxa"/>
            <w:vMerge/>
            <w:tcBorders>
              <w:left w:val="nil"/>
              <w:bottom w:val="single" w:sz="4" w:space="0" w:color="auto"/>
              <w:right w:val="single" w:sz="4" w:space="0" w:color="auto"/>
            </w:tcBorders>
            <w:shd w:val="clear" w:color="auto" w:fill="D9D9D9" w:themeFill="background1" w:themeFillShade="D9"/>
            <w:noWrap/>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r>
      <w:tr w:rsidR="006530BB" w:rsidRPr="00896AA2" w:rsidTr="006530BB">
        <w:trPr>
          <w:trHeight w:val="288"/>
        </w:trPr>
        <w:tc>
          <w:tcPr>
            <w:tcW w:w="0" w:type="auto"/>
            <w:vMerge w:val="restart"/>
            <w:tcBorders>
              <w:top w:val="nil"/>
              <w:left w:val="single" w:sz="4" w:space="0" w:color="auto"/>
              <w:bottom w:val="single" w:sz="4" w:space="0" w:color="auto"/>
              <w:right w:val="single" w:sz="4" w:space="0" w:color="auto"/>
            </w:tcBorders>
            <w:shd w:val="clear" w:color="000000" w:fill="C2D69A"/>
            <w:vAlign w:val="center"/>
            <w:hideMark/>
          </w:tcPr>
          <w:p w:rsidR="00896AA2" w:rsidRPr="00896AA2" w:rsidRDefault="00896AA2" w:rsidP="00896AA2">
            <w:pPr>
              <w:spacing w:after="0"/>
              <w:jc w:val="center"/>
              <w:rPr>
                <w:rFonts w:eastAsia="Times New Roman" w:cs="Arial"/>
                <w:b/>
                <w:bCs/>
                <w:color w:val="000000"/>
                <w:sz w:val="18"/>
                <w:szCs w:val="18"/>
                <w:lang w:eastAsia="pt-BR"/>
              </w:rPr>
            </w:pPr>
            <w:r w:rsidRPr="00896AA2">
              <w:rPr>
                <w:rFonts w:eastAsia="Times New Roman" w:cs="Arial"/>
                <w:b/>
                <w:bCs/>
                <w:color w:val="000000"/>
                <w:sz w:val="18"/>
                <w:szCs w:val="18"/>
                <w:lang w:eastAsia="pt-BR"/>
              </w:rPr>
              <w:t>Vegetação Nativa</w:t>
            </w:r>
          </w:p>
        </w:tc>
        <w:tc>
          <w:tcPr>
            <w:tcW w:w="2592"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7525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Est</w:t>
            </w:r>
            <w:r w:rsidR="00875252">
              <w:rPr>
                <w:rFonts w:eastAsia="Times New Roman" w:cs="Arial"/>
                <w:color w:val="000000"/>
                <w:sz w:val="18"/>
                <w:szCs w:val="18"/>
                <w:lang w:eastAsia="pt-BR"/>
              </w:rPr>
              <w:t>ágio</w:t>
            </w:r>
            <w:r w:rsidRPr="00896AA2">
              <w:rPr>
                <w:rFonts w:eastAsia="Times New Roman" w:cs="Arial"/>
                <w:color w:val="000000"/>
                <w:sz w:val="18"/>
                <w:szCs w:val="18"/>
                <w:lang w:eastAsia="pt-BR"/>
              </w:rPr>
              <w:t xml:space="preserve"> Avançado</w:t>
            </w:r>
          </w:p>
        </w:tc>
        <w:tc>
          <w:tcPr>
            <w:tcW w:w="1279"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39"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47"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0,0005</w:t>
            </w:r>
          </w:p>
        </w:tc>
        <w:tc>
          <w:tcPr>
            <w:tcW w:w="951"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0,0012</w:t>
            </w:r>
          </w:p>
        </w:tc>
        <w:tc>
          <w:tcPr>
            <w:tcW w:w="1005"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0,0016</w:t>
            </w:r>
          </w:p>
        </w:tc>
      </w:tr>
      <w:tr w:rsidR="006530BB" w:rsidRPr="00896AA2" w:rsidTr="006530BB">
        <w:trPr>
          <w:trHeight w:val="288"/>
        </w:trPr>
        <w:tc>
          <w:tcPr>
            <w:tcW w:w="0" w:type="auto"/>
            <w:vMerge/>
            <w:tcBorders>
              <w:top w:val="nil"/>
              <w:left w:val="single" w:sz="4" w:space="0" w:color="auto"/>
              <w:bottom w:val="single" w:sz="4" w:space="0" w:color="auto"/>
              <w:right w:val="single" w:sz="4" w:space="0" w:color="auto"/>
            </w:tcBorders>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2592" w:type="dxa"/>
            <w:tcBorders>
              <w:top w:val="nil"/>
              <w:left w:val="nil"/>
              <w:bottom w:val="single" w:sz="4" w:space="0" w:color="auto"/>
              <w:right w:val="single" w:sz="4" w:space="0" w:color="auto"/>
            </w:tcBorders>
            <w:shd w:val="clear" w:color="000000" w:fill="C2D69A"/>
            <w:noWrap/>
            <w:vAlign w:val="center"/>
            <w:hideMark/>
          </w:tcPr>
          <w:p w:rsidR="00896AA2" w:rsidRPr="00896AA2" w:rsidRDefault="0087525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Est</w:t>
            </w:r>
            <w:r>
              <w:rPr>
                <w:rFonts w:eastAsia="Times New Roman" w:cs="Arial"/>
                <w:color w:val="000000"/>
                <w:sz w:val="18"/>
                <w:szCs w:val="18"/>
                <w:lang w:eastAsia="pt-BR"/>
              </w:rPr>
              <w:t>ágio</w:t>
            </w:r>
            <w:r w:rsidR="00896AA2" w:rsidRPr="00896AA2">
              <w:rPr>
                <w:rFonts w:eastAsia="Times New Roman" w:cs="Arial"/>
                <w:color w:val="000000"/>
                <w:sz w:val="18"/>
                <w:szCs w:val="18"/>
                <w:lang w:eastAsia="pt-BR"/>
              </w:rPr>
              <w:t xml:space="preserve"> Médio</w:t>
            </w:r>
          </w:p>
        </w:tc>
        <w:tc>
          <w:tcPr>
            <w:tcW w:w="1279"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0,0323</w:t>
            </w:r>
          </w:p>
        </w:tc>
        <w:tc>
          <w:tcPr>
            <w:tcW w:w="1139"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0,0089</w:t>
            </w:r>
          </w:p>
        </w:tc>
        <w:tc>
          <w:tcPr>
            <w:tcW w:w="1147"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0,0204</w:t>
            </w:r>
          </w:p>
        </w:tc>
        <w:tc>
          <w:tcPr>
            <w:tcW w:w="951"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0,0941</w:t>
            </w:r>
          </w:p>
        </w:tc>
        <w:tc>
          <w:tcPr>
            <w:tcW w:w="1005"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0,1558</w:t>
            </w:r>
          </w:p>
        </w:tc>
      </w:tr>
      <w:tr w:rsidR="006530BB" w:rsidRPr="00896AA2" w:rsidTr="006530BB">
        <w:trPr>
          <w:trHeight w:val="288"/>
        </w:trPr>
        <w:tc>
          <w:tcPr>
            <w:tcW w:w="0" w:type="auto"/>
            <w:vMerge/>
            <w:tcBorders>
              <w:top w:val="nil"/>
              <w:left w:val="single" w:sz="4" w:space="0" w:color="auto"/>
              <w:bottom w:val="single" w:sz="4" w:space="0" w:color="auto"/>
              <w:right w:val="single" w:sz="4" w:space="0" w:color="auto"/>
            </w:tcBorders>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2592" w:type="dxa"/>
            <w:tcBorders>
              <w:top w:val="nil"/>
              <w:left w:val="nil"/>
              <w:bottom w:val="single" w:sz="4" w:space="0" w:color="auto"/>
              <w:right w:val="single" w:sz="4" w:space="0" w:color="auto"/>
            </w:tcBorders>
            <w:shd w:val="clear" w:color="000000" w:fill="C2D69A"/>
            <w:noWrap/>
            <w:vAlign w:val="center"/>
            <w:hideMark/>
          </w:tcPr>
          <w:p w:rsidR="00896AA2" w:rsidRPr="00896AA2" w:rsidRDefault="0087525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Est</w:t>
            </w:r>
            <w:r>
              <w:rPr>
                <w:rFonts w:eastAsia="Times New Roman" w:cs="Arial"/>
                <w:color w:val="000000"/>
                <w:sz w:val="18"/>
                <w:szCs w:val="18"/>
                <w:lang w:eastAsia="pt-BR"/>
              </w:rPr>
              <w:t>ágio</w:t>
            </w:r>
            <w:r w:rsidR="00896AA2" w:rsidRPr="00896AA2">
              <w:rPr>
                <w:rFonts w:eastAsia="Times New Roman" w:cs="Arial"/>
                <w:color w:val="000000"/>
                <w:sz w:val="18"/>
                <w:szCs w:val="18"/>
                <w:lang w:eastAsia="pt-BR"/>
              </w:rPr>
              <w:t xml:space="preserve"> Inicial</w:t>
            </w:r>
          </w:p>
        </w:tc>
        <w:tc>
          <w:tcPr>
            <w:tcW w:w="1279"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0,1178</w:t>
            </w:r>
          </w:p>
        </w:tc>
        <w:tc>
          <w:tcPr>
            <w:tcW w:w="1139"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0,0265</w:t>
            </w:r>
          </w:p>
        </w:tc>
        <w:tc>
          <w:tcPr>
            <w:tcW w:w="1147"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0,2762</w:t>
            </w:r>
          </w:p>
        </w:tc>
        <w:tc>
          <w:tcPr>
            <w:tcW w:w="951"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0,3015</w:t>
            </w:r>
          </w:p>
        </w:tc>
        <w:tc>
          <w:tcPr>
            <w:tcW w:w="1005"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0,7220</w:t>
            </w:r>
          </w:p>
        </w:tc>
      </w:tr>
      <w:tr w:rsidR="006530BB" w:rsidRPr="00896AA2" w:rsidTr="006530BB">
        <w:trPr>
          <w:trHeight w:val="288"/>
        </w:trPr>
        <w:tc>
          <w:tcPr>
            <w:tcW w:w="0" w:type="auto"/>
            <w:vMerge/>
            <w:tcBorders>
              <w:top w:val="nil"/>
              <w:left w:val="single" w:sz="4" w:space="0" w:color="auto"/>
              <w:bottom w:val="single" w:sz="4" w:space="0" w:color="auto"/>
              <w:right w:val="single" w:sz="4" w:space="0" w:color="auto"/>
            </w:tcBorders>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2592" w:type="dxa"/>
            <w:tcBorders>
              <w:top w:val="nil"/>
              <w:left w:val="nil"/>
              <w:bottom w:val="single" w:sz="4" w:space="0" w:color="auto"/>
              <w:right w:val="single" w:sz="4" w:space="0" w:color="auto"/>
            </w:tcBorders>
            <w:shd w:val="clear" w:color="000000" w:fill="C2D69A"/>
            <w:noWrap/>
            <w:vAlign w:val="center"/>
            <w:hideMark/>
          </w:tcPr>
          <w:p w:rsidR="00896AA2" w:rsidRPr="00896AA2" w:rsidRDefault="0087525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Est</w:t>
            </w:r>
            <w:r>
              <w:rPr>
                <w:rFonts w:eastAsia="Times New Roman" w:cs="Arial"/>
                <w:color w:val="000000"/>
                <w:sz w:val="18"/>
                <w:szCs w:val="18"/>
                <w:lang w:eastAsia="pt-BR"/>
              </w:rPr>
              <w:t>ágio</w:t>
            </w:r>
            <w:r w:rsidR="00896AA2" w:rsidRPr="00896AA2">
              <w:rPr>
                <w:rFonts w:eastAsia="Times New Roman" w:cs="Arial"/>
                <w:color w:val="000000"/>
                <w:sz w:val="18"/>
                <w:szCs w:val="18"/>
                <w:lang w:eastAsia="pt-BR"/>
              </w:rPr>
              <w:t xml:space="preserve"> Pioneiro</w:t>
            </w:r>
          </w:p>
        </w:tc>
        <w:tc>
          <w:tcPr>
            <w:tcW w:w="1279"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0,1107</w:t>
            </w:r>
          </w:p>
        </w:tc>
        <w:tc>
          <w:tcPr>
            <w:tcW w:w="1139"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0,0818</w:t>
            </w:r>
          </w:p>
        </w:tc>
        <w:tc>
          <w:tcPr>
            <w:tcW w:w="1147"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0,0164</w:t>
            </w:r>
          </w:p>
        </w:tc>
        <w:tc>
          <w:tcPr>
            <w:tcW w:w="951"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0,0558</w:t>
            </w:r>
          </w:p>
        </w:tc>
        <w:tc>
          <w:tcPr>
            <w:tcW w:w="1005"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0,2647</w:t>
            </w:r>
          </w:p>
        </w:tc>
      </w:tr>
      <w:tr w:rsidR="006530BB" w:rsidRPr="00896AA2" w:rsidTr="006530BB">
        <w:trPr>
          <w:trHeight w:val="288"/>
        </w:trPr>
        <w:tc>
          <w:tcPr>
            <w:tcW w:w="0" w:type="auto"/>
            <w:vMerge/>
            <w:tcBorders>
              <w:top w:val="nil"/>
              <w:left w:val="single" w:sz="4" w:space="0" w:color="auto"/>
              <w:bottom w:val="single" w:sz="4" w:space="0" w:color="auto"/>
              <w:right w:val="single" w:sz="4" w:space="0" w:color="auto"/>
            </w:tcBorders>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2592"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Varzéa/Brejo</w:t>
            </w:r>
          </w:p>
        </w:tc>
        <w:tc>
          <w:tcPr>
            <w:tcW w:w="1279"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0,0182</w:t>
            </w:r>
          </w:p>
        </w:tc>
        <w:tc>
          <w:tcPr>
            <w:tcW w:w="1139"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47"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0,1728</w:t>
            </w:r>
          </w:p>
        </w:tc>
        <w:tc>
          <w:tcPr>
            <w:tcW w:w="951"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005" w:type="dxa"/>
            <w:tcBorders>
              <w:top w:val="nil"/>
              <w:left w:val="nil"/>
              <w:bottom w:val="single" w:sz="4" w:space="0" w:color="auto"/>
              <w:right w:val="single" w:sz="4" w:space="0" w:color="auto"/>
            </w:tcBorders>
            <w:shd w:val="clear" w:color="000000" w:fill="C2D69A"/>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0,1910</w:t>
            </w:r>
          </w:p>
        </w:tc>
      </w:tr>
      <w:tr w:rsidR="006530BB" w:rsidRPr="00896AA2" w:rsidTr="006530BB">
        <w:trPr>
          <w:trHeight w:val="288"/>
        </w:trPr>
        <w:tc>
          <w:tcPr>
            <w:tcW w:w="0" w:type="auto"/>
            <w:vMerge w:val="restart"/>
            <w:tcBorders>
              <w:top w:val="nil"/>
              <w:left w:val="single" w:sz="4" w:space="0" w:color="auto"/>
              <w:bottom w:val="single" w:sz="4" w:space="0" w:color="auto"/>
              <w:right w:val="single" w:sz="4" w:space="0" w:color="auto"/>
            </w:tcBorders>
            <w:shd w:val="clear" w:color="000000" w:fill="EAF1DD"/>
            <w:vAlign w:val="center"/>
            <w:hideMark/>
          </w:tcPr>
          <w:p w:rsidR="00896AA2" w:rsidRPr="00896AA2" w:rsidRDefault="00896AA2" w:rsidP="00896AA2">
            <w:pPr>
              <w:spacing w:after="0"/>
              <w:jc w:val="center"/>
              <w:rPr>
                <w:rFonts w:eastAsia="Times New Roman" w:cs="Arial"/>
                <w:b/>
                <w:bCs/>
                <w:color w:val="000000"/>
                <w:sz w:val="18"/>
                <w:szCs w:val="18"/>
                <w:lang w:eastAsia="pt-BR"/>
              </w:rPr>
            </w:pPr>
            <w:r w:rsidRPr="00896AA2">
              <w:rPr>
                <w:rFonts w:eastAsia="Times New Roman" w:cs="Arial"/>
                <w:b/>
                <w:bCs/>
                <w:color w:val="000000"/>
                <w:sz w:val="18"/>
                <w:szCs w:val="18"/>
                <w:lang w:eastAsia="pt-BR"/>
              </w:rPr>
              <w:t>Vegetação Antrópica</w:t>
            </w:r>
          </w:p>
        </w:tc>
        <w:tc>
          <w:tcPr>
            <w:tcW w:w="2592"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7525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Veg</w:t>
            </w:r>
            <w:r w:rsidR="00875252">
              <w:rPr>
                <w:rFonts w:eastAsia="Times New Roman" w:cs="Arial"/>
                <w:color w:val="000000"/>
                <w:sz w:val="18"/>
                <w:szCs w:val="18"/>
                <w:lang w:eastAsia="pt-BR"/>
              </w:rPr>
              <w:t>etação</w:t>
            </w:r>
            <w:r w:rsidRPr="00896AA2">
              <w:rPr>
                <w:rFonts w:eastAsia="Times New Roman" w:cs="Arial"/>
                <w:color w:val="000000"/>
                <w:sz w:val="18"/>
                <w:szCs w:val="18"/>
                <w:lang w:eastAsia="pt-BR"/>
              </w:rPr>
              <w:t xml:space="preserve"> Antropizada</w:t>
            </w:r>
          </w:p>
        </w:tc>
        <w:tc>
          <w:tcPr>
            <w:tcW w:w="1279"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39"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47"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0,1894</w:t>
            </w:r>
          </w:p>
        </w:tc>
        <w:tc>
          <w:tcPr>
            <w:tcW w:w="951"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0,8124</w:t>
            </w:r>
          </w:p>
        </w:tc>
        <w:tc>
          <w:tcPr>
            <w:tcW w:w="1005"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1,0018</w:t>
            </w:r>
          </w:p>
        </w:tc>
      </w:tr>
      <w:tr w:rsidR="006530BB" w:rsidRPr="00896AA2" w:rsidTr="006530BB">
        <w:trPr>
          <w:trHeight w:val="288"/>
        </w:trPr>
        <w:tc>
          <w:tcPr>
            <w:tcW w:w="0" w:type="auto"/>
            <w:vMerge/>
            <w:tcBorders>
              <w:top w:val="nil"/>
              <w:left w:val="single" w:sz="4" w:space="0" w:color="auto"/>
              <w:bottom w:val="single" w:sz="4" w:space="0" w:color="auto"/>
              <w:right w:val="single" w:sz="4" w:space="0" w:color="auto"/>
            </w:tcBorders>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2592"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Reflorestamento</w:t>
            </w:r>
          </w:p>
        </w:tc>
        <w:tc>
          <w:tcPr>
            <w:tcW w:w="1279"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0,2297</w:t>
            </w:r>
          </w:p>
        </w:tc>
        <w:tc>
          <w:tcPr>
            <w:tcW w:w="1139"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1,0308</w:t>
            </w:r>
          </w:p>
        </w:tc>
        <w:tc>
          <w:tcPr>
            <w:tcW w:w="1147"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0,2511</w:t>
            </w:r>
          </w:p>
        </w:tc>
        <w:tc>
          <w:tcPr>
            <w:tcW w:w="951"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3,5156</w:t>
            </w:r>
          </w:p>
        </w:tc>
        <w:tc>
          <w:tcPr>
            <w:tcW w:w="1005"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5,0272</w:t>
            </w:r>
          </w:p>
        </w:tc>
      </w:tr>
      <w:tr w:rsidR="006530BB" w:rsidRPr="00896AA2" w:rsidTr="006530BB">
        <w:trPr>
          <w:trHeight w:val="288"/>
        </w:trPr>
        <w:tc>
          <w:tcPr>
            <w:tcW w:w="0" w:type="auto"/>
            <w:vMerge/>
            <w:tcBorders>
              <w:top w:val="nil"/>
              <w:left w:val="single" w:sz="4" w:space="0" w:color="auto"/>
              <w:bottom w:val="single" w:sz="4" w:space="0" w:color="auto"/>
              <w:right w:val="single" w:sz="4" w:space="0" w:color="auto"/>
            </w:tcBorders>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2592"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Agrupamento/Cerca Viva</w:t>
            </w:r>
          </w:p>
        </w:tc>
        <w:tc>
          <w:tcPr>
            <w:tcW w:w="1279"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color w:val="000000"/>
                <w:sz w:val="18"/>
                <w:szCs w:val="18"/>
                <w:lang w:eastAsia="pt-BR"/>
              </w:rPr>
            </w:pPr>
          </w:p>
        </w:tc>
        <w:tc>
          <w:tcPr>
            <w:tcW w:w="1139"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0,0059</w:t>
            </w:r>
          </w:p>
        </w:tc>
        <w:tc>
          <w:tcPr>
            <w:tcW w:w="1147"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0,1303</w:t>
            </w:r>
          </w:p>
        </w:tc>
        <w:tc>
          <w:tcPr>
            <w:tcW w:w="951"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0,2419</w:t>
            </w:r>
          </w:p>
        </w:tc>
        <w:tc>
          <w:tcPr>
            <w:tcW w:w="1005"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0,3780</w:t>
            </w:r>
          </w:p>
        </w:tc>
      </w:tr>
      <w:tr w:rsidR="006530BB" w:rsidRPr="00896AA2" w:rsidTr="006530BB">
        <w:trPr>
          <w:trHeight w:val="288"/>
        </w:trPr>
        <w:tc>
          <w:tcPr>
            <w:tcW w:w="0" w:type="auto"/>
            <w:vMerge/>
            <w:tcBorders>
              <w:top w:val="nil"/>
              <w:left w:val="single" w:sz="4" w:space="0" w:color="auto"/>
              <w:bottom w:val="single" w:sz="4" w:space="0" w:color="auto"/>
              <w:right w:val="single" w:sz="4" w:space="0" w:color="auto"/>
            </w:tcBorders>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2592"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Campo Antrópico</w:t>
            </w:r>
          </w:p>
        </w:tc>
        <w:tc>
          <w:tcPr>
            <w:tcW w:w="1279"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0,2769</w:t>
            </w:r>
          </w:p>
        </w:tc>
        <w:tc>
          <w:tcPr>
            <w:tcW w:w="1139"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0,3344</w:t>
            </w:r>
          </w:p>
        </w:tc>
        <w:tc>
          <w:tcPr>
            <w:tcW w:w="1147"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1,0708</w:t>
            </w:r>
          </w:p>
        </w:tc>
        <w:tc>
          <w:tcPr>
            <w:tcW w:w="951"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2,6068</w:t>
            </w:r>
          </w:p>
        </w:tc>
        <w:tc>
          <w:tcPr>
            <w:tcW w:w="1005" w:type="dxa"/>
            <w:tcBorders>
              <w:top w:val="nil"/>
              <w:left w:val="nil"/>
              <w:bottom w:val="single" w:sz="4" w:space="0" w:color="auto"/>
              <w:right w:val="single" w:sz="4" w:space="0" w:color="auto"/>
            </w:tcBorders>
            <w:shd w:val="clear" w:color="000000" w:fill="EAF1DD"/>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4,2890</w:t>
            </w:r>
          </w:p>
        </w:tc>
      </w:tr>
      <w:tr w:rsidR="006530BB" w:rsidRPr="00896AA2" w:rsidTr="006530BB">
        <w:trPr>
          <w:trHeight w:val="288"/>
        </w:trPr>
        <w:tc>
          <w:tcPr>
            <w:tcW w:w="0" w:type="auto"/>
            <w:vMerge w:val="restart"/>
            <w:tcBorders>
              <w:top w:val="nil"/>
              <w:left w:val="single" w:sz="4" w:space="0" w:color="auto"/>
              <w:bottom w:val="single" w:sz="4" w:space="0" w:color="auto"/>
              <w:right w:val="single" w:sz="4" w:space="0" w:color="auto"/>
            </w:tcBorders>
            <w:shd w:val="clear" w:color="000000" w:fill="FDE9D9"/>
            <w:vAlign w:val="center"/>
            <w:hideMark/>
          </w:tcPr>
          <w:p w:rsidR="00896AA2" w:rsidRPr="00896AA2" w:rsidRDefault="00896AA2" w:rsidP="00896AA2">
            <w:pPr>
              <w:spacing w:after="0"/>
              <w:jc w:val="center"/>
              <w:rPr>
                <w:rFonts w:eastAsia="Times New Roman" w:cs="Arial"/>
                <w:b/>
                <w:bCs/>
                <w:color w:val="000000"/>
                <w:sz w:val="18"/>
                <w:szCs w:val="18"/>
                <w:lang w:eastAsia="pt-BR"/>
              </w:rPr>
            </w:pPr>
            <w:r w:rsidRPr="00896AA2">
              <w:rPr>
                <w:rFonts w:eastAsia="Times New Roman" w:cs="Arial"/>
                <w:b/>
                <w:bCs/>
                <w:color w:val="000000"/>
                <w:sz w:val="18"/>
                <w:szCs w:val="18"/>
                <w:lang w:eastAsia="pt-BR"/>
              </w:rPr>
              <w:t>Uso Agrícola</w:t>
            </w:r>
          </w:p>
        </w:tc>
        <w:tc>
          <w:tcPr>
            <w:tcW w:w="2592"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Pastagem</w:t>
            </w:r>
          </w:p>
        </w:tc>
        <w:tc>
          <w:tcPr>
            <w:tcW w:w="1279"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3,7405</w:t>
            </w:r>
          </w:p>
        </w:tc>
        <w:tc>
          <w:tcPr>
            <w:tcW w:w="1139"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2,1819</w:t>
            </w:r>
          </w:p>
        </w:tc>
        <w:tc>
          <w:tcPr>
            <w:tcW w:w="1147"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0,3020</w:t>
            </w:r>
          </w:p>
        </w:tc>
        <w:tc>
          <w:tcPr>
            <w:tcW w:w="951"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1,2427</w:t>
            </w:r>
          </w:p>
        </w:tc>
        <w:tc>
          <w:tcPr>
            <w:tcW w:w="1005"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7,4671</w:t>
            </w:r>
          </w:p>
        </w:tc>
      </w:tr>
      <w:tr w:rsidR="006530BB" w:rsidRPr="00896AA2" w:rsidTr="006530BB">
        <w:trPr>
          <w:trHeight w:val="288"/>
        </w:trPr>
        <w:tc>
          <w:tcPr>
            <w:tcW w:w="0" w:type="auto"/>
            <w:vMerge/>
            <w:tcBorders>
              <w:top w:val="nil"/>
              <w:left w:val="single" w:sz="4" w:space="0" w:color="auto"/>
              <w:bottom w:val="single" w:sz="4" w:space="0" w:color="auto"/>
              <w:right w:val="single" w:sz="4" w:space="0" w:color="auto"/>
            </w:tcBorders>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2592"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Chácara</w:t>
            </w:r>
          </w:p>
        </w:tc>
        <w:tc>
          <w:tcPr>
            <w:tcW w:w="1279"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39"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0,1951</w:t>
            </w:r>
          </w:p>
        </w:tc>
        <w:tc>
          <w:tcPr>
            <w:tcW w:w="1147"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0,0090</w:t>
            </w:r>
          </w:p>
        </w:tc>
        <w:tc>
          <w:tcPr>
            <w:tcW w:w="951"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0,0989</w:t>
            </w:r>
          </w:p>
        </w:tc>
        <w:tc>
          <w:tcPr>
            <w:tcW w:w="1005"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0,3030</w:t>
            </w:r>
          </w:p>
        </w:tc>
      </w:tr>
      <w:tr w:rsidR="006530BB" w:rsidRPr="00896AA2" w:rsidTr="006530BB">
        <w:trPr>
          <w:trHeight w:val="288"/>
        </w:trPr>
        <w:tc>
          <w:tcPr>
            <w:tcW w:w="0" w:type="auto"/>
            <w:vMerge/>
            <w:tcBorders>
              <w:top w:val="nil"/>
              <w:left w:val="single" w:sz="4" w:space="0" w:color="auto"/>
              <w:bottom w:val="single" w:sz="4" w:space="0" w:color="auto"/>
              <w:right w:val="single" w:sz="4" w:space="0" w:color="auto"/>
            </w:tcBorders>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2592"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Cultivo</w:t>
            </w:r>
          </w:p>
        </w:tc>
        <w:tc>
          <w:tcPr>
            <w:tcW w:w="1279"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39"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47"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0,0110</w:t>
            </w:r>
          </w:p>
        </w:tc>
        <w:tc>
          <w:tcPr>
            <w:tcW w:w="951"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0,0087</w:t>
            </w:r>
          </w:p>
        </w:tc>
        <w:tc>
          <w:tcPr>
            <w:tcW w:w="1005"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0,0197</w:t>
            </w:r>
          </w:p>
        </w:tc>
      </w:tr>
      <w:tr w:rsidR="006530BB" w:rsidRPr="00896AA2" w:rsidTr="006530BB">
        <w:trPr>
          <w:trHeight w:val="288"/>
        </w:trPr>
        <w:tc>
          <w:tcPr>
            <w:tcW w:w="0" w:type="auto"/>
            <w:vMerge/>
            <w:tcBorders>
              <w:top w:val="nil"/>
              <w:left w:val="single" w:sz="4" w:space="0" w:color="auto"/>
              <w:bottom w:val="single" w:sz="4" w:space="0" w:color="auto"/>
              <w:right w:val="single" w:sz="4" w:space="0" w:color="auto"/>
            </w:tcBorders>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2592"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Solo Exposto</w:t>
            </w:r>
          </w:p>
        </w:tc>
        <w:tc>
          <w:tcPr>
            <w:tcW w:w="1279"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0,1016</w:t>
            </w:r>
          </w:p>
        </w:tc>
        <w:tc>
          <w:tcPr>
            <w:tcW w:w="1139"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0,2285</w:t>
            </w:r>
          </w:p>
        </w:tc>
        <w:tc>
          <w:tcPr>
            <w:tcW w:w="1147"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0,1458</w:t>
            </w:r>
          </w:p>
        </w:tc>
        <w:tc>
          <w:tcPr>
            <w:tcW w:w="951"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0,3189</w:t>
            </w:r>
          </w:p>
        </w:tc>
        <w:tc>
          <w:tcPr>
            <w:tcW w:w="1005" w:type="dxa"/>
            <w:tcBorders>
              <w:top w:val="nil"/>
              <w:left w:val="nil"/>
              <w:bottom w:val="single" w:sz="4" w:space="0" w:color="auto"/>
              <w:right w:val="single" w:sz="4" w:space="0" w:color="auto"/>
            </w:tcBorders>
            <w:shd w:val="clear" w:color="000000" w:fill="FDE9D9"/>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0,7948</w:t>
            </w:r>
          </w:p>
        </w:tc>
      </w:tr>
      <w:tr w:rsidR="006530BB" w:rsidRPr="00896AA2" w:rsidTr="006530BB">
        <w:trPr>
          <w:trHeight w:val="288"/>
        </w:trPr>
        <w:tc>
          <w:tcPr>
            <w:tcW w:w="0" w:type="auto"/>
            <w:vMerge w:val="restart"/>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896AA2" w:rsidRPr="00896AA2" w:rsidRDefault="00896AA2" w:rsidP="00896AA2">
            <w:pPr>
              <w:spacing w:after="0"/>
              <w:jc w:val="center"/>
              <w:rPr>
                <w:rFonts w:eastAsia="Times New Roman" w:cs="Arial"/>
                <w:b/>
                <w:bCs/>
                <w:color w:val="000000"/>
                <w:sz w:val="18"/>
                <w:szCs w:val="18"/>
                <w:lang w:eastAsia="pt-BR"/>
              </w:rPr>
            </w:pPr>
            <w:r w:rsidRPr="00896AA2">
              <w:rPr>
                <w:rFonts w:eastAsia="Times New Roman" w:cs="Arial"/>
                <w:b/>
                <w:bCs/>
                <w:color w:val="000000"/>
                <w:sz w:val="18"/>
                <w:szCs w:val="18"/>
                <w:lang w:eastAsia="pt-BR"/>
              </w:rPr>
              <w:t>Uso Não Agrícola</w:t>
            </w:r>
          </w:p>
        </w:tc>
        <w:tc>
          <w:tcPr>
            <w:tcW w:w="2592"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Área Urbanizada</w:t>
            </w:r>
          </w:p>
        </w:tc>
        <w:tc>
          <w:tcPr>
            <w:tcW w:w="1279"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39"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47"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951"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0,0002</w:t>
            </w:r>
          </w:p>
        </w:tc>
        <w:tc>
          <w:tcPr>
            <w:tcW w:w="1005"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0,0002</w:t>
            </w:r>
          </w:p>
        </w:tc>
      </w:tr>
      <w:tr w:rsidR="006530BB" w:rsidRPr="00896AA2" w:rsidTr="006530BB">
        <w:trPr>
          <w:trHeight w:val="288"/>
        </w:trPr>
        <w:tc>
          <w:tcPr>
            <w:tcW w:w="0" w:type="auto"/>
            <w:vMerge/>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2592"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6530BB" w:rsidP="00896AA2">
            <w:pPr>
              <w:spacing w:after="0"/>
              <w:jc w:val="left"/>
              <w:rPr>
                <w:rFonts w:eastAsia="Times New Roman" w:cs="Arial"/>
                <w:color w:val="000000"/>
                <w:sz w:val="18"/>
                <w:szCs w:val="18"/>
                <w:lang w:eastAsia="pt-BR"/>
              </w:rPr>
            </w:pPr>
            <w:r>
              <w:rPr>
                <w:rFonts w:eastAsia="Times New Roman" w:cs="Arial"/>
                <w:color w:val="000000"/>
                <w:sz w:val="18"/>
                <w:szCs w:val="18"/>
                <w:lang w:eastAsia="pt-BR"/>
              </w:rPr>
              <w:t>Equipamento/Infra</w:t>
            </w:r>
            <w:r w:rsidR="00896AA2" w:rsidRPr="00896AA2">
              <w:rPr>
                <w:rFonts w:eastAsia="Times New Roman" w:cs="Arial"/>
                <w:color w:val="000000"/>
                <w:sz w:val="18"/>
                <w:szCs w:val="18"/>
                <w:lang w:eastAsia="pt-BR"/>
              </w:rPr>
              <w:t>estrutura</w:t>
            </w:r>
          </w:p>
        </w:tc>
        <w:tc>
          <w:tcPr>
            <w:tcW w:w="1279"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39"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0,0454</w:t>
            </w:r>
          </w:p>
        </w:tc>
        <w:tc>
          <w:tcPr>
            <w:tcW w:w="1147"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951"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005"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0,0454</w:t>
            </w:r>
          </w:p>
        </w:tc>
      </w:tr>
      <w:tr w:rsidR="006530BB" w:rsidRPr="00896AA2" w:rsidTr="006530BB">
        <w:trPr>
          <w:trHeight w:val="288"/>
        </w:trPr>
        <w:tc>
          <w:tcPr>
            <w:tcW w:w="0" w:type="auto"/>
            <w:vMerge/>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2592"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Edificação</w:t>
            </w:r>
          </w:p>
        </w:tc>
        <w:tc>
          <w:tcPr>
            <w:tcW w:w="1279"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39"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0,0007</w:t>
            </w:r>
          </w:p>
        </w:tc>
        <w:tc>
          <w:tcPr>
            <w:tcW w:w="1147"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0,0124</w:t>
            </w:r>
          </w:p>
        </w:tc>
        <w:tc>
          <w:tcPr>
            <w:tcW w:w="951"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0,2201</w:t>
            </w:r>
          </w:p>
        </w:tc>
        <w:tc>
          <w:tcPr>
            <w:tcW w:w="1005"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0,2332</w:t>
            </w:r>
          </w:p>
        </w:tc>
      </w:tr>
      <w:tr w:rsidR="006530BB" w:rsidRPr="00896AA2" w:rsidTr="006530BB">
        <w:trPr>
          <w:trHeight w:val="288"/>
        </w:trPr>
        <w:tc>
          <w:tcPr>
            <w:tcW w:w="0" w:type="auto"/>
            <w:vMerge/>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2592"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Indústria</w:t>
            </w:r>
          </w:p>
        </w:tc>
        <w:tc>
          <w:tcPr>
            <w:tcW w:w="1279"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39"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47"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0,0023</w:t>
            </w:r>
          </w:p>
        </w:tc>
        <w:tc>
          <w:tcPr>
            <w:tcW w:w="951"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005"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0,0023</w:t>
            </w:r>
          </w:p>
        </w:tc>
      </w:tr>
      <w:tr w:rsidR="006530BB" w:rsidRPr="00896AA2" w:rsidTr="006530BB">
        <w:trPr>
          <w:trHeight w:val="288"/>
        </w:trPr>
        <w:tc>
          <w:tcPr>
            <w:tcW w:w="0" w:type="auto"/>
            <w:vMerge/>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2592"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Viário Pavimentado</w:t>
            </w:r>
          </w:p>
        </w:tc>
        <w:tc>
          <w:tcPr>
            <w:tcW w:w="1279"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39"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47"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0,1624</w:t>
            </w:r>
          </w:p>
        </w:tc>
        <w:tc>
          <w:tcPr>
            <w:tcW w:w="951"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0,3423</w:t>
            </w:r>
          </w:p>
        </w:tc>
        <w:tc>
          <w:tcPr>
            <w:tcW w:w="1005"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0,5047</w:t>
            </w:r>
          </w:p>
        </w:tc>
      </w:tr>
      <w:tr w:rsidR="006530BB" w:rsidRPr="00896AA2" w:rsidTr="006530BB">
        <w:trPr>
          <w:trHeight w:val="288"/>
        </w:trPr>
        <w:tc>
          <w:tcPr>
            <w:tcW w:w="0" w:type="auto"/>
            <w:vMerge/>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2592"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Viário Não Pavimentado</w:t>
            </w:r>
          </w:p>
        </w:tc>
        <w:tc>
          <w:tcPr>
            <w:tcW w:w="1279"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0,0139</w:t>
            </w:r>
          </w:p>
        </w:tc>
        <w:tc>
          <w:tcPr>
            <w:tcW w:w="1139"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0,6477</w:t>
            </w:r>
          </w:p>
        </w:tc>
        <w:tc>
          <w:tcPr>
            <w:tcW w:w="1147"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1,4663</w:t>
            </w:r>
          </w:p>
        </w:tc>
        <w:tc>
          <w:tcPr>
            <w:tcW w:w="951"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3,6147</w:t>
            </w:r>
          </w:p>
        </w:tc>
        <w:tc>
          <w:tcPr>
            <w:tcW w:w="1005"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5,7426</w:t>
            </w:r>
          </w:p>
        </w:tc>
      </w:tr>
      <w:tr w:rsidR="006530BB" w:rsidRPr="00896AA2" w:rsidTr="006530BB">
        <w:trPr>
          <w:trHeight w:val="288"/>
        </w:trPr>
        <w:tc>
          <w:tcPr>
            <w:tcW w:w="0" w:type="auto"/>
            <w:vMerge/>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2592"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Açude</w:t>
            </w:r>
          </w:p>
        </w:tc>
        <w:tc>
          <w:tcPr>
            <w:tcW w:w="1279"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39"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47"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0,0121</w:t>
            </w:r>
          </w:p>
        </w:tc>
        <w:tc>
          <w:tcPr>
            <w:tcW w:w="951"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005"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0,0121</w:t>
            </w:r>
          </w:p>
        </w:tc>
      </w:tr>
      <w:tr w:rsidR="006530BB" w:rsidRPr="00896AA2" w:rsidTr="006530BB">
        <w:trPr>
          <w:trHeight w:val="288"/>
        </w:trPr>
        <w:tc>
          <w:tcPr>
            <w:tcW w:w="0" w:type="auto"/>
            <w:vMerge/>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896AA2" w:rsidRPr="00896AA2" w:rsidRDefault="00896AA2" w:rsidP="00896AA2">
            <w:pPr>
              <w:spacing w:after="0"/>
              <w:jc w:val="center"/>
              <w:rPr>
                <w:rFonts w:eastAsia="Times New Roman" w:cs="Arial"/>
                <w:b/>
                <w:bCs/>
                <w:color w:val="000000"/>
                <w:sz w:val="18"/>
                <w:szCs w:val="18"/>
                <w:lang w:eastAsia="pt-BR"/>
              </w:rPr>
            </w:pPr>
          </w:p>
        </w:tc>
        <w:tc>
          <w:tcPr>
            <w:tcW w:w="2592"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left"/>
              <w:rPr>
                <w:rFonts w:eastAsia="Times New Roman" w:cs="Arial"/>
                <w:color w:val="000000"/>
                <w:sz w:val="18"/>
                <w:szCs w:val="18"/>
                <w:lang w:eastAsia="pt-BR"/>
              </w:rPr>
            </w:pPr>
            <w:r w:rsidRPr="00896AA2">
              <w:rPr>
                <w:rFonts w:eastAsia="Times New Roman" w:cs="Arial"/>
                <w:color w:val="000000"/>
                <w:sz w:val="18"/>
                <w:szCs w:val="18"/>
                <w:lang w:eastAsia="pt-BR"/>
              </w:rPr>
              <w:t>Reservatório</w:t>
            </w:r>
          </w:p>
        </w:tc>
        <w:tc>
          <w:tcPr>
            <w:tcW w:w="1279"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sidRPr="00896AA2">
              <w:rPr>
                <w:rFonts w:eastAsia="Times New Roman" w:cs="Arial"/>
                <w:color w:val="000000"/>
                <w:sz w:val="18"/>
                <w:szCs w:val="18"/>
                <w:lang w:eastAsia="pt-BR"/>
              </w:rPr>
              <w:t>1,5218</w:t>
            </w:r>
          </w:p>
        </w:tc>
        <w:tc>
          <w:tcPr>
            <w:tcW w:w="1139"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47"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951"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005" w:type="dxa"/>
            <w:tcBorders>
              <w:top w:val="nil"/>
              <w:left w:val="nil"/>
              <w:bottom w:val="single" w:sz="4" w:space="0" w:color="auto"/>
              <w:right w:val="single" w:sz="4" w:space="0" w:color="auto"/>
            </w:tcBorders>
            <w:shd w:val="clear" w:color="auto" w:fill="FBD4B4" w:themeFill="accent6" w:themeFillTint="66"/>
            <w:noWrap/>
            <w:vAlign w:val="center"/>
            <w:hideMark/>
          </w:tcPr>
          <w:p w:rsidR="00896AA2" w:rsidRPr="00896AA2" w:rsidRDefault="00896AA2" w:rsidP="00896AA2">
            <w:pPr>
              <w:spacing w:after="0"/>
              <w:jc w:val="center"/>
              <w:rPr>
                <w:rFonts w:eastAsia="Times New Roman" w:cs="Arial"/>
                <w:b/>
                <w:color w:val="000000"/>
                <w:sz w:val="18"/>
                <w:szCs w:val="18"/>
                <w:lang w:eastAsia="pt-BR"/>
              </w:rPr>
            </w:pPr>
            <w:r w:rsidRPr="00896AA2">
              <w:rPr>
                <w:rFonts w:eastAsia="Times New Roman" w:cs="Arial"/>
                <w:b/>
                <w:color w:val="000000"/>
                <w:sz w:val="18"/>
                <w:szCs w:val="18"/>
                <w:lang w:eastAsia="pt-BR"/>
              </w:rPr>
              <w:t>1,5218</w:t>
            </w:r>
          </w:p>
        </w:tc>
      </w:tr>
      <w:tr w:rsidR="00896AA2" w:rsidRPr="00896AA2" w:rsidTr="006530BB">
        <w:trPr>
          <w:trHeight w:val="288"/>
        </w:trPr>
        <w:tc>
          <w:tcPr>
            <w:tcW w:w="376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96AA2" w:rsidRPr="00896AA2" w:rsidRDefault="00896AA2" w:rsidP="00896AA2">
            <w:pPr>
              <w:spacing w:after="0"/>
              <w:jc w:val="center"/>
              <w:rPr>
                <w:rFonts w:eastAsia="Times New Roman" w:cs="Arial"/>
                <w:b/>
                <w:bCs/>
                <w:color w:val="000000"/>
                <w:sz w:val="18"/>
                <w:szCs w:val="18"/>
                <w:lang w:eastAsia="pt-BR"/>
              </w:rPr>
            </w:pPr>
            <w:r w:rsidRPr="00896AA2">
              <w:rPr>
                <w:rFonts w:eastAsia="Times New Roman" w:cs="Arial"/>
                <w:b/>
                <w:bCs/>
                <w:color w:val="000000"/>
                <w:sz w:val="18"/>
                <w:szCs w:val="18"/>
                <w:lang w:eastAsia="pt-BR"/>
              </w:rPr>
              <w:t>Total Geral</w:t>
            </w:r>
          </w:p>
        </w:tc>
        <w:tc>
          <w:tcPr>
            <w:tcW w:w="1279" w:type="dxa"/>
            <w:tcBorders>
              <w:top w:val="nil"/>
              <w:left w:val="nil"/>
              <w:bottom w:val="single" w:sz="4" w:space="0" w:color="auto"/>
              <w:right w:val="single" w:sz="4" w:space="0" w:color="auto"/>
            </w:tcBorders>
            <w:shd w:val="clear" w:color="auto" w:fill="D9D9D9" w:themeFill="background1" w:themeFillShade="D9"/>
            <w:noWrap/>
            <w:vAlign w:val="center"/>
            <w:hideMark/>
          </w:tcPr>
          <w:p w:rsidR="00896AA2" w:rsidRPr="00896AA2" w:rsidRDefault="00896AA2" w:rsidP="00896AA2">
            <w:pPr>
              <w:spacing w:after="0"/>
              <w:jc w:val="center"/>
              <w:rPr>
                <w:rFonts w:eastAsia="Times New Roman" w:cs="Arial"/>
                <w:b/>
                <w:bCs/>
                <w:color w:val="000000"/>
                <w:sz w:val="18"/>
                <w:szCs w:val="18"/>
                <w:lang w:eastAsia="pt-BR"/>
              </w:rPr>
            </w:pPr>
            <w:r w:rsidRPr="00896AA2">
              <w:rPr>
                <w:rFonts w:eastAsia="Times New Roman" w:cs="Arial"/>
                <w:b/>
                <w:bCs/>
                <w:color w:val="000000"/>
                <w:sz w:val="18"/>
                <w:szCs w:val="18"/>
                <w:lang w:eastAsia="pt-BR"/>
              </w:rPr>
              <w:t>6,1635</w:t>
            </w:r>
          </w:p>
        </w:tc>
        <w:tc>
          <w:tcPr>
            <w:tcW w:w="1139" w:type="dxa"/>
            <w:tcBorders>
              <w:top w:val="nil"/>
              <w:left w:val="nil"/>
              <w:bottom w:val="single" w:sz="4" w:space="0" w:color="auto"/>
              <w:right w:val="single" w:sz="4" w:space="0" w:color="auto"/>
            </w:tcBorders>
            <w:shd w:val="clear" w:color="auto" w:fill="D9D9D9" w:themeFill="background1" w:themeFillShade="D9"/>
            <w:noWrap/>
            <w:vAlign w:val="center"/>
            <w:hideMark/>
          </w:tcPr>
          <w:p w:rsidR="00896AA2" w:rsidRPr="00896AA2" w:rsidRDefault="00896AA2" w:rsidP="00896AA2">
            <w:pPr>
              <w:spacing w:after="0"/>
              <w:jc w:val="center"/>
              <w:rPr>
                <w:rFonts w:eastAsia="Times New Roman" w:cs="Arial"/>
                <w:b/>
                <w:bCs/>
                <w:color w:val="000000"/>
                <w:sz w:val="18"/>
                <w:szCs w:val="18"/>
                <w:lang w:eastAsia="pt-BR"/>
              </w:rPr>
            </w:pPr>
            <w:r w:rsidRPr="00896AA2">
              <w:rPr>
                <w:rFonts w:eastAsia="Times New Roman" w:cs="Arial"/>
                <w:b/>
                <w:bCs/>
                <w:color w:val="000000"/>
                <w:sz w:val="18"/>
                <w:szCs w:val="18"/>
                <w:lang w:eastAsia="pt-BR"/>
              </w:rPr>
              <w:t>4,7877</w:t>
            </w:r>
          </w:p>
        </w:tc>
        <w:tc>
          <w:tcPr>
            <w:tcW w:w="1147" w:type="dxa"/>
            <w:tcBorders>
              <w:top w:val="nil"/>
              <w:left w:val="nil"/>
              <w:bottom w:val="single" w:sz="4" w:space="0" w:color="auto"/>
              <w:right w:val="single" w:sz="4" w:space="0" w:color="auto"/>
            </w:tcBorders>
            <w:shd w:val="clear" w:color="auto" w:fill="D9D9D9" w:themeFill="background1" w:themeFillShade="D9"/>
            <w:noWrap/>
            <w:vAlign w:val="center"/>
            <w:hideMark/>
          </w:tcPr>
          <w:p w:rsidR="00896AA2" w:rsidRPr="00896AA2" w:rsidRDefault="00896AA2" w:rsidP="00896AA2">
            <w:pPr>
              <w:spacing w:after="0"/>
              <w:jc w:val="center"/>
              <w:rPr>
                <w:rFonts w:eastAsia="Times New Roman" w:cs="Arial"/>
                <w:b/>
                <w:bCs/>
                <w:color w:val="000000"/>
                <w:sz w:val="18"/>
                <w:szCs w:val="18"/>
                <w:lang w:eastAsia="pt-BR"/>
              </w:rPr>
            </w:pPr>
            <w:r w:rsidRPr="00896AA2">
              <w:rPr>
                <w:rFonts w:eastAsia="Times New Roman" w:cs="Arial"/>
                <w:b/>
                <w:bCs/>
                <w:color w:val="000000"/>
                <w:sz w:val="18"/>
                <w:szCs w:val="18"/>
                <w:lang w:eastAsia="pt-BR"/>
              </w:rPr>
              <w:t>4,2512</w:t>
            </w:r>
          </w:p>
        </w:tc>
        <w:tc>
          <w:tcPr>
            <w:tcW w:w="951" w:type="dxa"/>
            <w:tcBorders>
              <w:top w:val="nil"/>
              <w:left w:val="nil"/>
              <w:bottom w:val="single" w:sz="4" w:space="0" w:color="auto"/>
              <w:right w:val="single" w:sz="4" w:space="0" w:color="auto"/>
            </w:tcBorders>
            <w:shd w:val="clear" w:color="auto" w:fill="D9D9D9" w:themeFill="background1" w:themeFillShade="D9"/>
            <w:noWrap/>
            <w:vAlign w:val="center"/>
            <w:hideMark/>
          </w:tcPr>
          <w:p w:rsidR="00896AA2" w:rsidRPr="00896AA2" w:rsidRDefault="00896AA2" w:rsidP="00896AA2">
            <w:pPr>
              <w:spacing w:after="0"/>
              <w:jc w:val="center"/>
              <w:rPr>
                <w:rFonts w:eastAsia="Times New Roman" w:cs="Arial"/>
                <w:b/>
                <w:bCs/>
                <w:color w:val="000000"/>
                <w:sz w:val="18"/>
                <w:szCs w:val="18"/>
                <w:lang w:eastAsia="pt-BR"/>
              </w:rPr>
            </w:pPr>
            <w:r w:rsidRPr="00896AA2">
              <w:rPr>
                <w:rFonts w:eastAsia="Times New Roman" w:cs="Arial"/>
                <w:b/>
                <w:bCs/>
                <w:color w:val="000000"/>
                <w:sz w:val="18"/>
                <w:szCs w:val="18"/>
                <w:lang w:eastAsia="pt-BR"/>
              </w:rPr>
              <w:t>13,4757</w:t>
            </w:r>
          </w:p>
        </w:tc>
        <w:tc>
          <w:tcPr>
            <w:tcW w:w="1005" w:type="dxa"/>
            <w:tcBorders>
              <w:top w:val="nil"/>
              <w:left w:val="nil"/>
              <w:bottom w:val="single" w:sz="4" w:space="0" w:color="auto"/>
              <w:right w:val="single" w:sz="4" w:space="0" w:color="auto"/>
            </w:tcBorders>
            <w:shd w:val="clear" w:color="auto" w:fill="D9D9D9" w:themeFill="background1" w:themeFillShade="D9"/>
            <w:noWrap/>
            <w:vAlign w:val="center"/>
            <w:hideMark/>
          </w:tcPr>
          <w:p w:rsidR="00896AA2" w:rsidRPr="00896AA2" w:rsidRDefault="00896AA2" w:rsidP="00896AA2">
            <w:pPr>
              <w:spacing w:after="0"/>
              <w:jc w:val="center"/>
              <w:rPr>
                <w:rFonts w:eastAsia="Times New Roman" w:cs="Arial"/>
                <w:b/>
                <w:bCs/>
                <w:color w:val="000000"/>
                <w:sz w:val="18"/>
                <w:szCs w:val="18"/>
                <w:lang w:eastAsia="pt-BR"/>
              </w:rPr>
            </w:pPr>
            <w:r w:rsidRPr="00896AA2">
              <w:rPr>
                <w:rFonts w:eastAsia="Times New Roman" w:cs="Arial"/>
                <w:b/>
                <w:bCs/>
                <w:color w:val="000000"/>
                <w:sz w:val="18"/>
                <w:szCs w:val="18"/>
                <w:lang w:eastAsia="pt-BR"/>
              </w:rPr>
              <w:t>28,6781</w:t>
            </w:r>
          </w:p>
        </w:tc>
      </w:tr>
    </w:tbl>
    <w:p w:rsidR="000D0D7C" w:rsidRDefault="000D0D7C" w:rsidP="000D0D7C">
      <w:pPr>
        <w:pStyle w:val="Ttulo4"/>
      </w:pPr>
      <w:bookmarkStart w:id="160" w:name="_Toc411871222"/>
      <w:r>
        <w:rPr>
          <w:rFonts w:eastAsia="MS Mincho"/>
        </w:rPr>
        <w:lastRenderedPageBreak/>
        <w:t>Interf</w:t>
      </w:r>
      <w:r w:rsidR="00784F95">
        <w:rPr>
          <w:rFonts w:eastAsia="MS Mincho"/>
        </w:rPr>
        <w:t>ace</w:t>
      </w:r>
      <w:r>
        <w:rPr>
          <w:rFonts w:eastAsia="MS Mincho"/>
        </w:rPr>
        <w:t xml:space="preserve"> do Projeto com</w:t>
      </w:r>
      <w:r>
        <w:t xml:space="preserve"> o Parque Estadual Itaberaba</w:t>
      </w:r>
      <w:bookmarkEnd w:id="160"/>
    </w:p>
    <w:p w:rsidR="00870A60" w:rsidRDefault="002F2FC8" w:rsidP="002F2FC8">
      <w:r>
        <w:t>A interface do</w:t>
      </w:r>
      <w:r w:rsidR="00870A60">
        <w:t xml:space="preserve"> </w:t>
      </w:r>
      <w:r w:rsidR="00A54DA1">
        <w:t xml:space="preserve">Projeto </w:t>
      </w:r>
      <w:r>
        <w:t xml:space="preserve">de </w:t>
      </w:r>
      <w:r w:rsidR="00A54DA1">
        <w:t xml:space="preserve">Interligação </w:t>
      </w:r>
      <w:r w:rsidR="00870A60">
        <w:t xml:space="preserve">Jaguari Atibainha </w:t>
      </w:r>
      <w:r w:rsidR="00253269">
        <w:t xml:space="preserve">com o </w:t>
      </w:r>
      <w:r>
        <w:t xml:space="preserve">Parque Estadual Itaberaba </w:t>
      </w:r>
      <w:r w:rsidR="00253269">
        <w:t xml:space="preserve">se dará exclusivamente na Zona de Amortecimento </w:t>
      </w:r>
      <w:r w:rsidR="00A52105">
        <w:t>do Parque</w:t>
      </w:r>
      <w:r w:rsidR="00253269">
        <w:t xml:space="preserve">, </w:t>
      </w:r>
      <w:r>
        <w:t>no</w:t>
      </w:r>
      <w:r w:rsidR="00870A60">
        <w:t xml:space="preserve"> município de Igaratá</w:t>
      </w:r>
      <w:r w:rsidR="00A52105">
        <w:t>, ao longo de 3,3 km de adutora</w:t>
      </w:r>
      <w:r w:rsidR="00CA060F">
        <w:t xml:space="preserve"> enterrada</w:t>
      </w:r>
      <w:r w:rsidR="00A52105">
        <w:t>,</w:t>
      </w:r>
      <w:r w:rsidR="00A52105" w:rsidRPr="00A52105">
        <w:t xml:space="preserve"> </w:t>
      </w:r>
      <w:r w:rsidR="00A52105">
        <w:t>do Km 7,7+40m até o Km 11,0+40m, conforme pode ser visualizado na</w:t>
      </w:r>
      <w:r w:rsidR="000E038D">
        <w:t>s</w:t>
      </w:r>
      <w:r w:rsidR="00A52105">
        <w:t xml:space="preserve"> </w:t>
      </w:r>
      <w:r w:rsidR="00A52105" w:rsidRPr="00A54DA1">
        <w:rPr>
          <w:b/>
        </w:rPr>
        <w:t>Figura</w:t>
      </w:r>
      <w:r w:rsidR="000E038D">
        <w:rPr>
          <w:b/>
        </w:rPr>
        <w:t>s</w:t>
      </w:r>
      <w:r w:rsidR="00A52105" w:rsidRPr="00A54DA1">
        <w:rPr>
          <w:b/>
        </w:rPr>
        <w:t xml:space="preserve"> 6.4.6-2</w:t>
      </w:r>
      <w:r w:rsidR="00A52105">
        <w:t xml:space="preserve"> </w:t>
      </w:r>
      <w:r w:rsidR="000E038D">
        <w:t xml:space="preserve">e </w:t>
      </w:r>
      <w:r w:rsidR="000E038D" w:rsidRPr="000E038D">
        <w:rPr>
          <w:b/>
        </w:rPr>
        <w:t>6.4.6-3</w:t>
      </w:r>
      <w:r w:rsidR="00A52105">
        <w:t xml:space="preserve">. </w:t>
      </w:r>
    </w:p>
    <w:p w:rsidR="00870A60" w:rsidRDefault="00A52105" w:rsidP="00870A60">
      <w:r>
        <w:t xml:space="preserve">A </w:t>
      </w:r>
      <w:r w:rsidR="00870A60">
        <w:t>ADA d</w:t>
      </w:r>
      <w:r>
        <w:t>a</w:t>
      </w:r>
      <w:r w:rsidR="00870A60">
        <w:t xml:space="preserve"> </w:t>
      </w:r>
      <w:r>
        <w:t>Interligação ocupará</w:t>
      </w:r>
      <w:r w:rsidR="00CA060F">
        <w:t>,</w:t>
      </w:r>
      <w:r>
        <w:t xml:space="preserve"> </w:t>
      </w:r>
      <w:r w:rsidR="001652B7">
        <w:t>principalmente</w:t>
      </w:r>
      <w:r w:rsidR="00CA060F">
        <w:t>,</w:t>
      </w:r>
      <w:r w:rsidR="001652B7">
        <w:t xml:space="preserve"> </w:t>
      </w:r>
      <w:r w:rsidR="00CA060F">
        <w:t xml:space="preserve">estrada vicinal não pavimentada e faixas </w:t>
      </w:r>
      <w:r w:rsidR="00CA060F" w:rsidRPr="002146FB">
        <w:t>lindeiras</w:t>
      </w:r>
      <w:r w:rsidR="001652B7" w:rsidRPr="002146FB">
        <w:t xml:space="preserve"> </w:t>
      </w:r>
      <w:r w:rsidR="00CA060F" w:rsidRPr="002146FB">
        <w:t>com cobertura de</w:t>
      </w:r>
      <w:r w:rsidR="001652B7" w:rsidRPr="002146FB">
        <w:t xml:space="preserve"> reflorestamento, campo antrópico e pastagens.</w:t>
      </w:r>
      <w:r w:rsidR="00440FCF" w:rsidRPr="002146FB">
        <w:t xml:space="preserve"> </w:t>
      </w:r>
      <w:r w:rsidR="002146FB" w:rsidRPr="002146FB">
        <w:t xml:space="preserve">As instalações da adutora devem afetar </w:t>
      </w:r>
      <w:r w:rsidR="00440FCF" w:rsidRPr="002146FB">
        <w:t>0,5 ha de vegetação nativa florestal (estágios avançado e inicial) na ZA do Parque Estadual Itaberaba</w:t>
      </w:r>
      <w:r w:rsidR="000C2C21" w:rsidRPr="002146FB">
        <w:t xml:space="preserve"> no município de Igaratá</w:t>
      </w:r>
      <w:r w:rsidR="00440FCF" w:rsidRPr="002146FB">
        <w:t>.</w:t>
      </w:r>
    </w:p>
    <w:p w:rsidR="00CA060F" w:rsidRDefault="00CA060F" w:rsidP="00870A60">
      <w:r>
        <w:t xml:space="preserve">No total, a intervenção da Interligação </w:t>
      </w:r>
      <w:r w:rsidR="00253269">
        <w:t xml:space="preserve">na ZA do PE Itaberaba </w:t>
      </w:r>
      <w:r w:rsidR="00870A60">
        <w:t xml:space="preserve">envolverá </w:t>
      </w:r>
      <w:r w:rsidR="001652B7">
        <w:t xml:space="preserve">um total de </w:t>
      </w:r>
      <w:r w:rsidR="001652B7" w:rsidRPr="00253269">
        <w:rPr>
          <w:u w:val="single"/>
        </w:rPr>
        <w:t xml:space="preserve">5,99 </w:t>
      </w:r>
      <w:r w:rsidR="00253269" w:rsidRPr="00253269">
        <w:rPr>
          <w:u w:val="single"/>
        </w:rPr>
        <w:t>ha</w:t>
      </w:r>
      <w:r w:rsidR="00253269">
        <w:t xml:space="preserve"> </w:t>
      </w:r>
      <w:r w:rsidR="00460877" w:rsidRPr="002146FB">
        <w:t xml:space="preserve">distribuídos em categorias de vegetação nativa e antropizada, e tipologias de uso e ocupação antrópica do solo, sendo </w:t>
      </w:r>
      <w:r w:rsidR="00460877" w:rsidRPr="002146FB">
        <w:rPr>
          <w:u w:val="single"/>
        </w:rPr>
        <w:t>2 ha em APP</w:t>
      </w:r>
      <w:r w:rsidRPr="002146FB">
        <w:t>.</w:t>
      </w:r>
    </w:p>
    <w:p w:rsidR="001652B7" w:rsidRDefault="00CA060F" w:rsidP="00870A60">
      <w:r w:rsidRPr="00CA060F">
        <w:t xml:space="preserve">As </w:t>
      </w:r>
      <w:r w:rsidR="00120FB0" w:rsidRPr="00CA060F">
        <w:rPr>
          <w:b/>
        </w:rPr>
        <w:t>Figura</w:t>
      </w:r>
      <w:r w:rsidR="00E42788" w:rsidRPr="00CA060F">
        <w:rPr>
          <w:b/>
        </w:rPr>
        <w:t>s</w:t>
      </w:r>
      <w:r w:rsidR="00120FB0" w:rsidRPr="00CA060F">
        <w:rPr>
          <w:b/>
        </w:rPr>
        <w:t xml:space="preserve"> </w:t>
      </w:r>
      <w:r w:rsidRPr="00CA060F">
        <w:rPr>
          <w:b/>
        </w:rPr>
        <w:t>A2</w:t>
      </w:r>
      <w:r w:rsidR="00120FB0" w:rsidRPr="00CA060F">
        <w:t xml:space="preserve"> </w:t>
      </w:r>
      <w:r w:rsidR="00E42788" w:rsidRPr="00CA060F">
        <w:t xml:space="preserve">e </w:t>
      </w:r>
      <w:r w:rsidRPr="00CA060F">
        <w:rPr>
          <w:b/>
        </w:rPr>
        <w:t>A5</w:t>
      </w:r>
      <w:r w:rsidR="00120FB0" w:rsidRPr="00CA060F">
        <w:t xml:space="preserve">, </w:t>
      </w:r>
      <w:r w:rsidR="00120FB0" w:rsidRPr="00CA060F">
        <w:rPr>
          <w:b/>
        </w:rPr>
        <w:t>Vol</w:t>
      </w:r>
      <w:r w:rsidRPr="00CA060F">
        <w:rPr>
          <w:b/>
        </w:rPr>
        <w:t>ume</w:t>
      </w:r>
      <w:r w:rsidR="00120FB0" w:rsidRPr="00CA060F">
        <w:rPr>
          <w:b/>
        </w:rPr>
        <w:t xml:space="preserve"> III</w:t>
      </w:r>
      <w:r w:rsidR="00120FB0" w:rsidRPr="00CA060F">
        <w:t xml:space="preserve">, </w:t>
      </w:r>
      <w:r w:rsidRPr="00CA060F">
        <w:t xml:space="preserve">apresentam o traçado e a área de intervenção </w:t>
      </w:r>
      <w:r w:rsidR="00120FB0" w:rsidRPr="00CA060F">
        <w:t xml:space="preserve">sobre </w:t>
      </w:r>
      <w:r w:rsidRPr="00CA060F">
        <w:t xml:space="preserve">imagem </w:t>
      </w:r>
      <w:r w:rsidR="00120FB0" w:rsidRPr="00CA060F">
        <w:t>aérea</w:t>
      </w:r>
      <w:r w:rsidR="00E42788" w:rsidRPr="00CA060F">
        <w:t>,</w:t>
      </w:r>
      <w:r w:rsidR="00120FB0" w:rsidRPr="00CA060F">
        <w:t xml:space="preserve"> na</w:t>
      </w:r>
      <w:r w:rsidR="00E42788" w:rsidRPr="00CA060F">
        <w:t>s</w:t>
      </w:r>
      <w:r w:rsidR="00120FB0" w:rsidRPr="00CA060F">
        <w:t xml:space="preserve"> escala</w:t>
      </w:r>
      <w:r w:rsidR="00E42788" w:rsidRPr="00CA060F">
        <w:t>s</w:t>
      </w:r>
      <w:r w:rsidR="00120FB0" w:rsidRPr="00CA060F">
        <w:t xml:space="preserve"> 1:</w:t>
      </w:r>
      <w:r w:rsidR="00E42788" w:rsidRPr="00CA060F">
        <w:t>1.</w:t>
      </w:r>
      <w:r w:rsidR="00120FB0" w:rsidRPr="00CA060F">
        <w:t>000</w:t>
      </w:r>
      <w:r w:rsidR="00E42788" w:rsidRPr="00CA060F">
        <w:t xml:space="preserve"> e 1:</w:t>
      </w:r>
      <w:r w:rsidR="00DC74B7">
        <w:t>7.5</w:t>
      </w:r>
      <w:r w:rsidR="00E42788" w:rsidRPr="00CA060F">
        <w:t>00, respectivamente</w:t>
      </w:r>
      <w:r w:rsidR="00120FB0" w:rsidRPr="00CA060F">
        <w:t>.</w:t>
      </w:r>
    </w:p>
    <w:p w:rsidR="00870A60" w:rsidRDefault="00CA060F" w:rsidP="00870A60">
      <w:r>
        <w:t xml:space="preserve">A </w:t>
      </w:r>
      <w:r w:rsidRPr="00955005">
        <w:rPr>
          <w:b/>
        </w:rPr>
        <w:t>Tabela 6.4.6-</w:t>
      </w:r>
      <w:r>
        <w:rPr>
          <w:b/>
        </w:rPr>
        <w:t>3</w:t>
      </w:r>
      <w:r w:rsidRPr="00CA060F">
        <w:t xml:space="preserve"> </w:t>
      </w:r>
      <w:r>
        <w:t>apresenta a distribuição d</w:t>
      </w:r>
      <w:r w:rsidR="00253269">
        <w:t>a</w:t>
      </w:r>
      <w:r w:rsidR="00870A60">
        <w:t xml:space="preserve"> </w:t>
      </w:r>
      <w:r w:rsidR="00071040">
        <w:t xml:space="preserve">afetação </w:t>
      </w:r>
      <w:r w:rsidR="008A0D9A">
        <w:t xml:space="preserve">na ZA </w:t>
      </w:r>
      <w:r>
        <w:t xml:space="preserve">do Parque segundo </w:t>
      </w:r>
      <w:r w:rsidR="00870A60">
        <w:t>categorias e tipologias de uso e ocupação do solo.</w:t>
      </w:r>
    </w:p>
    <w:p w:rsidR="00310201" w:rsidRDefault="00870A60" w:rsidP="00310201">
      <w:pPr>
        <w:pStyle w:val="Quadro"/>
      </w:pPr>
      <w:r w:rsidRPr="002146FB">
        <w:t>T</w:t>
      </w:r>
      <w:r w:rsidR="00310201" w:rsidRPr="002146FB">
        <w:t>abela 6.4.6-3. Presença do Empreendimento na ZA do Parque Estadual Itaberaba (ADA)</w:t>
      </w:r>
    </w:p>
    <w:tbl>
      <w:tblPr>
        <w:tblW w:w="0" w:type="auto"/>
        <w:jc w:val="center"/>
        <w:tblCellMar>
          <w:left w:w="70" w:type="dxa"/>
          <w:right w:w="70" w:type="dxa"/>
        </w:tblCellMar>
        <w:tblLook w:val="04A0" w:firstRow="1" w:lastRow="0" w:firstColumn="1" w:lastColumn="0" w:noHBand="0" w:noVBand="1"/>
      </w:tblPr>
      <w:tblGrid>
        <w:gridCol w:w="1701"/>
        <w:gridCol w:w="2268"/>
        <w:gridCol w:w="1417"/>
        <w:gridCol w:w="1418"/>
        <w:gridCol w:w="1134"/>
      </w:tblGrid>
      <w:tr w:rsidR="00C50B66" w:rsidRPr="00022ED1" w:rsidTr="002D7A4D">
        <w:trPr>
          <w:cantSplit/>
          <w:trHeight w:val="255"/>
          <w:tblHeader/>
          <w:jc w:val="center"/>
        </w:trPr>
        <w:tc>
          <w:tcPr>
            <w:tcW w:w="1701"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C50B66" w:rsidRPr="002D7A4D" w:rsidRDefault="00C50B66" w:rsidP="00CB3BCB">
            <w:pPr>
              <w:spacing w:after="0"/>
              <w:jc w:val="center"/>
              <w:rPr>
                <w:rFonts w:eastAsia="Times New Roman" w:cs="Arial"/>
                <w:b/>
                <w:bCs/>
                <w:color w:val="000000"/>
                <w:sz w:val="18"/>
                <w:szCs w:val="18"/>
                <w:lang w:eastAsia="pt-BR"/>
              </w:rPr>
            </w:pPr>
            <w:r w:rsidRPr="002D7A4D">
              <w:rPr>
                <w:rFonts w:eastAsia="Times New Roman" w:cs="Arial"/>
                <w:b/>
                <w:bCs/>
                <w:color w:val="000000"/>
                <w:sz w:val="18"/>
                <w:szCs w:val="18"/>
                <w:lang w:eastAsia="pt-BR"/>
              </w:rPr>
              <w:t>Categorias</w:t>
            </w:r>
          </w:p>
        </w:tc>
        <w:tc>
          <w:tcPr>
            <w:tcW w:w="2268"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noWrap/>
            <w:vAlign w:val="center"/>
            <w:hideMark/>
          </w:tcPr>
          <w:p w:rsidR="00C50B66" w:rsidRPr="00022ED1" w:rsidRDefault="00C50B66" w:rsidP="00CB3BCB">
            <w:pPr>
              <w:spacing w:after="0"/>
              <w:jc w:val="left"/>
              <w:rPr>
                <w:rFonts w:eastAsia="Times New Roman" w:cs="Arial"/>
                <w:b/>
                <w:bCs/>
                <w:color w:val="000000"/>
                <w:sz w:val="18"/>
                <w:szCs w:val="18"/>
                <w:lang w:eastAsia="pt-BR"/>
              </w:rPr>
            </w:pPr>
            <w:r w:rsidRPr="00022ED1">
              <w:rPr>
                <w:rFonts w:eastAsia="Times New Roman" w:cs="Arial"/>
                <w:b/>
                <w:bCs/>
                <w:color w:val="000000"/>
                <w:sz w:val="18"/>
                <w:szCs w:val="18"/>
                <w:lang w:eastAsia="pt-BR"/>
              </w:rPr>
              <w:t>Usos do Solo</w:t>
            </w:r>
          </w:p>
        </w:tc>
        <w:tc>
          <w:tcPr>
            <w:tcW w:w="2835"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C50B66" w:rsidRPr="00022ED1" w:rsidRDefault="00C50B66" w:rsidP="00CB3BCB">
            <w:pPr>
              <w:spacing w:after="0"/>
              <w:jc w:val="center"/>
              <w:rPr>
                <w:rFonts w:eastAsia="Times New Roman" w:cs="Arial"/>
                <w:b/>
                <w:bCs/>
                <w:color w:val="000000"/>
                <w:sz w:val="18"/>
                <w:szCs w:val="18"/>
                <w:lang w:eastAsia="pt-BR"/>
              </w:rPr>
            </w:pPr>
            <w:r w:rsidRPr="00022ED1">
              <w:rPr>
                <w:rFonts w:eastAsia="Times New Roman" w:cs="Arial"/>
                <w:b/>
                <w:bCs/>
                <w:color w:val="000000"/>
                <w:sz w:val="18"/>
                <w:szCs w:val="18"/>
                <w:lang w:eastAsia="pt-BR"/>
              </w:rPr>
              <w:t>Município de Igaratá</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50B66" w:rsidRPr="002D7A4D" w:rsidRDefault="00C50B66" w:rsidP="00CB3BCB">
            <w:pPr>
              <w:spacing w:after="0"/>
              <w:jc w:val="center"/>
              <w:rPr>
                <w:rFonts w:eastAsia="Times New Roman" w:cs="Arial"/>
                <w:b/>
                <w:bCs/>
                <w:color w:val="000000"/>
                <w:sz w:val="18"/>
                <w:szCs w:val="18"/>
                <w:lang w:eastAsia="pt-BR"/>
              </w:rPr>
            </w:pPr>
            <w:r w:rsidRPr="002D7A4D">
              <w:rPr>
                <w:rFonts w:eastAsia="Times New Roman" w:cs="Arial"/>
                <w:b/>
                <w:bCs/>
                <w:color w:val="000000"/>
                <w:sz w:val="18"/>
                <w:szCs w:val="18"/>
                <w:lang w:eastAsia="pt-BR"/>
              </w:rPr>
              <w:t>Total</w:t>
            </w:r>
            <w:r w:rsidRPr="002D7A4D">
              <w:rPr>
                <w:rFonts w:eastAsia="Times New Roman" w:cs="Arial"/>
                <w:b/>
                <w:bCs/>
                <w:color w:val="000000"/>
                <w:sz w:val="18"/>
                <w:szCs w:val="18"/>
                <w:lang w:eastAsia="pt-BR"/>
              </w:rPr>
              <w:br/>
              <w:t>(ha)</w:t>
            </w:r>
          </w:p>
        </w:tc>
      </w:tr>
      <w:tr w:rsidR="00C50B66" w:rsidRPr="00022ED1" w:rsidTr="002D7A4D">
        <w:trPr>
          <w:cantSplit/>
          <w:trHeight w:val="255"/>
          <w:tblHeader/>
          <w:jc w:val="center"/>
        </w:trPr>
        <w:tc>
          <w:tcPr>
            <w:tcW w:w="1701" w:type="dxa"/>
            <w:vMerge/>
            <w:tcBorders>
              <w:left w:val="single" w:sz="4" w:space="0" w:color="auto"/>
              <w:bottom w:val="single" w:sz="4" w:space="0" w:color="000000"/>
              <w:right w:val="single" w:sz="4" w:space="0" w:color="auto"/>
            </w:tcBorders>
            <w:shd w:val="clear" w:color="auto" w:fill="D9D9D9" w:themeFill="background1" w:themeFillShade="D9"/>
            <w:vAlign w:val="center"/>
          </w:tcPr>
          <w:p w:rsidR="00C50B66" w:rsidRPr="002D7A4D" w:rsidRDefault="00C50B66" w:rsidP="00CB3BCB">
            <w:pPr>
              <w:spacing w:after="0"/>
              <w:jc w:val="center"/>
              <w:rPr>
                <w:rFonts w:eastAsia="Times New Roman" w:cs="Arial"/>
                <w:b/>
                <w:bCs/>
                <w:color w:val="000000"/>
                <w:sz w:val="18"/>
                <w:szCs w:val="18"/>
                <w:lang w:eastAsia="pt-BR"/>
              </w:rPr>
            </w:pPr>
          </w:p>
        </w:tc>
        <w:tc>
          <w:tcPr>
            <w:tcW w:w="2268" w:type="dxa"/>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C50B66" w:rsidRPr="00022ED1" w:rsidRDefault="00C50B66" w:rsidP="00CB3BCB">
            <w:pPr>
              <w:spacing w:after="0"/>
              <w:jc w:val="left"/>
              <w:rPr>
                <w:rFonts w:eastAsia="Times New Roman" w:cs="Arial"/>
                <w:b/>
                <w:bCs/>
                <w:color w:val="000000"/>
                <w:sz w:val="18"/>
                <w:szCs w:val="18"/>
                <w:lang w:eastAsia="pt-BR"/>
              </w:rPr>
            </w:pPr>
          </w:p>
        </w:tc>
        <w:tc>
          <w:tcPr>
            <w:tcW w:w="1417" w:type="dxa"/>
            <w:tcBorders>
              <w:top w:val="nil"/>
              <w:left w:val="nil"/>
              <w:bottom w:val="single" w:sz="4" w:space="0" w:color="auto"/>
              <w:right w:val="single" w:sz="4" w:space="0" w:color="auto"/>
            </w:tcBorders>
            <w:shd w:val="clear" w:color="auto" w:fill="D9D9D9" w:themeFill="background1" w:themeFillShade="D9"/>
            <w:noWrap/>
            <w:vAlign w:val="center"/>
            <w:hideMark/>
          </w:tcPr>
          <w:p w:rsidR="00C50B66" w:rsidRPr="00022ED1" w:rsidRDefault="00C50B66" w:rsidP="00CB3BCB">
            <w:pPr>
              <w:spacing w:after="0"/>
              <w:jc w:val="center"/>
              <w:rPr>
                <w:rFonts w:eastAsia="Times New Roman" w:cs="Arial"/>
                <w:b/>
                <w:bCs/>
                <w:color w:val="000000"/>
                <w:sz w:val="18"/>
                <w:szCs w:val="18"/>
                <w:lang w:eastAsia="pt-BR"/>
              </w:rPr>
            </w:pPr>
            <w:r w:rsidRPr="00022ED1">
              <w:rPr>
                <w:rFonts w:eastAsia="Times New Roman" w:cs="Arial"/>
                <w:b/>
                <w:bCs/>
                <w:color w:val="000000"/>
                <w:sz w:val="18"/>
                <w:szCs w:val="18"/>
                <w:lang w:eastAsia="pt-BR"/>
              </w:rPr>
              <w:t>Dentro de APP</w:t>
            </w:r>
          </w:p>
        </w:tc>
        <w:tc>
          <w:tcPr>
            <w:tcW w:w="1418" w:type="dxa"/>
            <w:tcBorders>
              <w:top w:val="nil"/>
              <w:left w:val="nil"/>
              <w:bottom w:val="single" w:sz="4" w:space="0" w:color="auto"/>
              <w:right w:val="single" w:sz="4" w:space="0" w:color="auto"/>
            </w:tcBorders>
            <w:shd w:val="clear" w:color="auto" w:fill="D9D9D9" w:themeFill="background1" w:themeFillShade="D9"/>
            <w:noWrap/>
            <w:vAlign w:val="center"/>
            <w:hideMark/>
          </w:tcPr>
          <w:p w:rsidR="00C50B66" w:rsidRPr="00022ED1" w:rsidRDefault="00C50B66" w:rsidP="00CB3BCB">
            <w:pPr>
              <w:spacing w:after="0"/>
              <w:jc w:val="center"/>
              <w:rPr>
                <w:rFonts w:eastAsia="Times New Roman" w:cs="Arial"/>
                <w:b/>
                <w:bCs/>
                <w:color w:val="000000"/>
                <w:sz w:val="18"/>
                <w:szCs w:val="18"/>
                <w:lang w:eastAsia="pt-BR"/>
              </w:rPr>
            </w:pPr>
            <w:r w:rsidRPr="00022ED1">
              <w:rPr>
                <w:rFonts w:eastAsia="Times New Roman" w:cs="Arial"/>
                <w:b/>
                <w:bCs/>
                <w:color w:val="000000"/>
                <w:sz w:val="18"/>
                <w:szCs w:val="18"/>
                <w:lang w:eastAsia="pt-BR"/>
              </w:rPr>
              <w:t>Fora de APP</w:t>
            </w:r>
          </w:p>
        </w:tc>
        <w:tc>
          <w:tcPr>
            <w:tcW w:w="113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50B66" w:rsidRPr="002D7A4D" w:rsidRDefault="00C50B66" w:rsidP="00CB3BCB">
            <w:pPr>
              <w:spacing w:after="0"/>
              <w:jc w:val="center"/>
              <w:rPr>
                <w:rFonts w:eastAsia="Times New Roman" w:cs="Arial"/>
                <w:b/>
                <w:bCs/>
                <w:color w:val="000000"/>
                <w:sz w:val="18"/>
                <w:szCs w:val="18"/>
                <w:lang w:eastAsia="pt-BR"/>
              </w:rPr>
            </w:pPr>
          </w:p>
        </w:tc>
      </w:tr>
      <w:tr w:rsidR="00CB3BCB" w:rsidRPr="00022ED1" w:rsidTr="002D7A4D">
        <w:trPr>
          <w:cantSplit/>
          <w:trHeight w:val="255"/>
          <w:jc w:val="center"/>
        </w:trPr>
        <w:tc>
          <w:tcPr>
            <w:tcW w:w="1701" w:type="dxa"/>
            <w:vMerge w:val="restart"/>
            <w:tcBorders>
              <w:top w:val="nil"/>
              <w:left w:val="single" w:sz="4" w:space="0" w:color="auto"/>
              <w:right w:val="single" w:sz="4" w:space="0" w:color="auto"/>
            </w:tcBorders>
            <w:shd w:val="clear" w:color="auto" w:fill="C2D69B" w:themeFill="accent3" w:themeFillTint="99"/>
            <w:vAlign w:val="center"/>
          </w:tcPr>
          <w:p w:rsidR="00CB3BCB" w:rsidRPr="002D7A4D" w:rsidRDefault="00CB3BCB" w:rsidP="00CB3BCB">
            <w:pPr>
              <w:spacing w:after="0"/>
              <w:jc w:val="center"/>
              <w:rPr>
                <w:rFonts w:eastAsia="Times New Roman" w:cs="Arial"/>
                <w:b/>
                <w:color w:val="000000"/>
                <w:sz w:val="18"/>
                <w:szCs w:val="18"/>
                <w:lang w:eastAsia="pt-BR"/>
              </w:rPr>
            </w:pPr>
            <w:r w:rsidRPr="002D7A4D">
              <w:rPr>
                <w:rFonts w:eastAsia="Times New Roman" w:cs="Arial"/>
                <w:b/>
                <w:color w:val="000000"/>
                <w:sz w:val="18"/>
                <w:szCs w:val="18"/>
                <w:lang w:eastAsia="pt-BR"/>
              </w:rPr>
              <w:t>Vegetação Nativa</w:t>
            </w:r>
          </w:p>
        </w:tc>
        <w:tc>
          <w:tcPr>
            <w:tcW w:w="2268" w:type="dxa"/>
            <w:tcBorders>
              <w:top w:val="nil"/>
              <w:left w:val="single" w:sz="4" w:space="0" w:color="auto"/>
              <w:bottom w:val="single" w:sz="4" w:space="0" w:color="auto"/>
              <w:right w:val="single" w:sz="4" w:space="0" w:color="auto"/>
            </w:tcBorders>
            <w:shd w:val="clear" w:color="auto" w:fill="C2D69B" w:themeFill="accent3" w:themeFillTint="99"/>
            <w:noWrap/>
            <w:vAlign w:val="center"/>
            <w:hideMark/>
          </w:tcPr>
          <w:p w:rsidR="00CB3BCB" w:rsidRPr="00022ED1" w:rsidRDefault="00CB3BCB" w:rsidP="00CB3BCB">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Estágio Avançado</w:t>
            </w:r>
          </w:p>
        </w:tc>
        <w:tc>
          <w:tcPr>
            <w:tcW w:w="1417" w:type="dxa"/>
            <w:tcBorders>
              <w:top w:val="nil"/>
              <w:left w:val="nil"/>
              <w:bottom w:val="single" w:sz="4" w:space="0" w:color="auto"/>
              <w:right w:val="single" w:sz="4" w:space="0" w:color="auto"/>
            </w:tcBorders>
            <w:shd w:val="clear" w:color="auto" w:fill="C2D69B" w:themeFill="accent3" w:themeFillTint="99"/>
            <w:noWrap/>
            <w:vAlign w:val="center"/>
            <w:hideMark/>
          </w:tcPr>
          <w:p w:rsidR="00CB3BCB" w:rsidRPr="00E1295C" w:rsidRDefault="00CB3BCB" w:rsidP="00E1295C">
            <w:pPr>
              <w:spacing w:after="0"/>
              <w:jc w:val="center"/>
              <w:rPr>
                <w:rFonts w:cs="Arial"/>
                <w:color w:val="000000"/>
                <w:sz w:val="18"/>
                <w:szCs w:val="18"/>
              </w:rPr>
            </w:pPr>
            <w:r w:rsidRPr="00E1295C">
              <w:rPr>
                <w:rFonts w:cs="Arial"/>
                <w:color w:val="000000"/>
                <w:sz w:val="18"/>
                <w:szCs w:val="18"/>
              </w:rPr>
              <w:t>-</w:t>
            </w:r>
          </w:p>
        </w:tc>
        <w:tc>
          <w:tcPr>
            <w:tcW w:w="1418" w:type="dxa"/>
            <w:tcBorders>
              <w:top w:val="nil"/>
              <w:left w:val="nil"/>
              <w:bottom w:val="single" w:sz="4" w:space="0" w:color="auto"/>
              <w:right w:val="single" w:sz="4" w:space="0" w:color="auto"/>
            </w:tcBorders>
            <w:shd w:val="clear" w:color="auto" w:fill="C2D69B" w:themeFill="accent3" w:themeFillTint="99"/>
            <w:noWrap/>
            <w:vAlign w:val="center"/>
            <w:hideMark/>
          </w:tcPr>
          <w:p w:rsidR="00CB3BCB" w:rsidRPr="00E1295C" w:rsidRDefault="00CB3BCB" w:rsidP="00E1295C">
            <w:pPr>
              <w:spacing w:after="0"/>
              <w:jc w:val="center"/>
              <w:rPr>
                <w:rFonts w:cs="Arial"/>
                <w:color w:val="000000"/>
                <w:sz w:val="18"/>
                <w:szCs w:val="18"/>
              </w:rPr>
            </w:pPr>
            <w:r w:rsidRPr="00E1295C">
              <w:rPr>
                <w:rFonts w:cs="Arial"/>
                <w:color w:val="000000"/>
                <w:sz w:val="18"/>
                <w:szCs w:val="18"/>
              </w:rPr>
              <w:t>0,0008</w:t>
            </w:r>
          </w:p>
        </w:tc>
        <w:tc>
          <w:tcPr>
            <w:tcW w:w="1134" w:type="dxa"/>
            <w:tcBorders>
              <w:top w:val="nil"/>
              <w:left w:val="nil"/>
              <w:bottom w:val="single" w:sz="4" w:space="0" w:color="auto"/>
              <w:right w:val="single" w:sz="4" w:space="0" w:color="auto"/>
            </w:tcBorders>
            <w:shd w:val="clear" w:color="auto" w:fill="C2D69B" w:themeFill="accent3" w:themeFillTint="99"/>
            <w:noWrap/>
            <w:vAlign w:val="center"/>
            <w:hideMark/>
          </w:tcPr>
          <w:p w:rsidR="00CB3BCB" w:rsidRPr="002D7A4D" w:rsidRDefault="00CB3BCB" w:rsidP="00E1295C">
            <w:pPr>
              <w:spacing w:after="0"/>
              <w:jc w:val="center"/>
              <w:rPr>
                <w:rFonts w:cs="Arial"/>
                <w:b/>
                <w:color w:val="000000"/>
                <w:sz w:val="18"/>
                <w:szCs w:val="18"/>
              </w:rPr>
            </w:pPr>
            <w:r w:rsidRPr="002D7A4D">
              <w:rPr>
                <w:rFonts w:cs="Arial"/>
                <w:b/>
                <w:color w:val="000000"/>
                <w:sz w:val="18"/>
                <w:szCs w:val="18"/>
              </w:rPr>
              <w:t>0,0008</w:t>
            </w:r>
          </w:p>
        </w:tc>
      </w:tr>
      <w:tr w:rsidR="00CB3BCB" w:rsidRPr="00022ED1" w:rsidTr="002D7A4D">
        <w:trPr>
          <w:cantSplit/>
          <w:trHeight w:val="255"/>
          <w:jc w:val="center"/>
        </w:trPr>
        <w:tc>
          <w:tcPr>
            <w:tcW w:w="1701" w:type="dxa"/>
            <w:vMerge/>
            <w:tcBorders>
              <w:left w:val="single" w:sz="4" w:space="0" w:color="auto"/>
              <w:right w:val="single" w:sz="4" w:space="0" w:color="auto"/>
            </w:tcBorders>
            <w:shd w:val="clear" w:color="auto" w:fill="C2D69B" w:themeFill="accent3" w:themeFillTint="99"/>
            <w:vAlign w:val="center"/>
          </w:tcPr>
          <w:p w:rsidR="00CB3BCB" w:rsidRPr="002D7A4D" w:rsidRDefault="00CB3BCB" w:rsidP="00CB3BCB">
            <w:pPr>
              <w:spacing w:after="0"/>
              <w:jc w:val="center"/>
              <w:rPr>
                <w:rFonts w:eastAsia="Times New Roman" w:cs="Arial"/>
                <w:b/>
                <w:color w:val="000000"/>
                <w:sz w:val="18"/>
                <w:szCs w:val="18"/>
                <w:lang w:eastAsia="pt-BR"/>
              </w:rPr>
            </w:pPr>
          </w:p>
        </w:tc>
        <w:tc>
          <w:tcPr>
            <w:tcW w:w="2268" w:type="dxa"/>
            <w:tcBorders>
              <w:top w:val="nil"/>
              <w:left w:val="single" w:sz="4" w:space="0" w:color="auto"/>
              <w:bottom w:val="single" w:sz="4" w:space="0" w:color="auto"/>
              <w:right w:val="single" w:sz="4" w:space="0" w:color="auto"/>
            </w:tcBorders>
            <w:shd w:val="clear" w:color="auto" w:fill="C2D69B" w:themeFill="accent3" w:themeFillTint="99"/>
            <w:noWrap/>
            <w:vAlign w:val="center"/>
            <w:hideMark/>
          </w:tcPr>
          <w:p w:rsidR="00CB3BCB" w:rsidRPr="00022ED1" w:rsidRDefault="00CB3BCB" w:rsidP="00CB3BCB">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Estágio Médio</w:t>
            </w:r>
          </w:p>
        </w:tc>
        <w:tc>
          <w:tcPr>
            <w:tcW w:w="1417" w:type="dxa"/>
            <w:tcBorders>
              <w:top w:val="nil"/>
              <w:left w:val="nil"/>
              <w:bottom w:val="single" w:sz="4" w:space="0" w:color="auto"/>
              <w:right w:val="single" w:sz="4" w:space="0" w:color="auto"/>
            </w:tcBorders>
            <w:shd w:val="clear" w:color="auto" w:fill="C2D69B" w:themeFill="accent3" w:themeFillTint="99"/>
            <w:noWrap/>
            <w:vAlign w:val="center"/>
            <w:hideMark/>
          </w:tcPr>
          <w:p w:rsidR="00CB3BCB" w:rsidRPr="00E1295C" w:rsidRDefault="00CB3BCB" w:rsidP="00E1295C">
            <w:pPr>
              <w:spacing w:after="0"/>
              <w:jc w:val="center"/>
              <w:rPr>
                <w:rFonts w:cs="Arial"/>
                <w:color w:val="000000"/>
                <w:sz w:val="18"/>
                <w:szCs w:val="18"/>
              </w:rPr>
            </w:pPr>
            <w:r w:rsidRPr="00E1295C">
              <w:rPr>
                <w:rFonts w:cs="Arial"/>
                <w:color w:val="000000"/>
                <w:sz w:val="18"/>
                <w:szCs w:val="18"/>
              </w:rPr>
              <w:t>-</w:t>
            </w:r>
          </w:p>
        </w:tc>
        <w:tc>
          <w:tcPr>
            <w:tcW w:w="1418" w:type="dxa"/>
            <w:tcBorders>
              <w:top w:val="nil"/>
              <w:left w:val="nil"/>
              <w:bottom w:val="single" w:sz="4" w:space="0" w:color="auto"/>
              <w:right w:val="single" w:sz="4" w:space="0" w:color="auto"/>
            </w:tcBorders>
            <w:shd w:val="clear" w:color="auto" w:fill="C2D69B" w:themeFill="accent3" w:themeFillTint="99"/>
            <w:noWrap/>
            <w:vAlign w:val="center"/>
            <w:hideMark/>
          </w:tcPr>
          <w:p w:rsidR="00CB3BCB" w:rsidRPr="00E1295C" w:rsidRDefault="00CB3BCB" w:rsidP="00E1295C">
            <w:pPr>
              <w:spacing w:after="0"/>
              <w:jc w:val="center"/>
              <w:rPr>
                <w:rFonts w:cs="Arial"/>
                <w:color w:val="000000"/>
                <w:sz w:val="18"/>
                <w:szCs w:val="18"/>
              </w:rPr>
            </w:pPr>
            <w:r w:rsidRPr="00E1295C">
              <w:rPr>
                <w:rFonts w:cs="Arial"/>
                <w:color w:val="000000"/>
                <w:sz w:val="18"/>
                <w:szCs w:val="18"/>
              </w:rPr>
              <w:t>-</w:t>
            </w:r>
          </w:p>
        </w:tc>
        <w:tc>
          <w:tcPr>
            <w:tcW w:w="1134" w:type="dxa"/>
            <w:tcBorders>
              <w:top w:val="nil"/>
              <w:left w:val="nil"/>
              <w:bottom w:val="single" w:sz="4" w:space="0" w:color="auto"/>
              <w:right w:val="single" w:sz="4" w:space="0" w:color="auto"/>
            </w:tcBorders>
            <w:shd w:val="clear" w:color="auto" w:fill="C2D69B" w:themeFill="accent3" w:themeFillTint="99"/>
            <w:noWrap/>
            <w:vAlign w:val="center"/>
            <w:hideMark/>
          </w:tcPr>
          <w:p w:rsidR="00CB3BCB" w:rsidRPr="002D7A4D" w:rsidRDefault="00CB3BCB" w:rsidP="00E1295C">
            <w:pPr>
              <w:spacing w:after="0"/>
              <w:jc w:val="center"/>
              <w:rPr>
                <w:rFonts w:cs="Arial"/>
                <w:b/>
                <w:color w:val="000000"/>
                <w:sz w:val="18"/>
                <w:szCs w:val="18"/>
              </w:rPr>
            </w:pPr>
            <w:r w:rsidRPr="002D7A4D">
              <w:rPr>
                <w:rFonts w:cs="Arial"/>
                <w:b/>
                <w:color w:val="000000"/>
                <w:sz w:val="18"/>
                <w:szCs w:val="18"/>
              </w:rPr>
              <w:t>-</w:t>
            </w:r>
          </w:p>
        </w:tc>
      </w:tr>
      <w:tr w:rsidR="00E1295C" w:rsidRPr="00022ED1" w:rsidTr="002D7A4D">
        <w:trPr>
          <w:cantSplit/>
          <w:trHeight w:val="255"/>
          <w:jc w:val="center"/>
        </w:trPr>
        <w:tc>
          <w:tcPr>
            <w:tcW w:w="1701" w:type="dxa"/>
            <w:vMerge/>
            <w:tcBorders>
              <w:left w:val="single" w:sz="4" w:space="0" w:color="auto"/>
              <w:right w:val="single" w:sz="4" w:space="0" w:color="auto"/>
            </w:tcBorders>
            <w:shd w:val="clear" w:color="auto" w:fill="C2D69B" w:themeFill="accent3" w:themeFillTint="99"/>
            <w:vAlign w:val="center"/>
          </w:tcPr>
          <w:p w:rsidR="00E1295C" w:rsidRPr="002D7A4D" w:rsidRDefault="00E1295C" w:rsidP="00CB3BCB">
            <w:pPr>
              <w:spacing w:after="0"/>
              <w:jc w:val="center"/>
              <w:rPr>
                <w:rFonts w:eastAsia="Times New Roman" w:cs="Arial"/>
                <w:b/>
                <w:color w:val="000000"/>
                <w:sz w:val="18"/>
                <w:szCs w:val="18"/>
                <w:lang w:eastAsia="pt-BR"/>
              </w:rPr>
            </w:pPr>
          </w:p>
        </w:tc>
        <w:tc>
          <w:tcPr>
            <w:tcW w:w="2268" w:type="dxa"/>
            <w:tcBorders>
              <w:top w:val="nil"/>
              <w:left w:val="single" w:sz="4" w:space="0" w:color="auto"/>
              <w:bottom w:val="single" w:sz="4" w:space="0" w:color="auto"/>
              <w:right w:val="single" w:sz="4" w:space="0" w:color="auto"/>
            </w:tcBorders>
            <w:shd w:val="clear" w:color="auto" w:fill="C2D69B" w:themeFill="accent3" w:themeFillTint="99"/>
            <w:noWrap/>
            <w:vAlign w:val="center"/>
            <w:hideMark/>
          </w:tcPr>
          <w:p w:rsidR="00E1295C" w:rsidRPr="00022ED1" w:rsidRDefault="00E1295C" w:rsidP="00CB3BCB">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Estágio Inicial</w:t>
            </w:r>
          </w:p>
        </w:tc>
        <w:tc>
          <w:tcPr>
            <w:tcW w:w="1417" w:type="dxa"/>
            <w:tcBorders>
              <w:top w:val="nil"/>
              <w:left w:val="nil"/>
              <w:bottom w:val="single" w:sz="4" w:space="0" w:color="auto"/>
              <w:right w:val="single" w:sz="4" w:space="0" w:color="auto"/>
            </w:tcBorders>
            <w:shd w:val="clear" w:color="auto" w:fill="C2D69B" w:themeFill="accent3" w:themeFillTint="99"/>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0,2495</w:t>
            </w:r>
          </w:p>
        </w:tc>
        <w:tc>
          <w:tcPr>
            <w:tcW w:w="1418" w:type="dxa"/>
            <w:tcBorders>
              <w:top w:val="nil"/>
              <w:left w:val="nil"/>
              <w:bottom w:val="single" w:sz="4" w:space="0" w:color="auto"/>
              <w:right w:val="single" w:sz="4" w:space="0" w:color="auto"/>
            </w:tcBorders>
            <w:shd w:val="clear" w:color="auto" w:fill="C2D69B" w:themeFill="accent3" w:themeFillTint="99"/>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0,2219</w:t>
            </w:r>
          </w:p>
        </w:tc>
        <w:tc>
          <w:tcPr>
            <w:tcW w:w="1134" w:type="dxa"/>
            <w:tcBorders>
              <w:top w:val="nil"/>
              <w:left w:val="nil"/>
              <w:bottom w:val="single" w:sz="4" w:space="0" w:color="auto"/>
              <w:right w:val="single" w:sz="4" w:space="0" w:color="auto"/>
            </w:tcBorders>
            <w:shd w:val="clear" w:color="auto" w:fill="C2D69B" w:themeFill="accent3" w:themeFillTint="99"/>
            <w:noWrap/>
            <w:vAlign w:val="center"/>
            <w:hideMark/>
          </w:tcPr>
          <w:p w:rsidR="00E1295C" w:rsidRPr="00E1295C" w:rsidRDefault="00E1295C" w:rsidP="00E1295C">
            <w:pPr>
              <w:spacing w:after="0"/>
              <w:jc w:val="center"/>
              <w:rPr>
                <w:rFonts w:eastAsia="Times New Roman" w:cs="Arial"/>
                <w:b/>
                <w:color w:val="000000"/>
                <w:sz w:val="18"/>
                <w:szCs w:val="18"/>
                <w:lang w:eastAsia="pt-BR"/>
              </w:rPr>
            </w:pPr>
            <w:r w:rsidRPr="00E1295C">
              <w:rPr>
                <w:rFonts w:eastAsia="Times New Roman" w:cs="Arial"/>
                <w:b/>
                <w:color w:val="000000"/>
                <w:sz w:val="18"/>
                <w:szCs w:val="18"/>
                <w:lang w:eastAsia="pt-BR"/>
              </w:rPr>
              <w:t>0,4714</w:t>
            </w:r>
          </w:p>
        </w:tc>
      </w:tr>
      <w:tr w:rsidR="00CB3BCB" w:rsidRPr="00022ED1" w:rsidTr="002D7A4D">
        <w:trPr>
          <w:cantSplit/>
          <w:trHeight w:val="255"/>
          <w:jc w:val="center"/>
        </w:trPr>
        <w:tc>
          <w:tcPr>
            <w:tcW w:w="1701" w:type="dxa"/>
            <w:vMerge/>
            <w:tcBorders>
              <w:left w:val="single" w:sz="4" w:space="0" w:color="auto"/>
              <w:right w:val="single" w:sz="4" w:space="0" w:color="auto"/>
            </w:tcBorders>
            <w:shd w:val="clear" w:color="auto" w:fill="C2D69B" w:themeFill="accent3" w:themeFillTint="99"/>
            <w:vAlign w:val="center"/>
          </w:tcPr>
          <w:p w:rsidR="00CB3BCB" w:rsidRPr="002D7A4D" w:rsidRDefault="00CB3BCB" w:rsidP="00CB3BCB">
            <w:pPr>
              <w:spacing w:after="0"/>
              <w:jc w:val="center"/>
              <w:rPr>
                <w:rFonts w:eastAsia="Times New Roman" w:cs="Arial"/>
                <w:b/>
                <w:color w:val="000000"/>
                <w:sz w:val="18"/>
                <w:szCs w:val="18"/>
                <w:lang w:eastAsia="pt-BR"/>
              </w:rPr>
            </w:pPr>
          </w:p>
        </w:tc>
        <w:tc>
          <w:tcPr>
            <w:tcW w:w="2268" w:type="dxa"/>
            <w:tcBorders>
              <w:top w:val="nil"/>
              <w:left w:val="single" w:sz="4" w:space="0" w:color="auto"/>
              <w:bottom w:val="single" w:sz="4" w:space="0" w:color="auto"/>
              <w:right w:val="single" w:sz="4" w:space="0" w:color="auto"/>
            </w:tcBorders>
            <w:shd w:val="clear" w:color="auto" w:fill="C2D69B" w:themeFill="accent3" w:themeFillTint="99"/>
            <w:noWrap/>
            <w:vAlign w:val="center"/>
            <w:hideMark/>
          </w:tcPr>
          <w:p w:rsidR="00CB3BCB" w:rsidRPr="00022ED1" w:rsidRDefault="00CB3BCB" w:rsidP="00CB3BCB">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Estágio Pioneiro</w:t>
            </w:r>
          </w:p>
        </w:tc>
        <w:tc>
          <w:tcPr>
            <w:tcW w:w="1417" w:type="dxa"/>
            <w:tcBorders>
              <w:top w:val="nil"/>
              <w:left w:val="nil"/>
              <w:bottom w:val="single" w:sz="4" w:space="0" w:color="auto"/>
              <w:right w:val="single" w:sz="4" w:space="0" w:color="auto"/>
            </w:tcBorders>
            <w:shd w:val="clear" w:color="auto" w:fill="C2D69B" w:themeFill="accent3" w:themeFillTint="99"/>
            <w:noWrap/>
            <w:vAlign w:val="center"/>
            <w:hideMark/>
          </w:tcPr>
          <w:p w:rsidR="00CB3BCB" w:rsidRPr="00E1295C" w:rsidRDefault="00CB3BCB" w:rsidP="00E1295C">
            <w:pPr>
              <w:spacing w:after="0"/>
              <w:jc w:val="center"/>
              <w:rPr>
                <w:rFonts w:cs="Arial"/>
                <w:color w:val="000000"/>
                <w:sz w:val="18"/>
                <w:szCs w:val="18"/>
              </w:rPr>
            </w:pPr>
            <w:r w:rsidRPr="00E1295C">
              <w:rPr>
                <w:rFonts w:cs="Arial"/>
                <w:color w:val="000000"/>
                <w:sz w:val="18"/>
                <w:szCs w:val="18"/>
              </w:rPr>
              <w:t>-</w:t>
            </w:r>
          </w:p>
        </w:tc>
        <w:tc>
          <w:tcPr>
            <w:tcW w:w="1418" w:type="dxa"/>
            <w:tcBorders>
              <w:top w:val="nil"/>
              <w:left w:val="nil"/>
              <w:bottom w:val="single" w:sz="4" w:space="0" w:color="auto"/>
              <w:right w:val="single" w:sz="4" w:space="0" w:color="auto"/>
            </w:tcBorders>
            <w:shd w:val="clear" w:color="auto" w:fill="C2D69B" w:themeFill="accent3" w:themeFillTint="99"/>
            <w:noWrap/>
            <w:vAlign w:val="center"/>
            <w:hideMark/>
          </w:tcPr>
          <w:p w:rsidR="00CB3BCB" w:rsidRPr="00E1295C" w:rsidRDefault="00CB3BCB" w:rsidP="00E1295C">
            <w:pPr>
              <w:spacing w:after="0"/>
              <w:jc w:val="center"/>
              <w:rPr>
                <w:rFonts w:cs="Arial"/>
                <w:color w:val="000000"/>
                <w:sz w:val="18"/>
                <w:szCs w:val="18"/>
              </w:rPr>
            </w:pPr>
            <w:r w:rsidRPr="00E1295C">
              <w:rPr>
                <w:rFonts w:cs="Arial"/>
                <w:color w:val="000000"/>
                <w:sz w:val="18"/>
                <w:szCs w:val="18"/>
              </w:rPr>
              <w:t>-</w:t>
            </w:r>
          </w:p>
        </w:tc>
        <w:tc>
          <w:tcPr>
            <w:tcW w:w="1134" w:type="dxa"/>
            <w:tcBorders>
              <w:top w:val="nil"/>
              <w:left w:val="nil"/>
              <w:bottom w:val="single" w:sz="4" w:space="0" w:color="auto"/>
              <w:right w:val="single" w:sz="4" w:space="0" w:color="auto"/>
            </w:tcBorders>
            <w:shd w:val="clear" w:color="auto" w:fill="C2D69B" w:themeFill="accent3" w:themeFillTint="99"/>
            <w:noWrap/>
            <w:vAlign w:val="center"/>
            <w:hideMark/>
          </w:tcPr>
          <w:p w:rsidR="00CB3BCB" w:rsidRPr="002D7A4D" w:rsidRDefault="00CB3BCB" w:rsidP="00E1295C">
            <w:pPr>
              <w:spacing w:after="0"/>
              <w:jc w:val="center"/>
              <w:rPr>
                <w:rFonts w:cs="Arial"/>
                <w:b/>
                <w:color w:val="000000"/>
                <w:sz w:val="18"/>
                <w:szCs w:val="18"/>
              </w:rPr>
            </w:pPr>
            <w:r w:rsidRPr="002D7A4D">
              <w:rPr>
                <w:rFonts w:cs="Arial"/>
                <w:b/>
                <w:color w:val="000000"/>
                <w:sz w:val="18"/>
                <w:szCs w:val="18"/>
              </w:rPr>
              <w:t>-</w:t>
            </w:r>
          </w:p>
        </w:tc>
      </w:tr>
      <w:tr w:rsidR="00E1295C" w:rsidRPr="00022ED1" w:rsidTr="002D7A4D">
        <w:trPr>
          <w:cantSplit/>
          <w:trHeight w:val="255"/>
          <w:jc w:val="center"/>
        </w:trPr>
        <w:tc>
          <w:tcPr>
            <w:tcW w:w="1701" w:type="dxa"/>
            <w:vMerge/>
            <w:tcBorders>
              <w:left w:val="single" w:sz="4" w:space="0" w:color="auto"/>
              <w:bottom w:val="single" w:sz="4" w:space="0" w:color="auto"/>
              <w:right w:val="single" w:sz="4" w:space="0" w:color="auto"/>
            </w:tcBorders>
            <w:shd w:val="clear" w:color="auto" w:fill="C2D69B" w:themeFill="accent3" w:themeFillTint="99"/>
            <w:vAlign w:val="center"/>
          </w:tcPr>
          <w:p w:rsidR="00E1295C" w:rsidRPr="002D7A4D" w:rsidRDefault="00E1295C" w:rsidP="00CB3BCB">
            <w:pPr>
              <w:spacing w:after="0"/>
              <w:jc w:val="center"/>
              <w:rPr>
                <w:rFonts w:eastAsia="Times New Roman" w:cs="Arial"/>
                <w:b/>
                <w:color w:val="000000"/>
                <w:sz w:val="18"/>
                <w:szCs w:val="18"/>
                <w:lang w:eastAsia="pt-BR"/>
              </w:rPr>
            </w:pPr>
          </w:p>
        </w:tc>
        <w:tc>
          <w:tcPr>
            <w:tcW w:w="2268" w:type="dxa"/>
            <w:tcBorders>
              <w:top w:val="nil"/>
              <w:left w:val="single" w:sz="4" w:space="0" w:color="auto"/>
              <w:bottom w:val="single" w:sz="4" w:space="0" w:color="auto"/>
              <w:right w:val="single" w:sz="4" w:space="0" w:color="auto"/>
            </w:tcBorders>
            <w:shd w:val="clear" w:color="auto" w:fill="C2D69B" w:themeFill="accent3" w:themeFillTint="99"/>
            <w:noWrap/>
            <w:vAlign w:val="center"/>
            <w:hideMark/>
          </w:tcPr>
          <w:p w:rsidR="00E1295C" w:rsidRPr="00022ED1" w:rsidRDefault="00E1295C" w:rsidP="00CB3BCB">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Várzea/ Brejo</w:t>
            </w:r>
          </w:p>
        </w:tc>
        <w:tc>
          <w:tcPr>
            <w:tcW w:w="1417" w:type="dxa"/>
            <w:tcBorders>
              <w:top w:val="nil"/>
              <w:left w:val="nil"/>
              <w:bottom w:val="single" w:sz="4" w:space="0" w:color="auto"/>
              <w:right w:val="single" w:sz="4" w:space="0" w:color="auto"/>
            </w:tcBorders>
            <w:shd w:val="clear" w:color="auto" w:fill="C2D69B" w:themeFill="accent3" w:themeFillTint="99"/>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0,0910</w:t>
            </w:r>
          </w:p>
        </w:tc>
        <w:tc>
          <w:tcPr>
            <w:tcW w:w="1418" w:type="dxa"/>
            <w:tcBorders>
              <w:top w:val="nil"/>
              <w:left w:val="nil"/>
              <w:bottom w:val="single" w:sz="4" w:space="0" w:color="auto"/>
              <w:right w:val="single" w:sz="4" w:space="0" w:color="auto"/>
            </w:tcBorders>
            <w:shd w:val="clear" w:color="auto" w:fill="C2D69B" w:themeFill="accent3" w:themeFillTint="99"/>
            <w:noWrap/>
            <w:vAlign w:val="center"/>
            <w:hideMark/>
          </w:tcPr>
          <w:p w:rsidR="00E1295C" w:rsidRPr="00E1295C" w:rsidRDefault="00E1295C" w:rsidP="00E1295C">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34" w:type="dxa"/>
            <w:tcBorders>
              <w:top w:val="nil"/>
              <w:left w:val="nil"/>
              <w:bottom w:val="single" w:sz="4" w:space="0" w:color="auto"/>
              <w:right w:val="single" w:sz="4" w:space="0" w:color="auto"/>
            </w:tcBorders>
            <w:shd w:val="clear" w:color="auto" w:fill="C2D69B" w:themeFill="accent3" w:themeFillTint="99"/>
            <w:noWrap/>
            <w:vAlign w:val="center"/>
            <w:hideMark/>
          </w:tcPr>
          <w:p w:rsidR="00E1295C" w:rsidRPr="00E1295C" w:rsidRDefault="00E1295C" w:rsidP="00E1295C">
            <w:pPr>
              <w:spacing w:after="0"/>
              <w:jc w:val="center"/>
              <w:rPr>
                <w:rFonts w:eastAsia="Times New Roman" w:cs="Arial"/>
                <w:b/>
                <w:color w:val="000000"/>
                <w:sz w:val="18"/>
                <w:szCs w:val="18"/>
                <w:lang w:eastAsia="pt-BR"/>
              </w:rPr>
            </w:pPr>
            <w:r w:rsidRPr="00E1295C">
              <w:rPr>
                <w:rFonts w:eastAsia="Times New Roman" w:cs="Arial"/>
                <w:b/>
                <w:color w:val="000000"/>
                <w:sz w:val="18"/>
                <w:szCs w:val="18"/>
                <w:lang w:eastAsia="pt-BR"/>
              </w:rPr>
              <w:t>0,0910</w:t>
            </w:r>
          </w:p>
        </w:tc>
      </w:tr>
      <w:tr w:rsidR="00E1295C" w:rsidRPr="00022ED1" w:rsidTr="002D7A4D">
        <w:trPr>
          <w:cantSplit/>
          <w:trHeight w:val="255"/>
          <w:jc w:val="center"/>
        </w:trPr>
        <w:tc>
          <w:tcPr>
            <w:tcW w:w="1701" w:type="dxa"/>
            <w:vMerge w:val="restart"/>
            <w:tcBorders>
              <w:top w:val="nil"/>
              <w:left w:val="single" w:sz="4" w:space="0" w:color="auto"/>
              <w:right w:val="single" w:sz="4" w:space="0" w:color="auto"/>
            </w:tcBorders>
            <w:shd w:val="clear" w:color="auto" w:fill="EAF1DD" w:themeFill="accent3" w:themeFillTint="33"/>
            <w:vAlign w:val="center"/>
          </w:tcPr>
          <w:p w:rsidR="00E1295C" w:rsidRPr="002D7A4D" w:rsidRDefault="00E1295C" w:rsidP="00CB3BCB">
            <w:pPr>
              <w:spacing w:after="0"/>
              <w:jc w:val="center"/>
              <w:rPr>
                <w:rFonts w:eastAsia="Times New Roman" w:cs="Arial"/>
                <w:b/>
                <w:color w:val="000000"/>
                <w:sz w:val="18"/>
                <w:szCs w:val="18"/>
                <w:lang w:eastAsia="pt-BR"/>
              </w:rPr>
            </w:pPr>
            <w:r w:rsidRPr="002D7A4D">
              <w:rPr>
                <w:rFonts w:eastAsia="Times New Roman" w:cs="Arial"/>
                <w:b/>
                <w:color w:val="000000"/>
                <w:sz w:val="18"/>
                <w:szCs w:val="18"/>
                <w:lang w:eastAsia="pt-BR"/>
              </w:rPr>
              <w:t>Vegetação Antropizada</w:t>
            </w:r>
          </w:p>
        </w:tc>
        <w:tc>
          <w:tcPr>
            <w:tcW w:w="2268" w:type="dxa"/>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rsidR="00E1295C" w:rsidRPr="00022ED1" w:rsidRDefault="00E1295C" w:rsidP="00CB3BCB">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Vegetação Antropizada</w:t>
            </w:r>
          </w:p>
        </w:tc>
        <w:tc>
          <w:tcPr>
            <w:tcW w:w="1417" w:type="dxa"/>
            <w:tcBorders>
              <w:top w:val="nil"/>
              <w:left w:val="nil"/>
              <w:bottom w:val="single" w:sz="4" w:space="0" w:color="auto"/>
              <w:right w:val="single" w:sz="4" w:space="0" w:color="auto"/>
            </w:tcBorders>
            <w:shd w:val="clear" w:color="auto" w:fill="EAF1DD" w:themeFill="accent3" w:themeFillTint="33"/>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0,0536</w:t>
            </w:r>
          </w:p>
        </w:tc>
        <w:tc>
          <w:tcPr>
            <w:tcW w:w="1418" w:type="dxa"/>
            <w:tcBorders>
              <w:top w:val="nil"/>
              <w:left w:val="nil"/>
              <w:bottom w:val="single" w:sz="4" w:space="0" w:color="auto"/>
              <w:right w:val="single" w:sz="4" w:space="0" w:color="auto"/>
            </w:tcBorders>
            <w:shd w:val="clear" w:color="auto" w:fill="EAF1DD" w:themeFill="accent3" w:themeFillTint="33"/>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0,2916</w:t>
            </w:r>
          </w:p>
        </w:tc>
        <w:tc>
          <w:tcPr>
            <w:tcW w:w="1134" w:type="dxa"/>
            <w:tcBorders>
              <w:top w:val="nil"/>
              <w:left w:val="nil"/>
              <w:bottom w:val="single" w:sz="4" w:space="0" w:color="auto"/>
              <w:right w:val="single" w:sz="4" w:space="0" w:color="auto"/>
            </w:tcBorders>
            <w:shd w:val="clear" w:color="auto" w:fill="EAF1DD" w:themeFill="accent3" w:themeFillTint="33"/>
            <w:noWrap/>
            <w:vAlign w:val="center"/>
            <w:hideMark/>
          </w:tcPr>
          <w:p w:rsidR="00E1295C" w:rsidRPr="00E1295C" w:rsidRDefault="00E1295C" w:rsidP="00E1295C">
            <w:pPr>
              <w:spacing w:after="0"/>
              <w:jc w:val="center"/>
              <w:rPr>
                <w:rFonts w:eastAsia="Times New Roman" w:cs="Arial"/>
                <w:b/>
                <w:color w:val="000000"/>
                <w:sz w:val="18"/>
                <w:szCs w:val="18"/>
                <w:lang w:eastAsia="pt-BR"/>
              </w:rPr>
            </w:pPr>
            <w:r w:rsidRPr="00E1295C">
              <w:rPr>
                <w:rFonts w:eastAsia="Times New Roman" w:cs="Arial"/>
                <w:b/>
                <w:color w:val="000000"/>
                <w:sz w:val="18"/>
                <w:szCs w:val="18"/>
                <w:lang w:eastAsia="pt-BR"/>
              </w:rPr>
              <w:t>0,3452</w:t>
            </w:r>
          </w:p>
        </w:tc>
      </w:tr>
      <w:tr w:rsidR="00E1295C" w:rsidRPr="00022ED1" w:rsidTr="002D7A4D">
        <w:trPr>
          <w:cantSplit/>
          <w:trHeight w:val="255"/>
          <w:jc w:val="center"/>
        </w:trPr>
        <w:tc>
          <w:tcPr>
            <w:tcW w:w="1701" w:type="dxa"/>
            <w:vMerge/>
            <w:tcBorders>
              <w:left w:val="single" w:sz="4" w:space="0" w:color="auto"/>
              <w:right w:val="single" w:sz="4" w:space="0" w:color="auto"/>
            </w:tcBorders>
            <w:shd w:val="clear" w:color="auto" w:fill="EAF1DD" w:themeFill="accent3" w:themeFillTint="33"/>
            <w:vAlign w:val="center"/>
          </w:tcPr>
          <w:p w:rsidR="00E1295C" w:rsidRPr="002D7A4D" w:rsidRDefault="00E1295C" w:rsidP="00CB3BCB">
            <w:pPr>
              <w:spacing w:after="0"/>
              <w:jc w:val="center"/>
              <w:rPr>
                <w:rFonts w:eastAsia="Times New Roman" w:cs="Arial"/>
                <w:b/>
                <w:color w:val="000000"/>
                <w:sz w:val="18"/>
                <w:szCs w:val="18"/>
                <w:lang w:eastAsia="pt-BR"/>
              </w:rPr>
            </w:pPr>
          </w:p>
        </w:tc>
        <w:tc>
          <w:tcPr>
            <w:tcW w:w="2268" w:type="dxa"/>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rsidR="00E1295C" w:rsidRPr="00022ED1" w:rsidRDefault="00E1295C" w:rsidP="00CB3BCB">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Reflorestamento</w:t>
            </w:r>
          </w:p>
        </w:tc>
        <w:tc>
          <w:tcPr>
            <w:tcW w:w="1417" w:type="dxa"/>
            <w:tcBorders>
              <w:top w:val="nil"/>
              <w:left w:val="nil"/>
              <w:bottom w:val="single" w:sz="4" w:space="0" w:color="auto"/>
              <w:right w:val="single" w:sz="4" w:space="0" w:color="auto"/>
            </w:tcBorders>
            <w:shd w:val="clear" w:color="auto" w:fill="EAF1DD" w:themeFill="accent3" w:themeFillTint="33"/>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0,1461</w:t>
            </w:r>
          </w:p>
        </w:tc>
        <w:tc>
          <w:tcPr>
            <w:tcW w:w="1418" w:type="dxa"/>
            <w:tcBorders>
              <w:top w:val="nil"/>
              <w:left w:val="nil"/>
              <w:bottom w:val="single" w:sz="4" w:space="0" w:color="auto"/>
              <w:right w:val="single" w:sz="4" w:space="0" w:color="auto"/>
            </w:tcBorders>
            <w:shd w:val="clear" w:color="auto" w:fill="EAF1DD" w:themeFill="accent3" w:themeFillTint="33"/>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0,8992</w:t>
            </w:r>
          </w:p>
        </w:tc>
        <w:tc>
          <w:tcPr>
            <w:tcW w:w="1134" w:type="dxa"/>
            <w:tcBorders>
              <w:top w:val="nil"/>
              <w:left w:val="nil"/>
              <w:bottom w:val="single" w:sz="4" w:space="0" w:color="auto"/>
              <w:right w:val="single" w:sz="4" w:space="0" w:color="auto"/>
            </w:tcBorders>
            <w:shd w:val="clear" w:color="auto" w:fill="EAF1DD" w:themeFill="accent3" w:themeFillTint="33"/>
            <w:noWrap/>
            <w:vAlign w:val="center"/>
            <w:hideMark/>
          </w:tcPr>
          <w:p w:rsidR="00E1295C" w:rsidRPr="00E1295C" w:rsidRDefault="00E1295C" w:rsidP="00E1295C">
            <w:pPr>
              <w:spacing w:after="0"/>
              <w:jc w:val="center"/>
              <w:rPr>
                <w:rFonts w:eastAsia="Times New Roman" w:cs="Arial"/>
                <w:b/>
                <w:color w:val="000000"/>
                <w:sz w:val="18"/>
                <w:szCs w:val="18"/>
                <w:lang w:eastAsia="pt-BR"/>
              </w:rPr>
            </w:pPr>
            <w:r w:rsidRPr="00E1295C">
              <w:rPr>
                <w:rFonts w:eastAsia="Times New Roman" w:cs="Arial"/>
                <w:b/>
                <w:color w:val="000000"/>
                <w:sz w:val="18"/>
                <w:szCs w:val="18"/>
                <w:lang w:eastAsia="pt-BR"/>
              </w:rPr>
              <w:t>1,0453</w:t>
            </w:r>
          </w:p>
        </w:tc>
      </w:tr>
      <w:tr w:rsidR="00E1295C" w:rsidRPr="00022ED1" w:rsidTr="002D7A4D">
        <w:trPr>
          <w:cantSplit/>
          <w:trHeight w:val="255"/>
          <w:jc w:val="center"/>
        </w:trPr>
        <w:tc>
          <w:tcPr>
            <w:tcW w:w="1701" w:type="dxa"/>
            <w:vMerge/>
            <w:tcBorders>
              <w:left w:val="single" w:sz="4" w:space="0" w:color="auto"/>
              <w:right w:val="single" w:sz="4" w:space="0" w:color="auto"/>
            </w:tcBorders>
            <w:shd w:val="clear" w:color="auto" w:fill="EAF1DD" w:themeFill="accent3" w:themeFillTint="33"/>
            <w:vAlign w:val="center"/>
          </w:tcPr>
          <w:p w:rsidR="00E1295C" w:rsidRPr="002D7A4D" w:rsidRDefault="00E1295C" w:rsidP="00CB3BCB">
            <w:pPr>
              <w:spacing w:after="0"/>
              <w:jc w:val="center"/>
              <w:rPr>
                <w:rFonts w:eastAsia="Times New Roman" w:cs="Arial"/>
                <w:b/>
                <w:color w:val="000000"/>
                <w:sz w:val="18"/>
                <w:szCs w:val="18"/>
                <w:lang w:eastAsia="pt-BR"/>
              </w:rPr>
            </w:pPr>
          </w:p>
        </w:tc>
        <w:tc>
          <w:tcPr>
            <w:tcW w:w="2268" w:type="dxa"/>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rsidR="00E1295C" w:rsidRPr="00022ED1" w:rsidRDefault="00E1295C" w:rsidP="00CB3BCB">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Agrupamento/ Cerca Viva</w:t>
            </w:r>
          </w:p>
        </w:tc>
        <w:tc>
          <w:tcPr>
            <w:tcW w:w="1417" w:type="dxa"/>
            <w:tcBorders>
              <w:top w:val="nil"/>
              <w:left w:val="nil"/>
              <w:bottom w:val="single" w:sz="4" w:space="0" w:color="auto"/>
              <w:right w:val="single" w:sz="4" w:space="0" w:color="auto"/>
            </w:tcBorders>
            <w:shd w:val="clear" w:color="auto" w:fill="EAF1DD" w:themeFill="accent3" w:themeFillTint="33"/>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0,0153</w:t>
            </w:r>
          </w:p>
        </w:tc>
        <w:tc>
          <w:tcPr>
            <w:tcW w:w="1418" w:type="dxa"/>
            <w:tcBorders>
              <w:top w:val="nil"/>
              <w:left w:val="nil"/>
              <w:bottom w:val="single" w:sz="4" w:space="0" w:color="auto"/>
              <w:right w:val="single" w:sz="4" w:space="0" w:color="auto"/>
            </w:tcBorders>
            <w:shd w:val="clear" w:color="auto" w:fill="EAF1DD" w:themeFill="accent3" w:themeFillTint="33"/>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0,0627</w:t>
            </w:r>
          </w:p>
        </w:tc>
        <w:tc>
          <w:tcPr>
            <w:tcW w:w="1134" w:type="dxa"/>
            <w:tcBorders>
              <w:top w:val="nil"/>
              <w:left w:val="nil"/>
              <w:bottom w:val="single" w:sz="4" w:space="0" w:color="auto"/>
              <w:right w:val="single" w:sz="4" w:space="0" w:color="auto"/>
            </w:tcBorders>
            <w:shd w:val="clear" w:color="auto" w:fill="EAF1DD" w:themeFill="accent3" w:themeFillTint="33"/>
            <w:noWrap/>
            <w:vAlign w:val="center"/>
            <w:hideMark/>
          </w:tcPr>
          <w:p w:rsidR="00E1295C" w:rsidRPr="00E1295C" w:rsidRDefault="00E1295C" w:rsidP="00E1295C">
            <w:pPr>
              <w:spacing w:after="0"/>
              <w:jc w:val="center"/>
              <w:rPr>
                <w:rFonts w:eastAsia="Times New Roman" w:cs="Arial"/>
                <w:b/>
                <w:color w:val="000000"/>
                <w:sz w:val="18"/>
                <w:szCs w:val="18"/>
                <w:lang w:eastAsia="pt-BR"/>
              </w:rPr>
            </w:pPr>
            <w:r w:rsidRPr="00E1295C">
              <w:rPr>
                <w:rFonts w:eastAsia="Times New Roman" w:cs="Arial"/>
                <w:b/>
                <w:color w:val="000000"/>
                <w:sz w:val="18"/>
                <w:szCs w:val="18"/>
                <w:lang w:eastAsia="pt-BR"/>
              </w:rPr>
              <w:t>0,0780</w:t>
            </w:r>
          </w:p>
        </w:tc>
      </w:tr>
      <w:tr w:rsidR="00E1295C" w:rsidRPr="00022ED1" w:rsidTr="002D7A4D">
        <w:trPr>
          <w:cantSplit/>
          <w:trHeight w:val="255"/>
          <w:jc w:val="center"/>
        </w:trPr>
        <w:tc>
          <w:tcPr>
            <w:tcW w:w="1701" w:type="dxa"/>
            <w:vMerge/>
            <w:tcBorders>
              <w:left w:val="single" w:sz="4" w:space="0" w:color="auto"/>
              <w:bottom w:val="single" w:sz="4" w:space="0" w:color="auto"/>
              <w:right w:val="single" w:sz="4" w:space="0" w:color="auto"/>
            </w:tcBorders>
            <w:shd w:val="clear" w:color="auto" w:fill="EAF1DD" w:themeFill="accent3" w:themeFillTint="33"/>
            <w:vAlign w:val="center"/>
          </w:tcPr>
          <w:p w:rsidR="00E1295C" w:rsidRPr="002D7A4D" w:rsidRDefault="00E1295C" w:rsidP="00CB3BCB">
            <w:pPr>
              <w:spacing w:after="0"/>
              <w:jc w:val="center"/>
              <w:rPr>
                <w:rFonts w:eastAsia="Times New Roman" w:cs="Arial"/>
                <w:b/>
                <w:color w:val="000000"/>
                <w:sz w:val="18"/>
                <w:szCs w:val="18"/>
                <w:lang w:eastAsia="pt-BR"/>
              </w:rPr>
            </w:pPr>
          </w:p>
        </w:tc>
        <w:tc>
          <w:tcPr>
            <w:tcW w:w="2268" w:type="dxa"/>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rsidR="00E1295C" w:rsidRPr="00022ED1" w:rsidRDefault="00E1295C" w:rsidP="00CB3BCB">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Campo Antrópico</w:t>
            </w:r>
          </w:p>
        </w:tc>
        <w:tc>
          <w:tcPr>
            <w:tcW w:w="1417" w:type="dxa"/>
            <w:tcBorders>
              <w:top w:val="nil"/>
              <w:left w:val="nil"/>
              <w:bottom w:val="single" w:sz="4" w:space="0" w:color="auto"/>
              <w:right w:val="single" w:sz="4" w:space="0" w:color="auto"/>
            </w:tcBorders>
            <w:shd w:val="clear" w:color="auto" w:fill="EAF1DD" w:themeFill="accent3" w:themeFillTint="33"/>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0,4562</w:t>
            </w:r>
          </w:p>
        </w:tc>
        <w:tc>
          <w:tcPr>
            <w:tcW w:w="1418" w:type="dxa"/>
            <w:tcBorders>
              <w:top w:val="nil"/>
              <w:left w:val="nil"/>
              <w:bottom w:val="single" w:sz="4" w:space="0" w:color="auto"/>
              <w:right w:val="single" w:sz="4" w:space="0" w:color="auto"/>
            </w:tcBorders>
            <w:shd w:val="clear" w:color="auto" w:fill="EAF1DD" w:themeFill="accent3" w:themeFillTint="33"/>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0,5802</w:t>
            </w:r>
          </w:p>
        </w:tc>
        <w:tc>
          <w:tcPr>
            <w:tcW w:w="1134" w:type="dxa"/>
            <w:tcBorders>
              <w:top w:val="nil"/>
              <w:left w:val="nil"/>
              <w:bottom w:val="single" w:sz="4" w:space="0" w:color="auto"/>
              <w:right w:val="single" w:sz="4" w:space="0" w:color="auto"/>
            </w:tcBorders>
            <w:shd w:val="clear" w:color="auto" w:fill="EAF1DD" w:themeFill="accent3" w:themeFillTint="33"/>
            <w:noWrap/>
            <w:vAlign w:val="center"/>
            <w:hideMark/>
          </w:tcPr>
          <w:p w:rsidR="00E1295C" w:rsidRPr="00E1295C" w:rsidRDefault="00E1295C" w:rsidP="00E1295C">
            <w:pPr>
              <w:spacing w:after="0"/>
              <w:jc w:val="center"/>
              <w:rPr>
                <w:rFonts w:eastAsia="Times New Roman" w:cs="Arial"/>
                <w:b/>
                <w:color w:val="000000"/>
                <w:sz w:val="18"/>
                <w:szCs w:val="18"/>
                <w:lang w:eastAsia="pt-BR"/>
              </w:rPr>
            </w:pPr>
            <w:r w:rsidRPr="00E1295C">
              <w:rPr>
                <w:rFonts w:eastAsia="Times New Roman" w:cs="Arial"/>
                <w:b/>
                <w:color w:val="000000"/>
                <w:sz w:val="18"/>
                <w:szCs w:val="18"/>
                <w:lang w:eastAsia="pt-BR"/>
              </w:rPr>
              <w:t>1,0364</w:t>
            </w:r>
          </w:p>
        </w:tc>
      </w:tr>
      <w:tr w:rsidR="00E1295C" w:rsidRPr="00022ED1" w:rsidTr="002D7A4D">
        <w:trPr>
          <w:cantSplit/>
          <w:trHeight w:val="255"/>
          <w:jc w:val="center"/>
        </w:trPr>
        <w:tc>
          <w:tcPr>
            <w:tcW w:w="1701" w:type="dxa"/>
            <w:vMerge w:val="restart"/>
            <w:tcBorders>
              <w:top w:val="nil"/>
              <w:left w:val="single" w:sz="4" w:space="0" w:color="auto"/>
              <w:right w:val="single" w:sz="4" w:space="0" w:color="auto"/>
            </w:tcBorders>
            <w:shd w:val="clear" w:color="auto" w:fill="FDE9D9" w:themeFill="accent6" w:themeFillTint="33"/>
            <w:vAlign w:val="center"/>
          </w:tcPr>
          <w:p w:rsidR="00E1295C" w:rsidRPr="002D7A4D" w:rsidRDefault="00E1295C" w:rsidP="00CB3BCB">
            <w:pPr>
              <w:spacing w:after="0"/>
              <w:jc w:val="center"/>
              <w:rPr>
                <w:rFonts w:eastAsia="Times New Roman" w:cs="Arial"/>
                <w:b/>
                <w:color w:val="000000"/>
                <w:sz w:val="18"/>
                <w:szCs w:val="18"/>
                <w:lang w:eastAsia="pt-BR"/>
              </w:rPr>
            </w:pPr>
            <w:r w:rsidRPr="002D7A4D">
              <w:rPr>
                <w:rFonts w:eastAsia="Times New Roman" w:cs="Arial"/>
                <w:b/>
                <w:color w:val="000000"/>
                <w:sz w:val="18"/>
                <w:szCs w:val="18"/>
                <w:lang w:eastAsia="pt-BR"/>
              </w:rPr>
              <w:t>Uso Antrópico Agrícola</w:t>
            </w:r>
          </w:p>
        </w:tc>
        <w:tc>
          <w:tcPr>
            <w:tcW w:w="2268" w:type="dxa"/>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rsidR="00E1295C" w:rsidRPr="00022ED1" w:rsidRDefault="00E1295C" w:rsidP="00CB3BCB">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Pastagem</w:t>
            </w:r>
          </w:p>
        </w:tc>
        <w:tc>
          <w:tcPr>
            <w:tcW w:w="1417" w:type="dxa"/>
            <w:tcBorders>
              <w:top w:val="nil"/>
              <w:left w:val="nil"/>
              <w:bottom w:val="single" w:sz="4" w:space="0" w:color="auto"/>
              <w:right w:val="single" w:sz="4" w:space="0" w:color="auto"/>
            </w:tcBorders>
            <w:shd w:val="clear" w:color="auto" w:fill="FDE9D9" w:themeFill="accent6" w:themeFillTint="33"/>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0,1998</w:t>
            </w:r>
          </w:p>
        </w:tc>
        <w:tc>
          <w:tcPr>
            <w:tcW w:w="1418" w:type="dxa"/>
            <w:tcBorders>
              <w:top w:val="nil"/>
              <w:left w:val="nil"/>
              <w:bottom w:val="single" w:sz="4" w:space="0" w:color="auto"/>
              <w:right w:val="single" w:sz="4" w:space="0" w:color="auto"/>
            </w:tcBorders>
            <w:shd w:val="clear" w:color="auto" w:fill="FDE9D9" w:themeFill="accent6" w:themeFillTint="33"/>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0,5975</w:t>
            </w:r>
          </w:p>
        </w:tc>
        <w:tc>
          <w:tcPr>
            <w:tcW w:w="1134" w:type="dxa"/>
            <w:tcBorders>
              <w:top w:val="nil"/>
              <w:left w:val="nil"/>
              <w:bottom w:val="single" w:sz="4" w:space="0" w:color="auto"/>
              <w:right w:val="single" w:sz="4" w:space="0" w:color="auto"/>
            </w:tcBorders>
            <w:shd w:val="clear" w:color="auto" w:fill="FDE9D9" w:themeFill="accent6" w:themeFillTint="33"/>
            <w:noWrap/>
            <w:vAlign w:val="center"/>
            <w:hideMark/>
          </w:tcPr>
          <w:p w:rsidR="00E1295C" w:rsidRPr="00E1295C" w:rsidRDefault="00E1295C" w:rsidP="00E1295C">
            <w:pPr>
              <w:spacing w:after="0"/>
              <w:jc w:val="center"/>
              <w:rPr>
                <w:rFonts w:eastAsia="Times New Roman" w:cs="Arial"/>
                <w:b/>
                <w:color w:val="000000"/>
                <w:sz w:val="18"/>
                <w:szCs w:val="18"/>
                <w:lang w:eastAsia="pt-BR"/>
              </w:rPr>
            </w:pPr>
            <w:r w:rsidRPr="00E1295C">
              <w:rPr>
                <w:rFonts w:eastAsia="Times New Roman" w:cs="Arial"/>
                <w:b/>
                <w:color w:val="000000"/>
                <w:sz w:val="18"/>
                <w:szCs w:val="18"/>
                <w:lang w:eastAsia="pt-BR"/>
              </w:rPr>
              <w:t>0,7973</w:t>
            </w:r>
          </w:p>
        </w:tc>
      </w:tr>
      <w:tr w:rsidR="00E1295C" w:rsidRPr="00022ED1" w:rsidTr="002D7A4D">
        <w:trPr>
          <w:cantSplit/>
          <w:trHeight w:val="255"/>
          <w:jc w:val="center"/>
        </w:trPr>
        <w:tc>
          <w:tcPr>
            <w:tcW w:w="1701" w:type="dxa"/>
            <w:vMerge/>
            <w:tcBorders>
              <w:left w:val="single" w:sz="4" w:space="0" w:color="auto"/>
              <w:right w:val="single" w:sz="4" w:space="0" w:color="auto"/>
            </w:tcBorders>
            <w:shd w:val="clear" w:color="auto" w:fill="FDE9D9" w:themeFill="accent6" w:themeFillTint="33"/>
            <w:vAlign w:val="center"/>
          </w:tcPr>
          <w:p w:rsidR="00E1295C" w:rsidRPr="002D7A4D" w:rsidRDefault="00E1295C" w:rsidP="00CB3BCB">
            <w:pPr>
              <w:spacing w:after="0"/>
              <w:jc w:val="center"/>
              <w:rPr>
                <w:rFonts w:eastAsia="Times New Roman" w:cs="Arial"/>
                <w:b/>
                <w:color w:val="000000"/>
                <w:sz w:val="18"/>
                <w:szCs w:val="18"/>
                <w:lang w:eastAsia="pt-BR"/>
              </w:rPr>
            </w:pPr>
          </w:p>
        </w:tc>
        <w:tc>
          <w:tcPr>
            <w:tcW w:w="2268" w:type="dxa"/>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rsidR="00E1295C" w:rsidRPr="00022ED1" w:rsidRDefault="00E1295C" w:rsidP="00CB3BCB">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Chácaras</w:t>
            </w:r>
          </w:p>
        </w:tc>
        <w:tc>
          <w:tcPr>
            <w:tcW w:w="1417" w:type="dxa"/>
            <w:tcBorders>
              <w:top w:val="nil"/>
              <w:left w:val="nil"/>
              <w:bottom w:val="single" w:sz="4" w:space="0" w:color="auto"/>
              <w:right w:val="single" w:sz="4" w:space="0" w:color="auto"/>
            </w:tcBorders>
            <w:shd w:val="clear" w:color="auto" w:fill="FDE9D9" w:themeFill="accent6" w:themeFillTint="33"/>
            <w:noWrap/>
            <w:vAlign w:val="center"/>
            <w:hideMark/>
          </w:tcPr>
          <w:p w:rsidR="00E1295C" w:rsidRPr="00E1295C" w:rsidRDefault="002D7A4D" w:rsidP="00E1295C">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418" w:type="dxa"/>
            <w:tcBorders>
              <w:top w:val="nil"/>
              <w:left w:val="nil"/>
              <w:bottom w:val="single" w:sz="4" w:space="0" w:color="auto"/>
              <w:right w:val="single" w:sz="4" w:space="0" w:color="auto"/>
            </w:tcBorders>
            <w:shd w:val="clear" w:color="auto" w:fill="FDE9D9" w:themeFill="accent6" w:themeFillTint="33"/>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0,0046</w:t>
            </w:r>
          </w:p>
        </w:tc>
        <w:tc>
          <w:tcPr>
            <w:tcW w:w="1134" w:type="dxa"/>
            <w:tcBorders>
              <w:top w:val="nil"/>
              <w:left w:val="nil"/>
              <w:bottom w:val="single" w:sz="4" w:space="0" w:color="auto"/>
              <w:right w:val="single" w:sz="4" w:space="0" w:color="auto"/>
            </w:tcBorders>
            <w:shd w:val="clear" w:color="auto" w:fill="FDE9D9" w:themeFill="accent6" w:themeFillTint="33"/>
            <w:noWrap/>
            <w:vAlign w:val="center"/>
            <w:hideMark/>
          </w:tcPr>
          <w:p w:rsidR="00E1295C" w:rsidRPr="00E1295C" w:rsidRDefault="00E1295C" w:rsidP="00E1295C">
            <w:pPr>
              <w:spacing w:after="0"/>
              <w:jc w:val="center"/>
              <w:rPr>
                <w:rFonts w:eastAsia="Times New Roman" w:cs="Arial"/>
                <w:b/>
                <w:color w:val="000000"/>
                <w:sz w:val="18"/>
                <w:szCs w:val="18"/>
                <w:lang w:eastAsia="pt-BR"/>
              </w:rPr>
            </w:pPr>
            <w:r w:rsidRPr="00E1295C">
              <w:rPr>
                <w:rFonts w:eastAsia="Times New Roman" w:cs="Arial"/>
                <w:b/>
                <w:color w:val="000000"/>
                <w:sz w:val="18"/>
                <w:szCs w:val="18"/>
                <w:lang w:eastAsia="pt-BR"/>
              </w:rPr>
              <w:t>0,0046</w:t>
            </w:r>
          </w:p>
        </w:tc>
      </w:tr>
      <w:tr w:rsidR="00E1295C" w:rsidRPr="00022ED1" w:rsidTr="002D7A4D">
        <w:trPr>
          <w:cantSplit/>
          <w:trHeight w:val="255"/>
          <w:jc w:val="center"/>
        </w:trPr>
        <w:tc>
          <w:tcPr>
            <w:tcW w:w="1701" w:type="dxa"/>
            <w:vMerge/>
            <w:tcBorders>
              <w:left w:val="single" w:sz="4" w:space="0" w:color="auto"/>
              <w:right w:val="single" w:sz="4" w:space="0" w:color="auto"/>
            </w:tcBorders>
            <w:shd w:val="clear" w:color="auto" w:fill="FDE9D9" w:themeFill="accent6" w:themeFillTint="33"/>
            <w:vAlign w:val="center"/>
          </w:tcPr>
          <w:p w:rsidR="00E1295C" w:rsidRPr="002D7A4D" w:rsidRDefault="00E1295C" w:rsidP="00CB3BCB">
            <w:pPr>
              <w:spacing w:after="0"/>
              <w:jc w:val="center"/>
              <w:rPr>
                <w:rFonts w:eastAsia="Times New Roman" w:cs="Arial"/>
                <w:b/>
                <w:color w:val="000000"/>
                <w:sz w:val="18"/>
                <w:szCs w:val="18"/>
                <w:lang w:eastAsia="pt-BR"/>
              </w:rPr>
            </w:pPr>
          </w:p>
        </w:tc>
        <w:tc>
          <w:tcPr>
            <w:tcW w:w="2268" w:type="dxa"/>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rsidR="00E1295C" w:rsidRPr="00022ED1" w:rsidRDefault="00E1295C" w:rsidP="00CB3BCB">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Cultivo</w:t>
            </w:r>
          </w:p>
        </w:tc>
        <w:tc>
          <w:tcPr>
            <w:tcW w:w="1417" w:type="dxa"/>
            <w:tcBorders>
              <w:top w:val="nil"/>
              <w:left w:val="nil"/>
              <w:bottom w:val="single" w:sz="4" w:space="0" w:color="auto"/>
              <w:right w:val="single" w:sz="4" w:space="0" w:color="auto"/>
            </w:tcBorders>
            <w:shd w:val="clear" w:color="auto" w:fill="FDE9D9" w:themeFill="accent6" w:themeFillTint="33"/>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0,0110</w:t>
            </w:r>
          </w:p>
        </w:tc>
        <w:tc>
          <w:tcPr>
            <w:tcW w:w="1418" w:type="dxa"/>
            <w:tcBorders>
              <w:top w:val="nil"/>
              <w:left w:val="nil"/>
              <w:bottom w:val="single" w:sz="4" w:space="0" w:color="auto"/>
              <w:right w:val="single" w:sz="4" w:space="0" w:color="auto"/>
            </w:tcBorders>
            <w:shd w:val="clear" w:color="auto" w:fill="FDE9D9" w:themeFill="accent6" w:themeFillTint="33"/>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0,0087</w:t>
            </w:r>
          </w:p>
        </w:tc>
        <w:tc>
          <w:tcPr>
            <w:tcW w:w="1134" w:type="dxa"/>
            <w:tcBorders>
              <w:top w:val="nil"/>
              <w:left w:val="nil"/>
              <w:bottom w:val="single" w:sz="4" w:space="0" w:color="auto"/>
              <w:right w:val="single" w:sz="4" w:space="0" w:color="auto"/>
            </w:tcBorders>
            <w:shd w:val="clear" w:color="auto" w:fill="FDE9D9" w:themeFill="accent6" w:themeFillTint="33"/>
            <w:noWrap/>
            <w:vAlign w:val="center"/>
            <w:hideMark/>
          </w:tcPr>
          <w:p w:rsidR="00E1295C" w:rsidRPr="00E1295C" w:rsidRDefault="00E1295C" w:rsidP="00E1295C">
            <w:pPr>
              <w:spacing w:after="0"/>
              <w:jc w:val="center"/>
              <w:rPr>
                <w:rFonts w:eastAsia="Times New Roman" w:cs="Arial"/>
                <w:b/>
                <w:color w:val="000000"/>
                <w:sz w:val="18"/>
                <w:szCs w:val="18"/>
                <w:lang w:eastAsia="pt-BR"/>
              </w:rPr>
            </w:pPr>
            <w:r w:rsidRPr="00E1295C">
              <w:rPr>
                <w:rFonts w:eastAsia="Times New Roman" w:cs="Arial"/>
                <w:b/>
                <w:color w:val="000000"/>
                <w:sz w:val="18"/>
                <w:szCs w:val="18"/>
                <w:lang w:eastAsia="pt-BR"/>
              </w:rPr>
              <w:t>0,0197</w:t>
            </w:r>
          </w:p>
        </w:tc>
      </w:tr>
      <w:tr w:rsidR="00E1295C" w:rsidRPr="00022ED1" w:rsidTr="002D7A4D">
        <w:trPr>
          <w:cantSplit/>
          <w:trHeight w:val="255"/>
          <w:jc w:val="center"/>
        </w:trPr>
        <w:tc>
          <w:tcPr>
            <w:tcW w:w="1701" w:type="dxa"/>
            <w:vMerge/>
            <w:tcBorders>
              <w:left w:val="single" w:sz="4" w:space="0" w:color="auto"/>
              <w:bottom w:val="single" w:sz="4" w:space="0" w:color="auto"/>
              <w:right w:val="single" w:sz="4" w:space="0" w:color="auto"/>
            </w:tcBorders>
            <w:shd w:val="clear" w:color="auto" w:fill="FDE9D9" w:themeFill="accent6" w:themeFillTint="33"/>
            <w:vAlign w:val="center"/>
          </w:tcPr>
          <w:p w:rsidR="00E1295C" w:rsidRPr="002D7A4D" w:rsidRDefault="00E1295C" w:rsidP="00CB3BCB">
            <w:pPr>
              <w:spacing w:after="0"/>
              <w:jc w:val="center"/>
              <w:rPr>
                <w:rFonts w:eastAsia="Times New Roman" w:cs="Arial"/>
                <w:b/>
                <w:color w:val="000000"/>
                <w:sz w:val="18"/>
                <w:szCs w:val="18"/>
                <w:lang w:eastAsia="pt-BR"/>
              </w:rPr>
            </w:pPr>
          </w:p>
        </w:tc>
        <w:tc>
          <w:tcPr>
            <w:tcW w:w="2268" w:type="dxa"/>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rsidR="00E1295C" w:rsidRPr="00022ED1" w:rsidRDefault="00E1295C" w:rsidP="00CB3BCB">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Solo Exposto</w:t>
            </w:r>
          </w:p>
        </w:tc>
        <w:tc>
          <w:tcPr>
            <w:tcW w:w="1417" w:type="dxa"/>
            <w:tcBorders>
              <w:top w:val="nil"/>
              <w:left w:val="nil"/>
              <w:bottom w:val="single" w:sz="4" w:space="0" w:color="auto"/>
              <w:right w:val="single" w:sz="4" w:space="0" w:color="auto"/>
            </w:tcBorders>
            <w:shd w:val="clear" w:color="auto" w:fill="FDE9D9" w:themeFill="accent6" w:themeFillTint="33"/>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0,1150</w:t>
            </w:r>
          </w:p>
        </w:tc>
        <w:tc>
          <w:tcPr>
            <w:tcW w:w="1418" w:type="dxa"/>
            <w:tcBorders>
              <w:top w:val="nil"/>
              <w:left w:val="nil"/>
              <w:bottom w:val="single" w:sz="4" w:space="0" w:color="auto"/>
              <w:right w:val="single" w:sz="4" w:space="0" w:color="auto"/>
            </w:tcBorders>
            <w:shd w:val="clear" w:color="auto" w:fill="FDE9D9" w:themeFill="accent6" w:themeFillTint="33"/>
            <w:noWrap/>
            <w:vAlign w:val="center"/>
            <w:hideMark/>
          </w:tcPr>
          <w:p w:rsidR="00E1295C" w:rsidRPr="00E1295C" w:rsidRDefault="00E1295C" w:rsidP="00E1295C">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0,0715</w:t>
            </w:r>
          </w:p>
        </w:tc>
        <w:tc>
          <w:tcPr>
            <w:tcW w:w="1134" w:type="dxa"/>
            <w:tcBorders>
              <w:top w:val="nil"/>
              <w:left w:val="nil"/>
              <w:bottom w:val="single" w:sz="4" w:space="0" w:color="auto"/>
              <w:right w:val="single" w:sz="4" w:space="0" w:color="auto"/>
            </w:tcBorders>
            <w:shd w:val="clear" w:color="auto" w:fill="FDE9D9" w:themeFill="accent6" w:themeFillTint="33"/>
            <w:noWrap/>
            <w:vAlign w:val="center"/>
            <w:hideMark/>
          </w:tcPr>
          <w:p w:rsidR="00E1295C" w:rsidRPr="00E1295C" w:rsidRDefault="00E1295C" w:rsidP="00E1295C">
            <w:pPr>
              <w:spacing w:after="0"/>
              <w:jc w:val="center"/>
              <w:rPr>
                <w:rFonts w:eastAsia="Times New Roman" w:cs="Arial"/>
                <w:b/>
                <w:color w:val="000000"/>
                <w:sz w:val="18"/>
                <w:szCs w:val="18"/>
                <w:lang w:eastAsia="pt-BR"/>
              </w:rPr>
            </w:pPr>
            <w:r w:rsidRPr="00E1295C">
              <w:rPr>
                <w:rFonts w:eastAsia="Times New Roman" w:cs="Arial"/>
                <w:b/>
                <w:color w:val="000000"/>
                <w:sz w:val="18"/>
                <w:szCs w:val="18"/>
                <w:lang w:eastAsia="pt-BR"/>
              </w:rPr>
              <w:t>0,1865</w:t>
            </w:r>
          </w:p>
        </w:tc>
      </w:tr>
      <w:tr w:rsidR="00E1295C" w:rsidRPr="00022ED1" w:rsidTr="001966EE">
        <w:trPr>
          <w:cantSplit/>
          <w:trHeight w:val="255"/>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rsidR="00E1295C" w:rsidRPr="002D7A4D" w:rsidRDefault="00E1295C" w:rsidP="00CB3BCB">
            <w:pPr>
              <w:spacing w:after="0"/>
              <w:jc w:val="center"/>
              <w:rPr>
                <w:rFonts w:eastAsia="Times New Roman" w:cs="Arial"/>
                <w:b/>
                <w:color w:val="000000"/>
                <w:sz w:val="18"/>
                <w:szCs w:val="18"/>
                <w:lang w:eastAsia="pt-BR"/>
              </w:rPr>
            </w:pPr>
            <w:r w:rsidRPr="002D7A4D">
              <w:rPr>
                <w:rFonts w:eastAsia="Times New Roman" w:cs="Arial"/>
                <w:b/>
                <w:color w:val="000000"/>
                <w:sz w:val="18"/>
                <w:szCs w:val="18"/>
                <w:lang w:eastAsia="pt-BR"/>
              </w:rPr>
              <w:t>Uso Antrópico Não Agrícola</w:t>
            </w:r>
          </w:p>
        </w:tc>
        <w:tc>
          <w:tcPr>
            <w:tcW w:w="2268" w:type="dxa"/>
            <w:tcBorders>
              <w:top w:val="nil"/>
              <w:left w:val="single" w:sz="4" w:space="0" w:color="auto"/>
              <w:bottom w:val="single" w:sz="4" w:space="0" w:color="auto"/>
              <w:right w:val="single" w:sz="4" w:space="0" w:color="auto"/>
            </w:tcBorders>
            <w:shd w:val="clear" w:color="auto" w:fill="FBD4B4" w:themeFill="accent6" w:themeFillTint="66"/>
            <w:noWrap/>
            <w:vAlign w:val="center"/>
            <w:hideMark/>
          </w:tcPr>
          <w:p w:rsidR="00E1295C" w:rsidRPr="00022ED1" w:rsidRDefault="00E1295C" w:rsidP="00D40571">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Via Não Pavimentada</w:t>
            </w:r>
          </w:p>
        </w:tc>
        <w:tc>
          <w:tcPr>
            <w:tcW w:w="1417" w:type="dxa"/>
            <w:tcBorders>
              <w:top w:val="nil"/>
              <w:left w:val="nil"/>
              <w:bottom w:val="single" w:sz="4" w:space="0" w:color="auto"/>
              <w:right w:val="single" w:sz="4" w:space="0" w:color="auto"/>
            </w:tcBorders>
            <w:shd w:val="clear" w:color="auto" w:fill="FBD4B4" w:themeFill="accent6" w:themeFillTint="66"/>
            <w:noWrap/>
            <w:vAlign w:val="center"/>
            <w:hideMark/>
          </w:tcPr>
          <w:p w:rsidR="00E1295C" w:rsidRPr="00E1295C" w:rsidRDefault="00E1295C" w:rsidP="00D40571">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0,7146</w:t>
            </w:r>
          </w:p>
        </w:tc>
        <w:tc>
          <w:tcPr>
            <w:tcW w:w="1418" w:type="dxa"/>
            <w:tcBorders>
              <w:top w:val="nil"/>
              <w:left w:val="nil"/>
              <w:bottom w:val="single" w:sz="4" w:space="0" w:color="auto"/>
              <w:right w:val="single" w:sz="4" w:space="0" w:color="auto"/>
            </w:tcBorders>
            <w:shd w:val="clear" w:color="auto" w:fill="FBD4B4" w:themeFill="accent6" w:themeFillTint="66"/>
            <w:noWrap/>
            <w:vAlign w:val="center"/>
            <w:hideMark/>
          </w:tcPr>
          <w:p w:rsidR="00E1295C" w:rsidRPr="00E1295C" w:rsidRDefault="00E1295C" w:rsidP="00D40571">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1,1889</w:t>
            </w:r>
          </w:p>
        </w:tc>
        <w:tc>
          <w:tcPr>
            <w:tcW w:w="1134" w:type="dxa"/>
            <w:tcBorders>
              <w:top w:val="nil"/>
              <w:left w:val="nil"/>
              <w:bottom w:val="single" w:sz="4" w:space="0" w:color="auto"/>
              <w:right w:val="single" w:sz="4" w:space="0" w:color="auto"/>
            </w:tcBorders>
            <w:shd w:val="clear" w:color="auto" w:fill="FBD4B4" w:themeFill="accent6" w:themeFillTint="66"/>
            <w:noWrap/>
            <w:vAlign w:val="center"/>
            <w:hideMark/>
          </w:tcPr>
          <w:p w:rsidR="00E1295C" w:rsidRPr="00E1295C" w:rsidRDefault="00E1295C" w:rsidP="00D40571">
            <w:pPr>
              <w:spacing w:after="0"/>
              <w:jc w:val="center"/>
              <w:rPr>
                <w:rFonts w:eastAsia="Times New Roman" w:cs="Arial"/>
                <w:b/>
                <w:color w:val="000000"/>
                <w:sz w:val="18"/>
                <w:szCs w:val="18"/>
                <w:lang w:eastAsia="pt-BR"/>
              </w:rPr>
            </w:pPr>
            <w:r w:rsidRPr="00E1295C">
              <w:rPr>
                <w:rFonts w:eastAsia="Times New Roman" w:cs="Arial"/>
                <w:b/>
                <w:color w:val="000000"/>
                <w:sz w:val="18"/>
                <w:szCs w:val="18"/>
                <w:lang w:eastAsia="pt-BR"/>
              </w:rPr>
              <w:t>1,9034</w:t>
            </w:r>
          </w:p>
        </w:tc>
      </w:tr>
      <w:tr w:rsidR="00E1295C" w:rsidRPr="00022ED1" w:rsidTr="001966EE">
        <w:trPr>
          <w:cantSplit/>
          <w:trHeight w:val="255"/>
          <w:jc w:val="center"/>
        </w:trPr>
        <w:tc>
          <w:tcPr>
            <w:tcW w:w="1701" w:type="dxa"/>
            <w:vMerge/>
            <w:tcBorders>
              <w:left w:val="single" w:sz="4" w:space="0" w:color="auto"/>
              <w:bottom w:val="single" w:sz="4" w:space="0" w:color="auto"/>
              <w:right w:val="single" w:sz="4" w:space="0" w:color="auto"/>
            </w:tcBorders>
            <w:shd w:val="clear" w:color="auto" w:fill="FBD4B4" w:themeFill="accent6" w:themeFillTint="66"/>
            <w:vAlign w:val="center"/>
          </w:tcPr>
          <w:p w:rsidR="00E1295C" w:rsidRPr="002D7A4D" w:rsidRDefault="00E1295C" w:rsidP="00CB3BCB">
            <w:pPr>
              <w:spacing w:after="0"/>
              <w:jc w:val="center"/>
              <w:rPr>
                <w:rFonts w:eastAsia="Times New Roman" w:cs="Arial"/>
                <w:b/>
                <w:color w:val="000000"/>
                <w:sz w:val="18"/>
                <w:szCs w:val="18"/>
                <w:lang w:eastAsia="pt-BR"/>
              </w:rPr>
            </w:pPr>
          </w:p>
        </w:tc>
        <w:tc>
          <w:tcPr>
            <w:tcW w:w="2268" w:type="dxa"/>
            <w:tcBorders>
              <w:top w:val="nil"/>
              <w:left w:val="single" w:sz="4" w:space="0" w:color="auto"/>
              <w:bottom w:val="single" w:sz="4" w:space="0" w:color="auto"/>
              <w:right w:val="single" w:sz="4" w:space="0" w:color="auto"/>
            </w:tcBorders>
            <w:shd w:val="clear" w:color="auto" w:fill="FBD4B4" w:themeFill="accent6" w:themeFillTint="66"/>
            <w:noWrap/>
            <w:vAlign w:val="center"/>
            <w:hideMark/>
          </w:tcPr>
          <w:p w:rsidR="00E1295C" w:rsidRPr="00022ED1" w:rsidRDefault="00E1295C" w:rsidP="00D40571">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Lago/Açude</w:t>
            </w:r>
          </w:p>
        </w:tc>
        <w:tc>
          <w:tcPr>
            <w:tcW w:w="1417" w:type="dxa"/>
            <w:tcBorders>
              <w:top w:val="nil"/>
              <w:left w:val="nil"/>
              <w:bottom w:val="single" w:sz="4" w:space="0" w:color="auto"/>
              <w:right w:val="single" w:sz="4" w:space="0" w:color="auto"/>
            </w:tcBorders>
            <w:shd w:val="clear" w:color="auto" w:fill="FBD4B4" w:themeFill="accent6" w:themeFillTint="66"/>
            <w:noWrap/>
            <w:vAlign w:val="center"/>
            <w:hideMark/>
          </w:tcPr>
          <w:p w:rsidR="00E1295C" w:rsidRPr="00E1295C" w:rsidRDefault="00E1295C" w:rsidP="00D40571">
            <w:pPr>
              <w:spacing w:after="0"/>
              <w:jc w:val="center"/>
              <w:rPr>
                <w:rFonts w:eastAsia="Times New Roman" w:cs="Arial"/>
                <w:color w:val="000000"/>
                <w:sz w:val="18"/>
                <w:szCs w:val="18"/>
                <w:lang w:eastAsia="pt-BR"/>
              </w:rPr>
            </w:pPr>
            <w:r w:rsidRPr="00E1295C">
              <w:rPr>
                <w:rFonts w:eastAsia="Times New Roman" w:cs="Arial"/>
                <w:color w:val="000000"/>
                <w:sz w:val="18"/>
                <w:szCs w:val="18"/>
                <w:lang w:eastAsia="pt-BR"/>
              </w:rPr>
              <w:t>0,0054</w:t>
            </w:r>
          </w:p>
        </w:tc>
        <w:tc>
          <w:tcPr>
            <w:tcW w:w="1418" w:type="dxa"/>
            <w:tcBorders>
              <w:top w:val="nil"/>
              <w:left w:val="nil"/>
              <w:bottom w:val="single" w:sz="4" w:space="0" w:color="auto"/>
              <w:right w:val="single" w:sz="4" w:space="0" w:color="auto"/>
            </w:tcBorders>
            <w:shd w:val="clear" w:color="auto" w:fill="FBD4B4" w:themeFill="accent6" w:themeFillTint="66"/>
            <w:noWrap/>
            <w:vAlign w:val="center"/>
            <w:hideMark/>
          </w:tcPr>
          <w:p w:rsidR="00E1295C" w:rsidRPr="00E1295C" w:rsidRDefault="00E1295C" w:rsidP="00D40571">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1134" w:type="dxa"/>
            <w:tcBorders>
              <w:top w:val="nil"/>
              <w:left w:val="nil"/>
              <w:bottom w:val="single" w:sz="4" w:space="0" w:color="auto"/>
              <w:right w:val="single" w:sz="4" w:space="0" w:color="auto"/>
            </w:tcBorders>
            <w:shd w:val="clear" w:color="auto" w:fill="FBD4B4" w:themeFill="accent6" w:themeFillTint="66"/>
            <w:noWrap/>
            <w:vAlign w:val="center"/>
            <w:hideMark/>
          </w:tcPr>
          <w:p w:rsidR="00E1295C" w:rsidRPr="00E1295C" w:rsidRDefault="00E1295C" w:rsidP="00D40571">
            <w:pPr>
              <w:spacing w:after="0"/>
              <w:jc w:val="center"/>
              <w:rPr>
                <w:rFonts w:eastAsia="Times New Roman" w:cs="Arial"/>
                <w:b/>
                <w:color w:val="000000"/>
                <w:sz w:val="18"/>
                <w:szCs w:val="18"/>
                <w:lang w:eastAsia="pt-BR"/>
              </w:rPr>
            </w:pPr>
            <w:r w:rsidRPr="00E1295C">
              <w:rPr>
                <w:rFonts w:eastAsia="Times New Roman" w:cs="Arial"/>
                <w:b/>
                <w:color w:val="000000"/>
                <w:sz w:val="18"/>
                <w:szCs w:val="18"/>
                <w:lang w:eastAsia="pt-BR"/>
              </w:rPr>
              <w:t>0,0054</w:t>
            </w:r>
          </w:p>
        </w:tc>
      </w:tr>
      <w:tr w:rsidR="00E1295C" w:rsidRPr="00022ED1" w:rsidTr="002D7A4D">
        <w:trPr>
          <w:cantSplit/>
          <w:trHeight w:val="255"/>
          <w:jc w:val="center"/>
        </w:trPr>
        <w:tc>
          <w:tcPr>
            <w:tcW w:w="3969" w:type="dxa"/>
            <w:gridSpan w:val="2"/>
            <w:tcBorders>
              <w:top w:val="nil"/>
              <w:left w:val="single" w:sz="4" w:space="0" w:color="auto"/>
              <w:bottom w:val="single" w:sz="4" w:space="0" w:color="auto"/>
              <w:right w:val="single" w:sz="4" w:space="0" w:color="auto"/>
            </w:tcBorders>
            <w:shd w:val="clear" w:color="auto" w:fill="D9D9D9" w:themeFill="background1" w:themeFillShade="D9"/>
            <w:vAlign w:val="center"/>
          </w:tcPr>
          <w:p w:rsidR="00E1295C" w:rsidRPr="002D7A4D" w:rsidRDefault="00E1295C" w:rsidP="00870A60">
            <w:pPr>
              <w:spacing w:after="0"/>
              <w:jc w:val="center"/>
              <w:rPr>
                <w:rFonts w:eastAsia="Times New Roman" w:cs="Arial"/>
                <w:b/>
                <w:bCs/>
                <w:color w:val="000000"/>
                <w:sz w:val="18"/>
                <w:szCs w:val="18"/>
                <w:lang w:eastAsia="pt-BR"/>
              </w:rPr>
            </w:pPr>
            <w:r w:rsidRPr="002D7A4D">
              <w:rPr>
                <w:rFonts w:eastAsia="Times New Roman" w:cs="Arial"/>
                <w:b/>
                <w:bCs/>
                <w:color w:val="000000"/>
                <w:sz w:val="18"/>
                <w:szCs w:val="18"/>
                <w:lang w:eastAsia="pt-BR"/>
              </w:rPr>
              <w:t>Total Geral</w:t>
            </w:r>
          </w:p>
        </w:tc>
        <w:tc>
          <w:tcPr>
            <w:tcW w:w="1417" w:type="dxa"/>
            <w:tcBorders>
              <w:top w:val="nil"/>
              <w:left w:val="nil"/>
              <w:bottom w:val="single" w:sz="4" w:space="0" w:color="auto"/>
              <w:right w:val="single" w:sz="4" w:space="0" w:color="auto"/>
            </w:tcBorders>
            <w:shd w:val="clear" w:color="auto" w:fill="D9D9D9" w:themeFill="background1" w:themeFillShade="D9"/>
            <w:noWrap/>
            <w:vAlign w:val="center"/>
            <w:hideMark/>
          </w:tcPr>
          <w:p w:rsidR="00E1295C" w:rsidRPr="00E1295C" w:rsidRDefault="00E1295C" w:rsidP="00E1295C">
            <w:pPr>
              <w:spacing w:after="0"/>
              <w:jc w:val="center"/>
              <w:rPr>
                <w:rFonts w:eastAsia="Times New Roman" w:cs="Arial"/>
                <w:b/>
                <w:bCs/>
                <w:color w:val="000000"/>
                <w:sz w:val="18"/>
                <w:szCs w:val="18"/>
                <w:lang w:eastAsia="pt-BR"/>
              </w:rPr>
            </w:pPr>
            <w:r w:rsidRPr="00E1295C">
              <w:rPr>
                <w:rFonts w:eastAsia="Times New Roman" w:cs="Arial"/>
                <w:b/>
                <w:bCs/>
                <w:color w:val="000000"/>
                <w:sz w:val="18"/>
                <w:szCs w:val="18"/>
                <w:lang w:eastAsia="pt-BR"/>
              </w:rPr>
              <w:t>2,0576</w:t>
            </w:r>
          </w:p>
        </w:tc>
        <w:tc>
          <w:tcPr>
            <w:tcW w:w="1418" w:type="dxa"/>
            <w:tcBorders>
              <w:top w:val="nil"/>
              <w:left w:val="nil"/>
              <w:bottom w:val="single" w:sz="4" w:space="0" w:color="auto"/>
              <w:right w:val="single" w:sz="4" w:space="0" w:color="auto"/>
            </w:tcBorders>
            <w:shd w:val="clear" w:color="auto" w:fill="D9D9D9" w:themeFill="background1" w:themeFillShade="D9"/>
            <w:noWrap/>
            <w:vAlign w:val="center"/>
            <w:hideMark/>
          </w:tcPr>
          <w:p w:rsidR="00E1295C" w:rsidRPr="00E1295C" w:rsidRDefault="00E1295C" w:rsidP="00E1295C">
            <w:pPr>
              <w:spacing w:after="0"/>
              <w:jc w:val="center"/>
              <w:rPr>
                <w:rFonts w:eastAsia="Times New Roman" w:cs="Arial"/>
                <w:b/>
                <w:bCs/>
                <w:color w:val="000000"/>
                <w:sz w:val="18"/>
                <w:szCs w:val="18"/>
                <w:lang w:eastAsia="pt-BR"/>
              </w:rPr>
            </w:pPr>
            <w:r w:rsidRPr="00E1295C">
              <w:rPr>
                <w:rFonts w:eastAsia="Times New Roman" w:cs="Arial"/>
                <w:b/>
                <w:bCs/>
                <w:color w:val="000000"/>
                <w:sz w:val="18"/>
                <w:szCs w:val="18"/>
                <w:lang w:eastAsia="pt-BR"/>
              </w:rPr>
              <w:t>3,9276</w:t>
            </w:r>
          </w:p>
        </w:tc>
        <w:tc>
          <w:tcPr>
            <w:tcW w:w="1134" w:type="dxa"/>
            <w:tcBorders>
              <w:top w:val="nil"/>
              <w:left w:val="nil"/>
              <w:bottom w:val="single" w:sz="4" w:space="0" w:color="auto"/>
              <w:right w:val="single" w:sz="4" w:space="0" w:color="auto"/>
            </w:tcBorders>
            <w:shd w:val="clear" w:color="auto" w:fill="D9D9D9" w:themeFill="background1" w:themeFillShade="D9"/>
            <w:noWrap/>
            <w:vAlign w:val="center"/>
            <w:hideMark/>
          </w:tcPr>
          <w:p w:rsidR="00E1295C" w:rsidRPr="00E1295C" w:rsidRDefault="00E1295C" w:rsidP="00E1295C">
            <w:pPr>
              <w:spacing w:after="0"/>
              <w:jc w:val="center"/>
              <w:rPr>
                <w:rFonts w:eastAsia="Times New Roman" w:cs="Arial"/>
                <w:b/>
                <w:bCs/>
                <w:color w:val="000000"/>
                <w:sz w:val="18"/>
                <w:szCs w:val="18"/>
                <w:lang w:eastAsia="pt-BR"/>
              </w:rPr>
            </w:pPr>
            <w:r w:rsidRPr="00E1295C">
              <w:rPr>
                <w:rFonts w:eastAsia="Times New Roman" w:cs="Arial"/>
                <w:b/>
                <w:bCs/>
                <w:color w:val="000000"/>
                <w:sz w:val="18"/>
                <w:szCs w:val="18"/>
                <w:lang w:eastAsia="pt-BR"/>
              </w:rPr>
              <w:t>5,9853</w:t>
            </w:r>
          </w:p>
        </w:tc>
      </w:tr>
    </w:tbl>
    <w:p w:rsidR="008A189B" w:rsidRDefault="008A189B" w:rsidP="00A3238D">
      <w:pPr>
        <w:rPr>
          <w:rFonts w:eastAsia="MS Mincho" w:cs="Arial"/>
          <w:bCs/>
        </w:rPr>
      </w:pPr>
    </w:p>
    <w:p w:rsidR="000D0D7C" w:rsidRDefault="007A3F2E" w:rsidP="007A3F2E">
      <w:pPr>
        <w:pStyle w:val="Ttulo4"/>
        <w:rPr>
          <w:rFonts w:eastAsia="MS Mincho" w:cs="Arial"/>
        </w:rPr>
      </w:pPr>
      <w:bookmarkStart w:id="161" w:name="_Toc411871223"/>
      <w:r>
        <w:rPr>
          <w:rFonts w:eastAsia="MS Mincho"/>
        </w:rPr>
        <w:t>Interf</w:t>
      </w:r>
      <w:r w:rsidR="00784F95">
        <w:rPr>
          <w:rFonts w:eastAsia="MS Mincho"/>
        </w:rPr>
        <w:t xml:space="preserve">ace </w:t>
      </w:r>
      <w:r>
        <w:rPr>
          <w:rFonts w:eastAsia="MS Mincho"/>
        </w:rPr>
        <w:t>do Projeto com a</w:t>
      </w:r>
      <w:r>
        <w:t>s</w:t>
      </w:r>
      <w:r>
        <w:rPr>
          <w:rFonts w:eastAsia="MS Mincho"/>
        </w:rPr>
        <w:t xml:space="preserve"> APA</w:t>
      </w:r>
      <w:r>
        <w:t>s Piracantareira</w:t>
      </w:r>
      <w:bookmarkEnd w:id="161"/>
    </w:p>
    <w:p w:rsidR="00253269" w:rsidRDefault="00253269" w:rsidP="00253269">
      <w:r>
        <w:t xml:space="preserve">O empreendimento de </w:t>
      </w:r>
      <w:r w:rsidR="00022ED1">
        <w:t xml:space="preserve">Interligação </w:t>
      </w:r>
      <w:r>
        <w:t xml:space="preserve">Jaguari Atibainha possui interface com duas das três áreas que compõem as APAs PiraCantareira, a saber: a APA </w:t>
      </w:r>
      <w:r w:rsidRPr="00072E9A">
        <w:t>Piracicaba Juqueri-Mirim II</w:t>
      </w:r>
      <w:r>
        <w:t xml:space="preserve"> e a</w:t>
      </w:r>
      <w:r w:rsidRPr="00072E9A">
        <w:t xml:space="preserve"> </w:t>
      </w:r>
      <w:r>
        <w:t>APA Sistema Cantareira, integralmente no município de Nazaré Paulista</w:t>
      </w:r>
      <w:r w:rsidR="00256E4D">
        <w:t>, na sub-bacia do rio Atibainha e</w:t>
      </w:r>
      <w:r w:rsidR="00256E4D" w:rsidRPr="00256E4D">
        <w:t xml:space="preserve"> </w:t>
      </w:r>
      <w:r w:rsidR="00256E4D">
        <w:t>de forma superposta.</w:t>
      </w:r>
    </w:p>
    <w:p w:rsidR="00253269" w:rsidRDefault="00253269" w:rsidP="00253269">
      <w:r>
        <w:t>O setor protegido por esta</w:t>
      </w:r>
      <w:r w:rsidR="00256E4D">
        <w:t>s</w:t>
      </w:r>
      <w:r>
        <w:t xml:space="preserve"> UC</w:t>
      </w:r>
      <w:r w:rsidR="00256E4D">
        <w:t>s</w:t>
      </w:r>
      <w:r>
        <w:t xml:space="preserve"> de Uso Sustentável e que abrigar</w:t>
      </w:r>
      <w:r w:rsidR="00256E4D">
        <w:t xml:space="preserve">ão </w:t>
      </w:r>
      <w:r>
        <w:t>a ADA do empreendimento pode ser visualizado na</w:t>
      </w:r>
      <w:r w:rsidR="00DC74B7">
        <w:t>s</w:t>
      </w:r>
      <w:r>
        <w:t xml:space="preserve"> </w:t>
      </w:r>
      <w:r w:rsidRPr="00022ED1">
        <w:rPr>
          <w:b/>
        </w:rPr>
        <w:t>Figura</w:t>
      </w:r>
      <w:r w:rsidR="00DC74B7">
        <w:rPr>
          <w:b/>
        </w:rPr>
        <w:t>s</w:t>
      </w:r>
      <w:r w:rsidRPr="00022ED1">
        <w:rPr>
          <w:b/>
        </w:rPr>
        <w:t xml:space="preserve"> 6.4.6-2</w:t>
      </w:r>
      <w:r>
        <w:t xml:space="preserve"> </w:t>
      </w:r>
      <w:r w:rsidR="00DC74B7">
        <w:t xml:space="preserve">e </w:t>
      </w:r>
      <w:r w:rsidR="00DC74B7" w:rsidRPr="00DC74B7">
        <w:rPr>
          <w:b/>
        </w:rPr>
        <w:t>6.4.6-3</w:t>
      </w:r>
      <w:r w:rsidR="00DC74B7">
        <w:t xml:space="preserve">, </w:t>
      </w:r>
      <w:r>
        <w:t xml:space="preserve">onde se observa que a interferência do empreendimento </w:t>
      </w:r>
      <w:r w:rsidR="00256E4D">
        <w:t xml:space="preserve">com essas Unidades de Conservação de Uso Sustentável </w:t>
      </w:r>
      <w:r>
        <w:t xml:space="preserve">se dará </w:t>
      </w:r>
      <w:r w:rsidR="00DC74B7">
        <w:t xml:space="preserve">principalmente </w:t>
      </w:r>
      <w:r w:rsidR="00E1194F">
        <w:t xml:space="preserve">no remanso de afluente </w:t>
      </w:r>
      <w:r>
        <w:t xml:space="preserve">na margem esquerda do reservatório </w:t>
      </w:r>
      <w:r w:rsidR="00256E4D">
        <w:t>Atibainha</w:t>
      </w:r>
      <w:r>
        <w:t xml:space="preserve">. </w:t>
      </w:r>
    </w:p>
    <w:p w:rsidR="00E1194F" w:rsidRDefault="00256E4D" w:rsidP="00253269">
      <w:r>
        <w:t>A</w:t>
      </w:r>
      <w:r w:rsidR="00253269">
        <w:t xml:space="preserve"> ADA </w:t>
      </w:r>
      <w:r>
        <w:t xml:space="preserve">do empreendimento no terreno das APAs </w:t>
      </w:r>
      <w:r w:rsidR="00E1194F">
        <w:t xml:space="preserve">consiste </w:t>
      </w:r>
      <w:r w:rsidR="00DC37AA">
        <w:t>principalmente na implantação de</w:t>
      </w:r>
      <w:r w:rsidR="00E1194F">
        <w:t xml:space="preserve"> uma área de desemboque do túnel principal (0,49 ha) e </w:t>
      </w:r>
      <w:r w:rsidR="00DC37AA">
        <w:t>na</w:t>
      </w:r>
      <w:r w:rsidR="00E1194F">
        <w:t xml:space="preserve"> </w:t>
      </w:r>
      <w:r w:rsidR="00DC37AA">
        <w:t>instalação de uma</w:t>
      </w:r>
      <w:r w:rsidR="00E1194F">
        <w:t xml:space="preserve"> janela de acesso (0,28 </w:t>
      </w:r>
      <w:r w:rsidR="00E1194F" w:rsidRPr="002146FB">
        <w:t>ha)</w:t>
      </w:r>
      <w:r w:rsidR="00DC37AA" w:rsidRPr="002146FB">
        <w:t xml:space="preserve"> ao túnel principal</w:t>
      </w:r>
      <w:r w:rsidR="00E1194F" w:rsidRPr="002146FB">
        <w:t xml:space="preserve">, evitando supressão florestal. </w:t>
      </w:r>
      <w:r w:rsidR="002146FB" w:rsidRPr="002146FB">
        <w:t xml:space="preserve">As instalações para construção do túnel e o </w:t>
      </w:r>
      <w:r w:rsidR="002146FB" w:rsidRPr="002146FB">
        <w:lastRenderedPageBreak/>
        <w:t xml:space="preserve">desemboque no Atibainha devem afetar </w:t>
      </w:r>
      <w:r w:rsidR="000D0514" w:rsidRPr="002146FB">
        <w:t xml:space="preserve">0,3 ha de </w:t>
      </w:r>
      <w:r w:rsidR="00E1194F" w:rsidRPr="002146FB">
        <w:t>vegetaç</w:t>
      </w:r>
      <w:r w:rsidR="00DC37AA" w:rsidRPr="002146FB">
        <w:t xml:space="preserve">ão </w:t>
      </w:r>
      <w:r w:rsidR="00E1194F" w:rsidRPr="002146FB">
        <w:t xml:space="preserve">nativa florestal </w:t>
      </w:r>
      <w:r w:rsidR="000D0514" w:rsidRPr="002146FB">
        <w:t>(estágios médio e inicial) n</w:t>
      </w:r>
      <w:r w:rsidR="00022ED1" w:rsidRPr="002146FB">
        <w:t>as APAs</w:t>
      </w:r>
      <w:r w:rsidR="00E1194F" w:rsidRPr="002146FB">
        <w:t xml:space="preserve"> Pira</w:t>
      </w:r>
      <w:r w:rsidR="002146FB" w:rsidRPr="002146FB">
        <w:t>c</w:t>
      </w:r>
      <w:r w:rsidR="00E1194F" w:rsidRPr="002146FB">
        <w:t>antareira.</w:t>
      </w:r>
    </w:p>
    <w:p w:rsidR="00E1194F" w:rsidRDefault="00E1194F" w:rsidP="00253269">
      <w:r>
        <w:t xml:space="preserve">A área necessária para a implantação do desemboque ocupará cerca de 0,49 ha </w:t>
      </w:r>
      <w:r w:rsidR="00DC74B7">
        <w:t>em</w:t>
      </w:r>
      <w:r>
        <w:t xml:space="preserve"> APP, com uso por campo antrópico (0,32 ha), solo exposto (0,02 ha), reflorestamento (0,09 ha) e pequeno trecho do reservatório, de cerca de 0,05 ha. A área afeta</w:t>
      </w:r>
      <w:r w:rsidR="00022ED1">
        <w:t xml:space="preserve">da </w:t>
      </w:r>
      <w:r>
        <w:t xml:space="preserve">para instalação da janela de acesso envolverá </w:t>
      </w:r>
      <w:r w:rsidR="00DC37AA">
        <w:t>0,2</w:t>
      </w:r>
      <w:r>
        <w:t>2 ha de campo antrópico</w:t>
      </w:r>
      <w:r w:rsidR="00DC37AA">
        <w:t>, 0,02 ha de pastagem, 0,02 ha de solo exposto e 0,01</w:t>
      </w:r>
      <w:r>
        <w:t xml:space="preserve"> </w:t>
      </w:r>
      <w:r w:rsidR="00DC37AA">
        <w:t>de cerca viva.</w:t>
      </w:r>
      <w:r>
        <w:t xml:space="preserve"> </w:t>
      </w:r>
    </w:p>
    <w:p w:rsidR="00253269" w:rsidRDefault="00253269" w:rsidP="00253269">
      <w:r>
        <w:t>Ao todo, a ADA do emprendimento nos terrenos protegidos da</w:t>
      </w:r>
      <w:r w:rsidR="00256E4D">
        <w:t>s</w:t>
      </w:r>
      <w:r>
        <w:t xml:space="preserve"> APA</w:t>
      </w:r>
      <w:r w:rsidR="00256E4D">
        <w:t>s PiraCantareira</w:t>
      </w:r>
      <w:r>
        <w:t xml:space="preserve"> envolve </w:t>
      </w:r>
      <w:r w:rsidR="00E1194F" w:rsidRPr="002146FB">
        <w:t xml:space="preserve">afetação de uma área de </w:t>
      </w:r>
      <w:r w:rsidR="00460877" w:rsidRPr="002146FB">
        <w:rPr>
          <w:u w:val="single"/>
        </w:rPr>
        <w:t xml:space="preserve">1,43 </w:t>
      </w:r>
      <w:r w:rsidRPr="002146FB">
        <w:rPr>
          <w:u w:val="single"/>
        </w:rPr>
        <w:t>ha</w:t>
      </w:r>
      <w:r w:rsidRPr="002146FB">
        <w:t xml:space="preserve">, </w:t>
      </w:r>
      <w:r w:rsidR="00460877" w:rsidRPr="002146FB">
        <w:t xml:space="preserve">distribuídos em categorias de vegetação nativa e antropizada, e tipologias de uso e ocupação antrópica do solo, sendo </w:t>
      </w:r>
      <w:r w:rsidR="00460877" w:rsidRPr="002146FB">
        <w:rPr>
          <w:u w:val="single"/>
        </w:rPr>
        <w:t>1,21 ha em APP</w:t>
      </w:r>
      <w:r w:rsidR="00460877" w:rsidRPr="002146FB">
        <w:t xml:space="preserve">, </w:t>
      </w:r>
      <w:r w:rsidRPr="002146FB">
        <w:t>conforme apresentado</w:t>
      </w:r>
      <w:r>
        <w:t xml:space="preserve"> na </w:t>
      </w:r>
      <w:r w:rsidRPr="00955005">
        <w:rPr>
          <w:b/>
        </w:rPr>
        <w:t>Tabela 6.4.6-</w:t>
      </w:r>
      <w:r>
        <w:rPr>
          <w:b/>
        </w:rPr>
        <w:t>4</w:t>
      </w:r>
      <w:r>
        <w:t>.</w:t>
      </w:r>
    </w:p>
    <w:p w:rsidR="00310201" w:rsidRDefault="00310201" w:rsidP="00310201">
      <w:pPr>
        <w:pStyle w:val="Quadro"/>
      </w:pPr>
      <w:r w:rsidRPr="00002970">
        <w:t>Tabela 6.4.</w:t>
      </w:r>
      <w:r>
        <w:t xml:space="preserve">6-4. Presença </w:t>
      </w:r>
      <w:r w:rsidRPr="00002970">
        <w:t>do Empreendimento</w:t>
      </w:r>
      <w:r>
        <w:t xml:space="preserve"> na APA Piracantareira (ADA)</w:t>
      </w:r>
    </w:p>
    <w:tbl>
      <w:tblPr>
        <w:tblW w:w="0" w:type="auto"/>
        <w:jc w:val="center"/>
        <w:tblCellMar>
          <w:left w:w="70" w:type="dxa"/>
          <w:right w:w="70" w:type="dxa"/>
        </w:tblCellMar>
        <w:tblLook w:val="04A0" w:firstRow="1" w:lastRow="0" w:firstColumn="1" w:lastColumn="0" w:noHBand="0" w:noVBand="1"/>
      </w:tblPr>
      <w:tblGrid>
        <w:gridCol w:w="2362"/>
        <w:gridCol w:w="2202"/>
        <w:gridCol w:w="1406"/>
        <w:gridCol w:w="1215"/>
        <w:gridCol w:w="691"/>
      </w:tblGrid>
      <w:tr w:rsidR="00782111" w:rsidRPr="00022ED1" w:rsidTr="001966EE">
        <w:trPr>
          <w:cantSplit/>
          <w:trHeight w:val="255"/>
          <w:tblHeader/>
          <w:jc w:val="center"/>
        </w:trPr>
        <w:tc>
          <w:tcPr>
            <w:tcW w:w="0" w:type="auto"/>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782111" w:rsidRPr="00022ED1" w:rsidRDefault="00782111" w:rsidP="00870A60">
            <w:pPr>
              <w:spacing w:after="0"/>
              <w:jc w:val="center"/>
              <w:rPr>
                <w:rFonts w:eastAsia="Times New Roman" w:cs="Arial"/>
                <w:b/>
                <w:bCs/>
                <w:color w:val="000000"/>
                <w:sz w:val="18"/>
                <w:szCs w:val="18"/>
                <w:lang w:eastAsia="pt-BR"/>
              </w:rPr>
            </w:pPr>
            <w:r w:rsidRPr="00022ED1">
              <w:rPr>
                <w:rFonts w:eastAsia="Times New Roman" w:cs="Arial"/>
                <w:b/>
                <w:bCs/>
                <w:color w:val="000000"/>
                <w:sz w:val="18"/>
                <w:szCs w:val="18"/>
                <w:lang w:eastAsia="pt-BR"/>
              </w:rPr>
              <w:t>Categorias</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noWrap/>
            <w:vAlign w:val="center"/>
            <w:hideMark/>
          </w:tcPr>
          <w:p w:rsidR="00782111" w:rsidRPr="00022ED1" w:rsidRDefault="00782111" w:rsidP="00782111">
            <w:pPr>
              <w:spacing w:after="0"/>
              <w:jc w:val="center"/>
              <w:rPr>
                <w:rFonts w:eastAsia="Times New Roman" w:cs="Arial"/>
                <w:b/>
                <w:bCs/>
                <w:color w:val="000000"/>
                <w:sz w:val="18"/>
                <w:szCs w:val="18"/>
                <w:lang w:eastAsia="pt-BR"/>
              </w:rPr>
            </w:pPr>
            <w:r w:rsidRPr="00022ED1">
              <w:rPr>
                <w:rFonts w:eastAsia="Times New Roman" w:cs="Arial"/>
                <w:b/>
                <w:bCs/>
                <w:color w:val="000000"/>
                <w:sz w:val="18"/>
                <w:szCs w:val="18"/>
                <w:lang w:eastAsia="pt-BR"/>
              </w:rPr>
              <w:t>Usos do Solo</w:t>
            </w:r>
          </w:p>
        </w:tc>
        <w:tc>
          <w:tcPr>
            <w:tcW w:w="0" w:type="auto"/>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782111" w:rsidRPr="00022ED1" w:rsidRDefault="00782111" w:rsidP="00782111">
            <w:pPr>
              <w:spacing w:after="0"/>
              <w:jc w:val="center"/>
              <w:rPr>
                <w:rFonts w:eastAsia="Times New Roman" w:cs="Arial"/>
                <w:b/>
                <w:bCs/>
                <w:color w:val="000000"/>
                <w:sz w:val="18"/>
                <w:szCs w:val="18"/>
                <w:lang w:eastAsia="pt-BR"/>
              </w:rPr>
            </w:pPr>
            <w:r w:rsidRPr="00022ED1">
              <w:rPr>
                <w:rFonts w:eastAsia="Times New Roman" w:cs="Arial"/>
                <w:b/>
                <w:bCs/>
                <w:color w:val="000000"/>
                <w:sz w:val="18"/>
                <w:szCs w:val="18"/>
                <w:lang w:eastAsia="pt-BR"/>
              </w:rPr>
              <w:t>Município de Nazaré Paulista</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ED1" w:rsidRPr="00022ED1" w:rsidRDefault="00782111" w:rsidP="00782111">
            <w:pPr>
              <w:spacing w:after="0"/>
              <w:jc w:val="center"/>
              <w:rPr>
                <w:rFonts w:eastAsia="Times New Roman" w:cs="Arial"/>
                <w:b/>
                <w:bCs/>
                <w:color w:val="000000"/>
                <w:sz w:val="18"/>
                <w:szCs w:val="18"/>
                <w:lang w:eastAsia="pt-BR"/>
              </w:rPr>
            </w:pPr>
            <w:r w:rsidRPr="00022ED1">
              <w:rPr>
                <w:rFonts w:eastAsia="Times New Roman" w:cs="Arial"/>
                <w:b/>
                <w:bCs/>
                <w:color w:val="000000"/>
                <w:sz w:val="18"/>
                <w:szCs w:val="18"/>
                <w:lang w:eastAsia="pt-BR"/>
              </w:rPr>
              <w:t>Total</w:t>
            </w:r>
          </w:p>
          <w:p w:rsidR="00782111" w:rsidRPr="00022ED1" w:rsidRDefault="00782111" w:rsidP="00782111">
            <w:pPr>
              <w:spacing w:after="0"/>
              <w:jc w:val="center"/>
              <w:rPr>
                <w:rFonts w:eastAsia="Times New Roman" w:cs="Arial"/>
                <w:b/>
                <w:bCs/>
                <w:color w:val="000000"/>
                <w:sz w:val="18"/>
                <w:szCs w:val="18"/>
                <w:lang w:eastAsia="pt-BR"/>
              </w:rPr>
            </w:pPr>
            <w:r w:rsidRPr="00022ED1">
              <w:rPr>
                <w:rFonts w:eastAsia="Times New Roman" w:cs="Arial"/>
                <w:b/>
                <w:bCs/>
                <w:color w:val="000000"/>
                <w:sz w:val="18"/>
                <w:szCs w:val="18"/>
                <w:lang w:eastAsia="pt-BR"/>
              </w:rPr>
              <w:t>(ha)</w:t>
            </w:r>
          </w:p>
        </w:tc>
      </w:tr>
      <w:tr w:rsidR="00782111" w:rsidRPr="00022ED1" w:rsidTr="001966EE">
        <w:trPr>
          <w:cantSplit/>
          <w:trHeight w:val="255"/>
          <w:tblHeader/>
          <w:jc w:val="center"/>
        </w:trPr>
        <w:tc>
          <w:tcPr>
            <w:tcW w:w="0" w:type="auto"/>
            <w:vMerge/>
            <w:tcBorders>
              <w:left w:val="single" w:sz="4" w:space="0" w:color="auto"/>
              <w:bottom w:val="single" w:sz="4" w:space="0" w:color="000000"/>
              <w:right w:val="single" w:sz="4" w:space="0" w:color="auto"/>
            </w:tcBorders>
            <w:shd w:val="clear" w:color="auto" w:fill="D9D9D9" w:themeFill="background1" w:themeFillShade="D9"/>
            <w:vAlign w:val="center"/>
          </w:tcPr>
          <w:p w:rsidR="00782111" w:rsidRPr="00022ED1" w:rsidRDefault="00782111" w:rsidP="00870A60">
            <w:pPr>
              <w:spacing w:after="0"/>
              <w:jc w:val="center"/>
              <w:rPr>
                <w:rFonts w:eastAsia="Times New Roman" w:cs="Arial"/>
                <w:b/>
                <w:bCs/>
                <w:color w:val="000000"/>
                <w:sz w:val="18"/>
                <w:szCs w:val="18"/>
                <w:lang w:eastAsia="pt-BR"/>
              </w:rPr>
            </w:pPr>
          </w:p>
        </w:tc>
        <w:tc>
          <w:tcPr>
            <w:tcW w:w="0" w:type="auto"/>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782111" w:rsidRPr="00022ED1" w:rsidRDefault="00782111" w:rsidP="00782111">
            <w:pPr>
              <w:spacing w:after="0"/>
              <w:jc w:val="left"/>
              <w:rPr>
                <w:rFonts w:eastAsia="Times New Roman" w:cs="Arial"/>
                <w:b/>
                <w:bCs/>
                <w:color w:val="000000"/>
                <w:sz w:val="18"/>
                <w:szCs w:val="18"/>
                <w:lang w:eastAsia="pt-BR"/>
              </w:rPr>
            </w:pP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782111" w:rsidRPr="00022ED1" w:rsidRDefault="00782111" w:rsidP="00870A60">
            <w:pPr>
              <w:spacing w:after="0"/>
              <w:jc w:val="center"/>
              <w:rPr>
                <w:rFonts w:eastAsia="Times New Roman" w:cs="Arial"/>
                <w:b/>
                <w:bCs/>
                <w:color w:val="000000"/>
                <w:sz w:val="18"/>
                <w:szCs w:val="18"/>
                <w:lang w:eastAsia="pt-BR"/>
              </w:rPr>
            </w:pPr>
            <w:r w:rsidRPr="00022ED1">
              <w:rPr>
                <w:rFonts w:eastAsia="Times New Roman" w:cs="Arial"/>
                <w:b/>
                <w:bCs/>
                <w:color w:val="000000"/>
                <w:sz w:val="18"/>
                <w:szCs w:val="18"/>
                <w:lang w:eastAsia="pt-BR"/>
              </w:rPr>
              <w:t>Dentro de APP</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782111" w:rsidRPr="00022ED1" w:rsidRDefault="00782111" w:rsidP="00870A60">
            <w:pPr>
              <w:spacing w:after="0"/>
              <w:jc w:val="center"/>
              <w:rPr>
                <w:rFonts w:eastAsia="Times New Roman" w:cs="Arial"/>
                <w:b/>
                <w:bCs/>
                <w:color w:val="000000"/>
                <w:sz w:val="18"/>
                <w:szCs w:val="18"/>
                <w:lang w:eastAsia="pt-BR"/>
              </w:rPr>
            </w:pPr>
            <w:r w:rsidRPr="00022ED1">
              <w:rPr>
                <w:rFonts w:eastAsia="Times New Roman" w:cs="Arial"/>
                <w:b/>
                <w:bCs/>
                <w:color w:val="000000"/>
                <w:sz w:val="18"/>
                <w:szCs w:val="18"/>
                <w:lang w:eastAsia="pt-BR"/>
              </w:rPr>
              <w:t>Fora de APP</w:t>
            </w:r>
          </w:p>
        </w:tc>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82111" w:rsidRPr="00022ED1" w:rsidRDefault="00782111" w:rsidP="00782111">
            <w:pPr>
              <w:spacing w:after="0"/>
              <w:jc w:val="center"/>
              <w:rPr>
                <w:rFonts w:eastAsia="Times New Roman" w:cs="Arial"/>
                <w:b/>
                <w:bCs/>
                <w:color w:val="000000"/>
                <w:sz w:val="18"/>
                <w:szCs w:val="18"/>
                <w:lang w:eastAsia="pt-BR"/>
              </w:rPr>
            </w:pPr>
          </w:p>
        </w:tc>
      </w:tr>
      <w:tr w:rsidR="001966EE" w:rsidRPr="00022ED1" w:rsidTr="001966EE">
        <w:trPr>
          <w:cantSplit/>
          <w:trHeight w:val="255"/>
          <w:jc w:val="center"/>
        </w:trPr>
        <w:tc>
          <w:tcPr>
            <w:tcW w:w="0" w:type="auto"/>
            <w:vMerge w:val="restart"/>
            <w:tcBorders>
              <w:top w:val="single" w:sz="4" w:space="0" w:color="000000"/>
              <w:left w:val="single" w:sz="4" w:space="0" w:color="auto"/>
              <w:bottom w:val="single" w:sz="4" w:space="0" w:color="auto"/>
              <w:right w:val="single" w:sz="4" w:space="0" w:color="auto"/>
            </w:tcBorders>
            <w:shd w:val="clear" w:color="auto" w:fill="C2D69B" w:themeFill="accent3" w:themeFillTint="99"/>
            <w:vAlign w:val="center"/>
          </w:tcPr>
          <w:p w:rsidR="001966EE" w:rsidRPr="00022ED1" w:rsidRDefault="001966EE" w:rsidP="00870A60">
            <w:pPr>
              <w:spacing w:after="0"/>
              <w:jc w:val="center"/>
              <w:rPr>
                <w:rFonts w:eastAsia="Times New Roman" w:cs="Arial"/>
                <w:color w:val="000000"/>
                <w:sz w:val="18"/>
                <w:szCs w:val="18"/>
                <w:lang w:eastAsia="pt-BR"/>
              </w:rPr>
            </w:pPr>
            <w:r w:rsidRPr="00022ED1">
              <w:rPr>
                <w:rFonts w:eastAsia="Times New Roman" w:cs="Arial"/>
                <w:color w:val="000000"/>
                <w:sz w:val="18"/>
                <w:szCs w:val="18"/>
                <w:lang w:eastAsia="pt-BR"/>
              </w:rPr>
              <w:t>Vegetação Nativa</w:t>
            </w:r>
          </w:p>
        </w:tc>
        <w:tc>
          <w:tcPr>
            <w:tcW w:w="0" w:type="auto"/>
            <w:tcBorders>
              <w:top w:val="nil"/>
              <w:left w:val="single" w:sz="4" w:space="0" w:color="auto"/>
              <w:bottom w:val="single" w:sz="4" w:space="0" w:color="auto"/>
              <w:right w:val="single" w:sz="4" w:space="0" w:color="auto"/>
            </w:tcBorders>
            <w:shd w:val="clear" w:color="auto" w:fill="C2D69B" w:themeFill="accent3" w:themeFillTint="99"/>
            <w:noWrap/>
            <w:vAlign w:val="center"/>
            <w:hideMark/>
          </w:tcPr>
          <w:p w:rsidR="001966EE" w:rsidRPr="00022ED1" w:rsidRDefault="001966EE" w:rsidP="00D40571">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Estágio Médio</w:t>
            </w:r>
          </w:p>
        </w:tc>
        <w:tc>
          <w:tcPr>
            <w:tcW w:w="0" w:type="auto"/>
            <w:tcBorders>
              <w:top w:val="nil"/>
              <w:left w:val="nil"/>
              <w:bottom w:val="single" w:sz="4" w:space="0" w:color="auto"/>
              <w:right w:val="single" w:sz="4" w:space="0" w:color="auto"/>
            </w:tcBorders>
            <w:shd w:val="clear" w:color="auto" w:fill="C2D69B" w:themeFill="accent3" w:themeFillTint="99"/>
            <w:noWrap/>
            <w:vAlign w:val="center"/>
            <w:hideMark/>
          </w:tcPr>
          <w:p w:rsidR="001966EE" w:rsidRPr="001966EE" w:rsidRDefault="001966EE" w:rsidP="001966EE">
            <w:pPr>
              <w:spacing w:after="0"/>
              <w:jc w:val="center"/>
              <w:rPr>
                <w:rFonts w:eastAsia="Times New Roman" w:cs="Arial"/>
                <w:color w:val="000000"/>
                <w:sz w:val="18"/>
                <w:szCs w:val="18"/>
                <w:lang w:eastAsia="pt-BR"/>
              </w:rPr>
            </w:pPr>
            <w:r w:rsidRPr="001966EE">
              <w:rPr>
                <w:rFonts w:eastAsia="Times New Roman" w:cs="Arial"/>
                <w:color w:val="000000"/>
                <w:sz w:val="18"/>
                <w:szCs w:val="18"/>
                <w:lang w:eastAsia="pt-BR"/>
              </w:rPr>
              <w:t>0,1005</w:t>
            </w:r>
          </w:p>
        </w:tc>
        <w:tc>
          <w:tcPr>
            <w:tcW w:w="0" w:type="auto"/>
            <w:tcBorders>
              <w:top w:val="nil"/>
              <w:left w:val="nil"/>
              <w:bottom w:val="single" w:sz="4" w:space="0" w:color="auto"/>
              <w:right w:val="single" w:sz="4" w:space="0" w:color="auto"/>
            </w:tcBorders>
            <w:shd w:val="clear" w:color="auto" w:fill="C2D69B" w:themeFill="accent3" w:themeFillTint="99"/>
            <w:noWrap/>
            <w:vAlign w:val="center"/>
            <w:hideMark/>
          </w:tcPr>
          <w:p w:rsidR="001966EE" w:rsidRPr="001966EE" w:rsidRDefault="001966EE" w:rsidP="001966EE">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0" w:type="auto"/>
            <w:tcBorders>
              <w:top w:val="nil"/>
              <w:left w:val="nil"/>
              <w:bottom w:val="single" w:sz="4" w:space="0" w:color="auto"/>
              <w:right w:val="single" w:sz="4" w:space="0" w:color="auto"/>
            </w:tcBorders>
            <w:shd w:val="clear" w:color="auto" w:fill="C2D69B" w:themeFill="accent3" w:themeFillTint="99"/>
            <w:noWrap/>
            <w:vAlign w:val="center"/>
            <w:hideMark/>
          </w:tcPr>
          <w:p w:rsidR="001966EE" w:rsidRPr="001966EE" w:rsidRDefault="001966EE" w:rsidP="001966EE">
            <w:pPr>
              <w:spacing w:after="0"/>
              <w:jc w:val="center"/>
              <w:rPr>
                <w:rFonts w:eastAsia="Times New Roman" w:cs="Arial"/>
                <w:b/>
                <w:color w:val="000000"/>
                <w:sz w:val="18"/>
                <w:szCs w:val="18"/>
                <w:lang w:eastAsia="pt-BR"/>
              </w:rPr>
            </w:pPr>
            <w:r w:rsidRPr="001966EE">
              <w:rPr>
                <w:rFonts w:eastAsia="Times New Roman" w:cs="Arial"/>
                <w:b/>
                <w:color w:val="000000"/>
                <w:sz w:val="18"/>
                <w:szCs w:val="18"/>
                <w:lang w:eastAsia="pt-BR"/>
              </w:rPr>
              <w:t>0,1005</w:t>
            </w:r>
          </w:p>
        </w:tc>
      </w:tr>
      <w:tr w:rsidR="001966EE" w:rsidRPr="00022ED1" w:rsidTr="001966EE">
        <w:trPr>
          <w:cantSplit/>
          <w:trHeight w:val="255"/>
          <w:jc w:val="center"/>
        </w:trPr>
        <w:tc>
          <w:tcPr>
            <w:tcW w:w="0" w:type="auto"/>
            <w:vMerge/>
            <w:tcBorders>
              <w:left w:val="single" w:sz="4" w:space="0" w:color="auto"/>
              <w:bottom w:val="single" w:sz="4" w:space="0" w:color="auto"/>
              <w:right w:val="single" w:sz="4" w:space="0" w:color="auto"/>
            </w:tcBorders>
            <w:shd w:val="clear" w:color="auto" w:fill="C2D69B" w:themeFill="accent3" w:themeFillTint="99"/>
            <w:vAlign w:val="center"/>
          </w:tcPr>
          <w:p w:rsidR="001966EE" w:rsidRPr="00022ED1" w:rsidRDefault="001966EE" w:rsidP="00870A60">
            <w:pPr>
              <w:spacing w:after="0"/>
              <w:jc w:val="center"/>
              <w:rPr>
                <w:rFonts w:eastAsia="Times New Roman" w:cs="Arial"/>
                <w:color w:val="000000"/>
                <w:sz w:val="18"/>
                <w:szCs w:val="18"/>
                <w:lang w:eastAsia="pt-BR"/>
              </w:rPr>
            </w:pPr>
          </w:p>
        </w:tc>
        <w:tc>
          <w:tcPr>
            <w:tcW w:w="0" w:type="auto"/>
            <w:tcBorders>
              <w:top w:val="nil"/>
              <w:left w:val="single" w:sz="4" w:space="0" w:color="auto"/>
              <w:bottom w:val="single" w:sz="4" w:space="0" w:color="auto"/>
              <w:right w:val="single" w:sz="4" w:space="0" w:color="auto"/>
            </w:tcBorders>
            <w:shd w:val="clear" w:color="auto" w:fill="C2D69B" w:themeFill="accent3" w:themeFillTint="99"/>
            <w:noWrap/>
            <w:vAlign w:val="center"/>
            <w:hideMark/>
          </w:tcPr>
          <w:p w:rsidR="001966EE" w:rsidRPr="00022ED1" w:rsidRDefault="001966EE" w:rsidP="00D40571">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Estágio Inicial</w:t>
            </w:r>
          </w:p>
        </w:tc>
        <w:tc>
          <w:tcPr>
            <w:tcW w:w="0" w:type="auto"/>
            <w:tcBorders>
              <w:top w:val="nil"/>
              <w:left w:val="nil"/>
              <w:bottom w:val="single" w:sz="4" w:space="0" w:color="auto"/>
              <w:right w:val="single" w:sz="4" w:space="0" w:color="auto"/>
            </w:tcBorders>
            <w:shd w:val="clear" w:color="auto" w:fill="C2D69B" w:themeFill="accent3" w:themeFillTint="99"/>
            <w:noWrap/>
            <w:vAlign w:val="center"/>
            <w:hideMark/>
          </w:tcPr>
          <w:p w:rsidR="001966EE" w:rsidRPr="001966EE" w:rsidRDefault="001966EE" w:rsidP="001966EE">
            <w:pPr>
              <w:spacing w:after="0"/>
              <w:jc w:val="center"/>
              <w:rPr>
                <w:rFonts w:eastAsia="Times New Roman" w:cs="Arial"/>
                <w:color w:val="000000"/>
                <w:sz w:val="18"/>
                <w:szCs w:val="18"/>
                <w:lang w:eastAsia="pt-BR"/>
              </w:rPr>
            </w:pPr>
            <w:r w:rsidRPr="001966EE">
              <w:rPr>
                <w:rFonts w:eastAsia="Times New Roman" w:cs="Arial"/>
                <w:color w:val="000000"/>
                <w:sz w:val="18"/>
                <w:szCs w:val="18"/>
                <w:lang w:eastAsia="pt-BR"/>
              </w:rPr>
              <w:t>0,2039</w:t>
            </w:r>
          </w:p>
        </w:tc>
        <w:tc>
          <w:tcPr>
            <w:tcW w:w="0" w:type="auto"/>
            <w:tcBorders>
              <w:top w:val="nil"/>
              <w:left w:val="nil"/>
              <w:bottom w:val="single" w:sz="4" w:space="0" w:color="auto"/>
              <w:right w:val="single" w:sz="4" w:space="0" w:color="auto"/>
            </w:tcBorders>
            <w:shd w:val="clear" w:color="auto" w:fill="C2D69B" w:themeFill="accent3" w:themeFillTint="99"/>
            <w:noWrap/>
            <w:vAlign w:val="center"/>
            <w:hideMark/>
          </w:tcPr>
          <w:p w:rsidR="001966EE" w:rsidRPr="001966EE" w:rsidRDefault="001966EE" w:rsidP="001966EE">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0" w:type="auto"/>
            <w:tcBorders>
              <w:top w:val="nil"/>
              <w:left w:val="nil"/>
              <w:bottom w:val="single" w:sz="4" w:space="0" w:color="auto"/>
              <w:right w:val="single" w:sz="4" w:space="0" w:color="auto"/>
            </w:tcBorders>
            <w:shd w:val="clear" w:color="auto" w:fill="C2D69B" w:themeFill="accent3" w:themeFillTint="99"/>
            <w:noWrap/>
            <w:vAlign w:val="center"/>
            <w:hideMark/>
          </w:tcPr>
          <w:p w:rsidR="001966EE" w:rsidRPr="001966EE" w:rsidRDefault="001966EE" w:rsidP="001966EE">
            <w:pPr>
              <w:spacing w:after="0"/>
              <w:jc w:val="center"/>
              <w:rPr>
                <w:rFonts w:eastAsia="Times New Roman" w:cs="Arial"/>
                <w:b/>
                <w:color w:val="000000"/>
                <w:sz w:val="18"/>
                <w:szCs w:val="18"/>
                <w:lang w:eastAsia="pt-BR"/>
              </w:rPr>
            </w:pPr>
            <w:r w:rsidRPr="001966EE">
              <w:rPr>
                <w:rFonts w:eastAsia="Times New Roman" w:cs="Arial"/>
                <w:b/>
                <w:color w:val="000000"/>
                <w:sz w:val="18"/>
                <w:szCs w:val="18"/>
                <w:lang w:eastAsia="pt-BR"/>
              </w:rPr>
              <w:t>0,2039</w:t>
            </w:r>
          </w:p>
        </w:tc>
      </w:tr>
      <w:tr w:rsidR="001966EE" w:rsidRPr="00022ED1" w:rsidTr="001966EE">
        <w:trPr>
          <w:cantSplit/>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EAF1DD" w:themeFill="accent3" w:themeFillTint="33"/>
            <w:vAlign w:val="center"/>
          </w:tcPr>
          <w:p w:rsidR="001966EE" w:rsidRPr="00022ED1" w:rsidRDefault="001966EE" w:rsidP="00870A60">
            <w:pPr>
              <w:spacing w:after="0"/>
              <w:jc w:val="center"/>
              <w:rPr>
                <w:rFonts w:eastAsia="Times New Roman" w:cs="Arial"/>
                <w:color w:val="000000"/>
                <w:sz w:val="18"/>
                <w:szCs w:val="18"/>
                <w:lang w:eastAsia="pt-BR"/>
              </w:rPr>
            </w:pPr>
            <w:r w:rsidRPr="00022ED1">
              <w:rPr>
                <w:rFonts w:eastAsia="Times New Roman" w:cs="Arial"/>
                <w:color w:val="000000"/>
                <w:sz w:val="18"/>
                <w:szCs w:val="18"/>
                <w:lang w:eastAsia="pt-BR"/>
              </w:rPr>
              <w:t>Vegetação Antropizada</w:t>
            </w:r>
          </w:p>
        </w:tc>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rsidR="001966EE" w:rsidRPr="00022ED1" w:rsidRDefault="001966EE" w:rsidP="00D40571">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Reflorestamento</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rsidR="001966EE" w:rsidRPr="001966EE" w:rsidRDefault="001966EE" w:rsidP="001966EE">
            <w:pPr>
              <w:spacing w:after="0"/>
              <w:jc w:val="center"/>
              <w:rPr>
                <w:rFonts w:eastAsia="Times New Roman" w:cs="Arial"/>
                <w:color w:val="000000"/>
                <w:sz w:val="18"/>
                <w:szCs w:val="18"/>
                <w:lang w:eastAsia="pt-BR"/>
              </w:rPr>
            </w:pPr>
            <w:r w:rsidRPr="001966EE">
              <w:rPr>
                <w:rFonts w:eastAsia="Times New Roman" w:cs="Arial"/>
                <w:color w:val="000000"/>
                <w:sz w:val="18"/>
                <w:szCs w:val="18"/>
                <w:lang w:eastAsia="pt-BR"/>
              </w:rPr>
              <w:t>0,0192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rsidR="001966EE" w:rsidRPr="001966EE" w:rsidRDefault="001966EE" w:rsidP="001966EE">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rsidR="001966EE" w:rsidRPr="001966EE" w:rsidRDefault="001966EE" w:rsidP="001966EE">
            <w:pPr>
              <w:spacing w:after="0"/>
              <w:jc w:val="center"/>
              <w:rPr>
                <w:rFonts w:eastAsia="Times New Roman" w:cs="Arial"/>
                <w:b/>
                <w:color w:val="000000"/>
                <w:sz w:val="18"/>
                <w:szCs w:val="18"/>
                <w:lang w:eastAsia="pt-BR"/>
              </w:rPr>
            </w:pPr>
            <w:r w:rsidRPr="001966EE">
              <w:rPr>
                <w:rFonts w:eastAsia="Times New Roman" w:cs="Arial"/>
                <w:b/>
                <w:color w:val="000000"/>
                <w:sz w:val="18"/>
                <w:szCs w:val="18"/>
                <w:lang w:eastAsia="pt-BR"/>
              </w:rPr>
              <w:t>0,0192</w:t>
            </w:r>
          </w:p>
        </w:tc>
      </w:tr>
      <w:tr w:rsidR="001966EE" w:rsidRPr="00022ED1" w:rsidTr="001966EE">
        <w:trPr>
          <w:cantSplit/>
          <w:trHeight w:val="255"/>
          <w:jc w:val="center"/>
        </w:trPr>
        <w:tc>
          <w:tcPr>
            <w:tcW w:w="0" w:type="auto"/>
            <w:vMerge/>
            <w:tcBorders>
              <w:left w:val="single" w:sz="4" w:space="0" w:color="auto"/>
              <w:bottom w:val="single" w:sz="4" w:space="0" w:color="auto"/>
              <w:right w:val="single" w:sz="4" w:space="0" w:color="auto"/>
            </w:tcBorders>
            <w:shd w:val="clear" w:color="auto" w:fill="EAF1DD" w:themeFill="accent3" w:themeFillTint="33"/>
            <w:vAlign w:val="center"/>
          </w:tcPr>
          <w:p w:rsidR="001966EE" w:rsidRPr="00022ED1" w:rsidRDefault="001966EE" w:rsidP="00870A60">
            <w:pPr>
              <w:spacing w:after="0"/>
              <w:jc w:val="center"/>
              <w:rPr>
                <w:rFonts w:eastAsia="Times New Roman" w:cs="Arial"/>
                <w:color w:val="000000"/>
                <w:sz w:val="18"/>
                <w:szCs w:val="18"/>
                <w:lang w:eastAsia="pt-BR"/>
              </w:rPr>
            </w:pPr>
          </w:p>
        </w:tc>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rsidR="001966EE" w:rsidRPr="00022ED1" w:rsidRDefault="001966EE" w:rsidP="00D40571">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Agrupamento/ Cerca Viva</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rsidR="001966EE" w:rsidRPr="001966EE" w:rsidRDefault="001966EE" w:rsidP="001966EE">
            <w:pPr>
              <w:spacing w:after="0"/>
              <w:jc w:val="center"/>
              <w:rPr>
                <w:rFonts w:eastAsia="Times New Roman" w:cs="Arial"/>
                <w:color w:val="000000"/>
                <w:sz w:val="18"/>
                <w:szCs w:val="18"/>
                <w:lang w:eastAsia="pt-BR"/>
              </w:rPr>
            </w:pPr>
            <w:r w:rsidRPr="001966EE">
              <w:rPr>
                <w:rFonts w:eastAsia="Times New Roman" w:cs="Arial"/>
                <w:color w:val="000000"/>
                <w:sz w:val="18"/>
                <w:szCs w:val="18"/>
                <w:lang w:eastAsia="pt-BR"/>
              </w:rPr>
              <w:t>0,0047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rsidR="001966EE" w:rsidRPr="001966EE" w:rsidRDefault="001966EE" w:rsidP="001966EE">
            <w:pPr>
              <w:spacing w:after="0"/>
              <w:jc w:val="center"/>
              <w:rPr>
                <w:rFonts w:eastAsia="Times New Roman" w:cs="Arial"/>
                <w:color w:val="000000"/>
                <w:sz w:val="18"/>
                <w:szCs w:val="18"/>
                <w:lang w:eastAsia="pt-BR"/>
              </w:rPr>
            </w:pPr>
            <w:r w:rsidRPr="001966EE">
              <w:rPr>
                <w:rFonts w:eastAsia="Times New Roman" w:cs="Arial"/>
                <w:color w:val="000000"/>
                <w:sz w:val="18"/>
                <w:szCs w:val="18"/>
                <w:lang w:eastAsia="pt-BR"/>
              </w:rPr>
              <w:t>0,0041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rsidR="001966EE" w:rsidRPr="001966EE" w:rsidRDefault="001966EE" w:rsidP="001966EE">
            <w:pPr>
              <w:spacing w:after="0"/>
              <w:jc w:val="center"/>
              <w:rPr>
                <w:rFonts w:eastAsia="Times New Roman" w:cs="Arial"/>
                <w:b/>
                <w:color w:val="000000"/>
                <w:sz w:val="18"/>
                <w:szCs w:val="18"/>
                <w:lang w:eastAsia="pt-BR"/>
              </w:rPr>
            </w:pPr>
            <w:r w:rsidRPr="001966EE">
              <w:rPr>
                <w:rFonts w:eastAsia="Times New Roman" w:cs="Arial"/>
                <w:b/>
                <w:color w:val="000000"/>
                <w:sz w:val="18"/>
                <w:szCs w:val="18"/>
                <w:lang w:eastAsia="pt-BR"/>
              </w:rPr>
              <w:t>0,0088</w:t>
            </w:r>
          </w:p>
        </w:tc>
      </w:tr>
      <w:tr w:rsidR="001966EE" w:rsidRPr="00022ED1" w:rsidTr="001966EE">
        <w:trPr>
          <w:cantSplit/>
          <w:trHeight w:val="255"/>
          <w:jc w:val="center"/>
        </w:trPr>
        <w:tc>
          <w:tcPr>
            <w:tcW w:w="0" w:type="auto"/>
            <w:vMerge/>
            <w:tcBorders>
              <w:left w:val="single" w:sz="4" w:space="0" w:color="auto"/>
              <w:bottom w:val="single" w:sz="4" w:space="0" w:color="auto"/>
              <w:right w:val="single" w:sz="4" w:space="0" w:color="auto"/>
            </w:tcBorders>
            <w:shd w:val="clear" w:color="auto" w:fill="EAF1DD" w:themeFill="accent3" w:themeFillTint="33"/>
            <w:vAlign w:val="center"/>
          </w:tcPr>
          <w:p w:rsidR="001966EE" w:rsidRPr="00022ED1" w:rsidRDefault="001966EE" w:rsidP="00870A60">
            <w:pPr>
              <w:spacing w:after="0"/>
              <w:jc w:val="center"/>
              <w:rPr>
                <w:rFonts w:eastAsia="Times New Roman" w:cs="Arial"/>
                <w:color w:val="000000"/>
                <w:sz w:val="18"/>
                <w:szCs w:val="18"/>
                <w:lang w:eastAsia="pt-BR"/>
              </w:rPr>
            </w:pPr>
          </w:p>
        </w:tc>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rsidR="001966EE" w:rsidRPr="00022ED1" w:rsidRDefault="001966EE" w:rsidP="00D40571">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Campo Antrópico</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rsidR="001966EE" w:rsidRPr="001966EE" w:rsidRDefault="001966EE" w:rsidP="001966EE">
            <w:pPr>
              <w:spacing w:after="0"/>
              <w:jc w:val="center"/>
              <w:rPr>
                <w:rFonts w:eastAsia="Times New Roman" w:cs="Arial"/>
                <w:color w:val="000000"/>
                <w:sz w:val="18"/>
                <w:szCs w:val="18"/>
                <w:lang w:eastAsia="pt-BR"/>
              </w:rPr>
            </w:pPr>
            <w:r w:rsidRPr="001966EE">
              <w:rPr>
                <w:rFonts w:eastAsia="Times New Roman" w:cs="Arial"/>
                <w:color w:val="000000"/>
                <w:sz w:val="18"/>
                <w:szCs w:val="18"/>
                <w:lang w:eastAsia="pt-BR"/>
              </w:rPr>
              <w:t>0,4118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rsidR="001966EE" w:rsidRPr="001966EE" w:rsidRDefault="001966EE" w:rsidP="001966EE">
            <w:pPr>
              <w:spacing w:after="0"/>
              <w:jc w:val="center"/>
              <w:rPr>
                <w:rFonts w:eastAsia="Times New Roman" w:cs="Arial"/>
                <w:color w:val="000000"/>
                <w:sz w:val="18"/>
                <w:szCs w:val="18"/>
                <w:lang w:eastAsia="pt-BR"/>
              </w:rPr>
            </w:pPr>
            <w:r w:rsidRPr="001966EE">
              <w:rPr>
                <w:rFonts w:eastAsia="Times New Roman" w:cs="Arial"/>
                <w:color w:val="000000"/>
                <w:sz w:val="18"/>
                <w:szCs w:val="18"/>
                <w:lang w:eastAsia="pt-BR"/>
              </w:rPr>
              <w:t>0,1801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rsidR="001966EE" w:rsidRPr="001966EE" w:rsidRDefault="001966EE" w:rsidP="001966EE">
            <w:pPr>
              <w:spacing w:after="0"/>
              <w:jc w:val="center"/>
              <w:rPr>
                <w:rFonts w:eastAsia="Times New Roman" w:cs="Arial"/>
                <w:b/>
                <w:color w:val="000000"/>
                <w:sz w:val="18"/>
                <w:szCs w:val="18"/>
                <w:lang w:eastAsia="pt-BR"/>
              </w:rPr>
            </w:pPr>
            <w:r w:rsidRPr="001966EE">
              <w:rPr>
                <w:rFonts w:eastAsia="Times New Roman" w:cs="Arial"/>
                <w:b/>
                <w:color w:val="000000"/>
                <w:sz w:val="18"/>
                <w:szCs w:val="18"/>
                <w:lang w:eastAsia="pt-BR"/>
              </w:rPr>
              <w:t>0,5919</w:t>
            </w:r>
          </w:p>
        </w:tc>
      </w:tr>
      <w:tr w:rsidR="00782111" w:rsidRPr="00022ED1" w:rsidTr="001966EE">
        <w:trPr>
          <w:cantSplit/>
          <w:trHeight w:val="255"/>
          <w:jc w:val="center"/>
        </w:trPr>
        <w:tc>
          <w:tcPr>
            <w:tcW w:w="0" w:type="auto"/>
            <w:vMerge w:val="restart"/>
            <w:tcBorders>
              <w:top w:val="nil"/>
              <w:left w:val="single" w:sz="4" w:space="0" w:color="auto"/>
              <w:bottom w:val="single" w:sz="4" w:space="0" w:color="auto"/>
              <w:right w:val="single" w:sz="4" w:space="0" w:color="auto"/>
            </w:tcBorders>
            <w:shd w:val="clear" w:color="auto" w:fill="FDE9D9" w:themeFill="accent6" w:themeFillTint="33"/>
            <w:vAlign w:val="center"/>
          </w:tcPr>
          <w:p w:rsidR="00782111" w:rsidRPr="00022ED1" w:rsidRDefault="00782111" w:rsidP="00870A60">
            <w:pPr>
              <w:spacing w:after="0"/>
              <w:jc w:val="center"/>
              <w:rPr>
                <w:rFonts w:eastAsia="Times New Roman" w:cs="Arial"/>
                <w:color w:val="000000"/>
                <w:sz w:val="18"/>
                <w:szCs w:val="18"/>
                <w:lang w:eastAsia="pt-BR"/>
              </w:rPr>
            </w:pPr>
            <w:r w:rsidRPr="00022ED1">
              <w:rPr>
                <w:rFonts w:eastAsia="Times New Roman" w:cs="Arial"/>
                <w:color w:val="000000"/>
                <w:sz w:val="18"/>
                <w:szCs w:val="18"/>
                <w:lang w:eastAsia="pt-BR"/>
              </w:rPr>
              <w:t>Uso Antrópico Agrícola</w:t>
            </w:r>
          </w:p>
        </w:tc>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rsidR="00782111" w:rsidRPr="00022ED1" w:rsidRDefault="00782111" w:rsidP="00782111">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Pastagem</w:t>
            </w:r>
          </w:p>
        </w:tc>
        <w:tc>
          <w:tcPr>
            <w:tcW w:w="0" w:type="auto"/>
            <w:tcBorders>
              <w:top w:val="nil"/>
              <w:left w:val="nil"/>
              <w:bottom w:val="single" w:sz="4" w:space="0" w:color="auto"/>
              <w:right w:val="single" w:sz="4" w:space="0" w:color="auto"/>
            </w:tcBorders>
            <w:shd w:val="clear" w:color="auto" w:fill="FDE9D9" w:themeFill="accent6" w:themeFillTint="33"/>
            <w:noWrap/>
            <w:vAlign w:val="center"/>
            <w:hideMark/>
          </w:tcPr>
          <w:p w:rsidR="00782111" w:rsidRPr="00022ED1" w:rsidRDefault="00782111" w:rsidP="001966EE">
            <w:pPr>
              <w:spacing w:after="0"/>
              <w:jc w:val="center"/>
              <w:rPr>
                <w:rFonts w:eastAsia="Times New Roman" w:cs="Arial"/>
                <w:color w:val="000000"/>
                <w:sz w:val="18"/>
                <w:szCs w:val="18"/>
                <w:lang w:eastAsia="pt-BR"/>
              </w:rPr>
            </w:pPr>
            <w:r w:rsidRPr="00022ED1">
              <w:rPr>
                <w:rFonts w:eastAsia="Times New Roman" w:cs="Arial"/>
                <w:color w:val="000000"/>
                <w:sz w:val="18"/>
                <w:szCs w:val="18"/>
                <w:lang w:eastAsia="pt-BR"/>
              </w:rPr>
              <w:t>-</w:t>
            </w:r>
          </w:p>
        </w:tc>
        <w:tc>
          <w:tcPr>
            <w:tcW w:w="0" w:type="auto"/>
            <w:tcBorders>
              <w:top w:val="nil"/>
              <w:left w:val="nil"/>
              <w:bottom w:val="single" w:sz="4" w:space="0" w:color="auto"/>
              <w:right w:val="single" w:sz="4" w:space="0" w:color="auto"/>
            </w:tcBorders>
            <w:shd w:val="clear" w:color="auto" w:fill="FDE9D9" w:themeFill="accent6" w:themeFillTint="33"/>
            <w:noWrap/>
            <w:vAlign w:val="center"/>
            <w:hideMark/>
          </w:tcPr>
          <w:p w:rsidR="00782111" w:rsidRPr="00022ED1" w:rsidRDefault="00782111" w:rsidP="001966EE">
            <w:pPr>
              <w:spacing w:after="0"/>
              <w:jc w:val="center"/>
              <w:rPr>
                <w:rFonts w:eastAsia="Times New Roman" w:cs="Arial"/>
                <w:color w:val="000000"/>
                <w:sz w:val="18"/>
                <w:szCs w:val="18"/>
                <w:lang w:eastAsia="pt-BR"/>
              </w:rPr>
            </w:pPr>
            <w:r w:rsidRPr="00022ED1">
              <w:rPr>
                <w:rFonts w:eastAsia="Times New Roman" w:cs="Arial"/>
                <w:color w:val="000000"/>
                <w:sz w:val="18"/>
                <w:szCs w:val="18"/>
                <w:lang w:eastAsia="pt-BR"/>
              </w:rPr>
              <w:t>0,0242</w:t>
            </w:r>
          </w:p>
        </w:tc>
        <w:tc>
          <w:tcPr>
            <w:tcW w:w="0" w:type="auto"/>
            <w:tcBorders>
              <w:top w:val="nil"/>
              <w:left w:val="nil"/>
              <w:bottom w:val="single" w:sz="4" w:space="0" w:color="auto"/>
              <w:right w:val="single" w:sz="4" w:space="0" w:color="auto"/>
            </w:tcBorders>
            <w:shd w:val="clear" w:color="auto" w:fill="FDE9D9" w:themeFill="accent6" w:themeFillTint="33"/>
            <w:noWrap/>
            <w:vAlign w:val="center"/>
            <w:hideMark/>
          </w:tcPr>
          <w:p w:rsidR="00782111" w:rsidRPr="001966EE" w:rsidRDefault="00782111" w:rsidP="001966EE">
            <w:pPr>
              <w:spacing w:after="0"/>
              <w:jc w:val="center"/>
              <w:rPr>
                <w:rFonts w:eastAsia="Times New Roman" w:cs="Arial"/>
                <w:b/>
                <w:color w:val="000000"/>
                <w:sz w:val="18"/>
                <w:szCs w:val="18"/>
                <w:lang w:eastAsia="pt-BR"/>
              </w:rPr>
            </w:pPr>
            <w:r w:rsidRPr="001966EE">
              <w:rPr>
                <w:rFonts w:eastAsia="Times New Roman" w:cs="Arial"/>
                <w:b/>
                <w:color w:val="000000"/>
                <w:sz w:val="18"/>
                <w:szCs w:val="18"/>
                <w:lang w:eastAsia="pt-BR"/>
              </w:rPr>
              <w:t>0,0242</w:t>
            </w:r>
          </w:p>
        </w:tc>
      </w:tr>
      <w:tr w:rsidR="001966EE" w:rsidRPr="00022ED1" w:rsidTr="001966EE">
        <w:trPr>
          <w:cantSplit/>
          <w:trHeight w:val="255"/>
          <w:jc w:val="center"/>
        </w:trPr>
        <w:tc>
          <w:tcPr>
            <w:tcW w:w="0" w:type="auto"/>
            <w:vMerge/>
            <w:tcBorders>
              <w:left w:val="single" w:sz="4" w:space="0" w:color="auto"/>
              <w:bottom w:val="single" w:sz="4" w:space="0" w:color="auto"/>
              <w:right w:val="single" w:sz="4" w:space="0" w:color="auto"/>
            </w:tcBorders>
            <w:shd w:val="clear" w:color="auto" w:fill="FDE9D9" w:themeFill="accent6" w:themeFillTint="33"/>
            <w:vAlign w:val="center"/>
          </w:tcPr>
          <w:p w:rsidR="001966EE" w:rsidRPr="00022ED1" w:rsidRDefault="001966EE" w:rsidP="00870A60">
            <w:pPr>
              <w:spacing w:after="0"/>
              <w:jc w:val="center"/>
              <w:rPr>
                <w:rFonts w:eastAsia="Times New Roman" w:cs="Arial"/>
                <w:color w:val="000000"/>
                <w:sz w:val="18"/>
                <w:szCs w:val="18"/>
                <w:lang w:eastAsia="pt-BR"/>
              </w:rPr>
            </w:pPr>
          </w:p>
        </w:tc>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rsidR="001966EE" w:rsidRPr="00022ED1" w:rsidRDefault="001966EE" w:rsidP="00782111">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Solo Exposto</w:t>
            </w:r>
          </w:p>
        </w:tc>
        <w:tc>
          <w:tcPr>
            <w:tcW w:w="0" w:type="auto"/>
            <w:tcBorders>
              <w:top w:val="nil"/>
              <w:left w:val="nil"/>
              <w:bottom w:val="single" w:sz="4" w:space="0" w:color="auto"/>
              <w:right w:val="single" w:sz="4" w:space="0" w:color="auto"/>
            </w:tcBorders>
            <w:shd w:val="clear" w:color="auto" w:fill="FDE9D9" w:themeFill="accent6" w:themeFillTint="33"/>
            <w:noWrap/>
            <w:vAlign w:val="center"/>
            <w:hideMark/>
          </w:tcPr>
          <w:p w:rsidR="001966EE" w:rsidRPr="001966EE" w:rsidRDefault="001966EE" w:rsidP="001966EE">
            <w:pPr>
              <w:spacing w:after="0"/>
              <w:jc w:val="center"/>
              <w:rPr>
                <w:rFonts w:eastAsia="Times New Roman" w:cs="Arial"/>
                <w:color w:val="000000"/>
                <w:sz w:val="18"/>
                <w:szCs w:val="18"/>
                <w:lang w:eastAsia="pt-BR"/>
              </w:rPr>
            </w:pPr>
            <w:r w:rsidRPr="001966EE">
              <w:rPr>
                <w:rFonts w:eastAsia="Times New Roman" w:cs="Arial"/>
                <w:color w:val="000000"/>
                <w:sz w:val="18"/>
                <w:szCs w:val="18"/>
                <w:lang w:eastAsia="pt-BR"/>
              </w:rPr>
              <w:t>0,0331</w:t>
            </w:r>
          </w:p>
        </w:tc>
        <w:tc>
          <w:tcPr>
            <w:tcW w:w="0" w:type="auto"/>
            <w:tcBorders>
              <w:top w:val="nil"/>
              <w:left w:val="nil"/>
              <w:bottom w:val="single" w:sz="4" w:space="0" w:color="auto"/>
              <w:right w:val="single" w:sz="4" w:space="0" w:color="auto"/>
            </w:tcBorders>
            <w:shd w:val="clear" w:color="auto" w:fill="FDE9D9" w:themeFill="accent6" w:themeFillTint="33"/>
            <w:noWrap/>
            <w:vAlign w:val="center"/>
            <w:hideMark/>
          </w:tcPr>
          <w:p w:rsidR="001966EE" w:rsidRPr="001966EE" w:rsidRDefault="001966EE" w:rsidP="001966EE">
            <w:pPr>
              <w:spacing w:after="0"/>
              <w:jc w:val="center"/>
              <w:rPr>
                <w:rFonts w:eastAsia="Times New Roman" w:cs="Arial"/>
                <w:color w:val="000000"/>
                <w:sz w:val="18"/>
                <w:szCs w:val="18"/>
                <w:lang w:eastAsia="pt-BR"/>
              </w:rPr>
            </w:pPr>
            <w:r w:rsidRPr="001966EE">
              <w:rPr>
                <w:rFonts w:eastAsia="Times New Roman" w:cs="Arial"/>
                <w:color w:val="000000"/>
                <w:sz w:val="18"/>
                <w:szCs w:val="18"/>
                <w:lang w:eastAsia="pt-BR"/>
              </w:rPr>
              <w:t>0,0176</w:t>
            </w:r>
          </w:p>
        </w:tc>
        <w:tc>
          <w:tcPr>
            <w:tcW w:w="0" w:type="auto"/>
            <w:tcBorders>
              <w:top w:val="nil"/>
              <w:left w:val="nil"/>
              <w:bottom w:val="single" w:sz="4" w:space="0" w:color="auto"/>
              <w:right w:val="single" w:sz="4" w:space="0" w:color="auto"/>
            </w:tcBorders>
            <w:shd w:val="clear" w:color="auto" w:fill="FDE9D9" w:themeFill="accent6" w:themeFillTint="33"/>
            <w:noWrap/>
            <w:vAlign w:val="center"/>
            <w:hideMark/>
          </w:tcPr>
          <w:p w:rsidR="001966EE" w:rsidRPr="001966EE" w:rsidRDefault="001966EE" w:rsidP="001966EE">
            <w:pPr>
              <w:spacing w:after="0"/>
              <w:jc w:val="center"/>
              <w:rPr>
                <w:rFonts w:eastAsia="Times New Roman" w:cs="Arial"/>
                <w:b/>
                <w:color w:val="000000"/>
                <w:sz w:val="18"/>
                <w:szCs w:val="18"/>
                <w:lang w:eastAsia="pt-BR"/>
              </w:rPr>
            </w:pPr>
            <w:r w:rsidRPr="001966EE">
              <w:rPr>
                <w:rFonts w:eastAsia="Times New Roman" w:cs="Arial"/>
                <w:b/>
                <w:color w:val="000000"/>
                <w:sz w:val="18"/>
                <w:szCs w:val="18"/>
                <w:lang w:eastAsia="pt-BR"/>
              </w:rPr>
              <w:t>0,0508</w:t>
            </w:r>
          </w:p>
        </w:tc>
      </w:tr>
      <w:tr w:rsidR="001966EE" w:rsidRPr="00022ED1" w:rsidTr="001966EE">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rsidR="001966EE" w:rsidRPr="00022ED1" w:rsidRDefault="001966EE" w:rsidP="00870A60">
            <w:pPr>
              <w:spacing w:after="0"/>
              <w:jc w:val="center"/>
              <w:rPr>
                <w:rFonts w:eastAsia="Times New Roman" w:cs="Arial"/>
                <w:color w:val="000000"/>
                <w:sz w:val="18"/>
                <w:szCs w:val="18"/>
                <w:lang w:eastAsia="pt-BR"/>
              </w:rPr>
            </w:pPr>
            <w:r w:rsidRPr="00022ED1">
              <w:rPr>
                <w:rFonts w:eastAsia="Times New Roman" w:cs="Arial"/>
                <w:color w:val="000000"/>
                <w:sz w:val="18"/>
                <w:szCs w:val="18"/>
                <w:lang w:eastAsia="pt-BR"/>
              </w:rPr>
              <w:t>Uso Antrópico Não Agrícola</w:t>
            </w:r>
          </w:p>
        </w:tc>
        <w:tc>
          <w:tcPr>
            <w:tcW w:w="0" w:type="auto"/>
            <w:tcBorders>
              <w:top w:val="nil"/>
              <w:left w:val="single" w:sz="4" w:space="0" w:color="auto"/>
              <w:bottom w:val="single" w:sz="4" w:space="0" w:color="auto"/>
              <w:right w:val="single" w:sz="4" w:space="0" w:color="auto"/>
            </w:tcBorders>
            <w:shd w:val="clear" w:color="auto" w:fill="FBD4B4" w:themeFill="accent6" w:themeFillTint="66"/>
            <w:noWrap/>
            <w:vAlign w:val="center"/>
            <w:hideMark/>
          </w:tcPr>
          <w:p w:rsidR="001966EE" w:rsidRPr="00022ED1" w:rsidRDefault="001966EE" w:rsidP="00D40571">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Via Não Pavimentada</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rsidR="001966EE" w:rsidRPr="001966EE" w:rsidRDefault="001966EE" w:rsidP="001966EE">
            <w:pPr>
              <w:spacing w:after="0"/>
              <w:jc w:val="center"/>
              <w:rPr>
                <w:rFonts w:eastAsia="Times New Roman" w:cs="Arial"/>
                <w:color w:val="000000"/>
                <w:sz w:val="18"/>
                <w:szCs w:val="18"/>
                <w:lang w:eastAsia="pt-BR"/>
              </w:rPr>
            </w:pPr>
            <w:r w:rsidRPr="001966EE">
              <w:rPr>
                <w:rFonts w:eastAsia="Times New Roman" w:cs="Arial"/>
                <w:color w:val="000000"/>
                <w:sz w:val="18"/>
                <w:szCs w:val="18"/>
                <w:lang w:eastAsia="pt-BR"/>
              </w:rPr>
              <w:t>0,2442</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rsidR="001966EE" w:rsidRPr="001966EE" w:rsidRDefault="001966EE" w:rsidP="001966EE">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rsidR="001966EE" w:rsidRPr="001966EE" w:rsidRDefault="001966EE" w:rsidP="001966EE">
            <w:pPr>
              <w:spacing w:after="0"/>
              <w:jc w:val="center"/>
              <w:rPr>
                <w:rFonts w:eastAsia="Times New Roman" w:cs="Arial"/>
                <w:b/>
                <w:color w:val="000000"/>
                <w:sz w:val="18"/>
                <w:szCs w:val="18"/>
                <w:lang w:eastAsia="pt-BR"/>
              </w:rPr>
            </w:pPr>
            <w:r w:rsidRPr="001966EE">
              <w:rPr>
                <w:rFonts w:eastAsia="Times New Roman" w:cs="Arial"/>
                <w:b/>
                <w:color w:val="000000"/>
                <w:sz w:val="18"/>
                <w:szCs w:val="18"/>
                <w:lang w:eastAsia="pt-BR"/>
              </w:rPr>
              <w:t>0,2442</w:t>
            </w:r>
          </w:p>
        </w:tc>
      </w:tr>
      <w:tr w:rsidR="001966EE" w:rsidRPr="00022ED1" w:rsidTr="001966EE">
        <w:trPr>
          <w:cantSplit/>
          <w:trHeight w:val="255"/>
          <w:jc w:val="center"/>
        </w:trPr>
        <w:tc>
          <w:tcPr>
            <w:tcW w:w="0" w:type="auto"/>
            <w:vMerge/>
            <w:tcBorders>
              <w:left w:val="single" w:sz="4" w:space="0" w:color="auto"/>
              <w:bottom w:val="single" w:sz="4" w:space="0" w:color="auto"/>
              <w:right w:val="single" w:sz="4" w:space="0" w:color="auto"/>
            </w:tcBorders>
            <w:shd w:val="clear" w:color="auto" w:fill="FBD4B4" w:themeFill="accent6" w:themeFillTint="66"/>
            <w:vAlign w:val="center"/>
          </w:tcPr>
          <w:p w:rsidR="001966EE" w:rsidRPr="00022ED1" w:rsidRDefault="001966EE" w:rsidP="00870A60">
            <w:pPr>
              <w:spacing w:after="0"/>
              <w:jc w:val="center"/>
              <w:rPr>
                <w:rFonts w:eastAsia="Times New Roman" w:cs="Arial"/>
                <w:color w:val="000000"/>
                <w:sz w:val="18"/>
                <w:szCs w:val="18"/>
                <w:lang w:eastAsia="pt-BR"/>
              </w:rPr>
            </w:pPr>
          </w:p>
        </w:tc>
        <w:tc>
          <w:tcPr>
            <w:tcW w:w="0" w:type="auto"/>
            <w:tcBorders>
              <w:top w:val="nil"/>
              <w:left w:val="single" w:sz="4" w:space="0" w:color="auto"/>
              <w:bottom w:val="single" w:sz="4" w:space="0" w:color="auto"/>
              <w:right w:val="single" w:sz="4" w:space="0" w:color="auto"/>
            </w:tcBorders>
            <w:shd w:val="clear" w:color="auto" w:fill="FBD4B4" w:themeFill="accent6" w:themeFillTint="66"/>
            <w:noWrap/>
            <w:vAlign w:val="center"/>
            <w:hideMark/>
          </w:tcPr>
          <w:p w:rsidR="001966EE" w:rsidRPr="00022ED1" w:rsidRDefault="001966EE" w:rsidP="00D40571">
            <w:pPr>
              <w:spacing w:after="0"/>
              <w:jc w:val="left"/>
              <w:rPr>
                <w:rFonts w:eastAsia="Times New Roman" w:cs="Arial"/>
                <w:color w:val="000000"/>
                <w:sz w:val="18"/>
                <w:szCs w:val="18"/>
                <w:lang w:eastAsia="pt-BR"/>
              </w:rPr>
            </w:pPr>
            <w:r w:rsidRPr="00022ED1">
              <w:rPr>
                <w:rFonts w:eastAsia="Times New Roman" w:cs="Arial"/>
                <w:color w:val="000000"/>
                <w:sz w:val="18"/>
                <w:szCs w:val="18"/>
                <w:lang w:eastAsia="pt-BR"/>
              </w:rPr>
              <w:t>Reservatório</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rsidR="001966EE" w:rsidRPr="001966EE" w:rsidRDefault="001966EE" w:rsidP="001966EE">
            <w:pPr>
              <w:spacing w:after="0"/>
              <w:jc w:val="center"/>
              <w:rPr>
                <w:rFonts w:eastAsia="Times New Roman" w:cs="Arial"/>
                <w:color w:val="000000"/>
                <w:sz w:val="18"/>
                <w:szCs w:val="18"/>
                <w:lang w:eastAsia="pt-BR"/>
              </w:rPr>
            </w:pPr>
            <w:r w:rsidRPr="001966EE">
              <w:rPr>
                <w:rFonts w:eastAsia="Times New Roman" w:cs="Arial"/>
                <w:color w:val="000000"/>
                <w:sz w:val="18"/>
                <w:szCs w:val="18"/>
                <w:lang w:eastAsia="pt-BR"/>
              </w:rPr>
              <w:t>0,1895</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rsidR="001966EE" w:rsidRPr="001966EE" w:rsidRDefault="001966EE" w:rsidP="001966EE">
            <w:pPr>
              <w:spacing w:after="0"/>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rsidR="001966EE" w:rsidRPr="001966EE" w:rsidRDefault="001966EE" w:rsidP="001966EE">
            <w:pPr>
              <w:spacing w:after="0"/>
              <w:jc w:val="center"/>
              <w:rPr>
                <w:rFonts w:eastAsia="Times New Roman" w:cs="Arial"/>
                <w:b/>
                <w:color w:val="000000"/>
                <w:sz w:val="18"/>
                <w:szCs w:val="18"/>
                <w:lang w:eastAsia="pt-BR"/>
              </w:rPr>
            </w:pPr>
            <w:r w:rsidRPr="001966EE">
              <w:rPr>
                <w:rFonts w:eastAsia="Times New Roman" w:cs="Arial"/>
                <w:b/>
                <w:color w:val="000000"/>
                <w:sz w:val="18"/>
                <w:szCs w:val="18"/>
                <w:lang w:eastAsia="pt-BR"/>
              </w:rPr>
              <w:t>0,1895</w:t>
            </w:r>
          </w:p>
        </w:tc>
      </w:tr>
      <w:tr w:rsidR="001966EE" w:rsidRPr="00022ED1" w:rsidTr="001966EE">
        <w:trPr>
          <w:cantSplit/>
          <w:trHeight w:val="255"/>
          <w:jc w:val="center"/>
        </w:trPr>
        <w:tc>
          <w:tcPr>
            <w:tcW w:w="0" w:type="auto"/>
            <w:gridSpan w:val="2"/>
            <w:tcBorders>
              <w:top w:val="nil"/>
              <w:left w:val="single" w:sz="4" w:space="0" w:color="auto"/>
              <w:bottom w:val="single" w:sz="4" w:space="0" w:color="auto"/>
              <w:right w:val="single" w:sz="4" w:space="0" w:color="auto"/>
            </w:tcBorders>
            <w:shd w:val="clear" w:color="auto" w:fill="D9D9D9" w:themeFill="background1" w:themeFillShade="D9"/>
            <w:vAlign w:val="center"/>
          </w:tcPr>
          <w:p w:rsidR="001966EE" w:rsidRPr="00022ED1" w:rsidRDefault="001966EE" w:rsidP="00782111">
            <w:pPr>
              <w:spacing w:after="0"/>
              <w:jc w:val="center"/>
              <w:rPr>
                <w:rFonts w:eastAsia="Times New Roman" w:cs="Arial"/>
                <w:b/>
                <w:bCs/>
                <w:color w:val="000000"/>
                <w:sz w:val="18"/>
                <w:szCs w:val="18"/>
                <w:lang w:eastAsia="pt-BR"/>
              </w:rPr>
            </w:pPr>
            <w:r w:rsidRPr="00022ED1">
              <w:rPr>
                <w:rFonts w:eastAsia="Times New Roman" w:cs="Arial"/>
                <w:b/>
                <w:bCs/>
                <w:color w:val="000000"/>
                <w:sz w:val="18"/>
                <w:szCs w:val="18"/>
                <w:lang w:eastAsia="pt-BR"/>
              </w:rPr>
              <w:t>Total Geral</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1966EE" w:rsidRPr="001966EE" w:rsidRDefault="001966EE" w:rsidP="001966EE">
            <w:pPr>
              <w:spacing w:after="0"/>
              <w:jc w:val="center"/>
              <w:rPr>
                <w:rFonts w:eastAsia="Times New Roman" w:cs="Arial"/>
                <w:b/>
                <w:bCs/>
                <w:color w:val="000000"/>
                <w:sz w:val="18"/>
                <w:szCs w:val="18"/>
                <w:lang w:eastAsia="pt-BR"/>
              </w:rPr>
            </w:pPr>
            <w:r w:rsidRPr="001966EE">
              <w:rPr>
                <w:rFonts w:eastAsia="Times New Roman" w:cs="Arial"/>
                <w:b/>
                <w:bCs/>
                <w:color w:val="000000"/>
                <w:sz w:val="18"/>
                <w:szCs w:val="18"/>
                <w:lang w:eastAsia="pt-BR"/>
              </w:rPr>
              <w:t>1,2070</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1966EE" w:rsidRPr="001966EE" w:rsidRDefault="001966EE" w:rsidP="001966EE">
            <w:pPr>
              <w:spacing w:after="0"/>
              <w:jc w:val="center"/>
              <w:rPr>
                <w:rFonts w:eastAsia="Times New Roman" w:cs="Arial"/>
                <w:b/>
                <w:bCs/>
                <w:color w:val="000000"/>
                <w:sz w:val="18"/>
                <w:szCs w:val="18"/>
                <w:lang w:eastAsia="pt-BR"/>
              </w:rPr>
            </w:pPr>
            <w:r w:rsidRPr="001966EE">
              <w:rPr>
                <w:rFonts w:eastAsia="Times New Roman" w:cs="Arial"/>
                <w:b/>
                <w:bCs/>
                <w:color w:val="000000"/>
                <w:sz w:val="18"/>
                <w:szCs w:val="18"/>
                <w:lang w:eastAsia="pt-BR"/>
              </w:rPr>
              <w:t>0,2260</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1966EE" w:rsidRPr="001966EE" w:rsidRDefault="001966EE" w:rsidP="001966EE">
            <w:pPr>
              <w:spacing w:after="0"/>
              <w:jc w:val="center"/>
              <w:rPr>
                <w:rFonts w:eastAsia="Times New Roman" w:cs="Arial"/>
                <w:b/>
                <w:bCs/>
                <w:color w:val="000000"/>
                <w:sz w:val="18"/>
                <w:szCs w:val="18"/>
                <w:lang w:eastAsia="pt-BR"/>
              </w:rPr>
            </w:pPr>
            <w:r w:rsidRPr="001966EE">
              <w:rPr>
                <w:rFonts w:eastAsia="Times New Roman" w:cs="Arial"/>
                <w:b/>
                <w:bCs/>
                <w:color w:val="000000"/>
                <w:sz w:val="18"/>
                <w:szCs w:val="18"/>
                <w:lang w:eastAsia="pt-BR"/>
              </w:rPr>
              <w:t>1,4330</w:t>
            </w:r>
          </w:p>
        </w:tc>
      </w:tr>
    </w:tbl>
    <w:p w:rsidR="000D0D7C" w:rsidRDefault="000D0D7C" w:rsidP="00A3238D">
      <w:pPr>
        <w:rPr>
          <w:rFonts w:eastAsia="MS Mincho" w:cs="Arial"/>
          <w:bCs/>
        </w:rPr>
      </w:pPr>
    </w:p>
    <w:p w:rsidR="000D0D7C" w:rsidRDefault="000D0D7C" w:rsidP="00A3238D">
      <w:pPr>
        <w:rPr>
          <w:rFonts w:eastAsia="MS Mincho" w:cs="Arial"/>
          <w:bCs/>
        </w:rPr>
      </w:pPr>
    </w:p>
    <w:p w:rsidR="000D0D7C" w:rsidRDefault="000D0D7C" w:rsidP="00A3238D">
      <w:pPr>
        <w:rPr>
          <w:rFonts w:eastAsia="MS Mincho" w:cs="Arial"/>
          <w:bCs/>
        </w:rPr>
      </w:pPr>
    </w:p>
    <w:p w:rsidR="000D0D7C" w:rsidRPr="002068D9" w:rsidRDefault="000D0D7C" w:rsidP="00A3238D">
      <w:pPr>
        <w:rPr>
          <w:rFonts w:eastAsia="MS Mincho" w:cs="Arial"/>
          <w:bCs/>
        </w:rPr>
      </w:pPr>
    </w:p>
    <w:p w:rsidR="00D9475A" w:rsidRPr="0069310A" w:rsidRDefault="00D9475A" w:rsidP="00D9475A">
      <w:pPr>
        <w:spacing w:after="200" w:line="276" w:lineRule="auto"/>
        <w:jc w:val="left"/>
        <w:rPr>
          <w:rFonts w:ascii="Arial Negrito" w:eastAsia="Times New Roman" w:hAnsi="Arial Negrito" w:cs="Arial"/>
          <w:b/>
          <w:bCs/>
          <w:iCs/>
          <w:sz w:val="24"/>
          <w:lang w:eastAsia="pt-BR"/>
        </w:rPr>
      </w:pPr>
    </w:p>
    <w:sectPr w:rsidR="00D9475A" w:rsidRPr="0069310A" w:rsidSect="00363669">
      <w:headerReference w:type="default" r:id="rId243"/>
      <w:pgSz w:w="11906" w:h="16838" w:code="9"/>
      <w:pgMar w:top="1418" w:right="1134" w:bottom="1134" w:left="1418"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F2964" w:rsidRDefault="000F2964" w:rsidP="00C27659">
      <w:pPr>
        <w:spacing w:after="0"/>
      </w:pPr>
      <w:r>
        <w:separator/>
      </w:r>
    </w:p>
  </w:endnote>
  <w:endnote w:type="continuationSeparator" w:id="0">
    <w:p w:rsidR="000F2964" w:rsidRDefault="000F2964" w:rsidP="00C2765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egrito">
    <w:panose1 w:val="020B0704020202020204"/>
    <w:charset w:val="00"/>
    <w:family w:val="roman"/>
    <w:notTrueType/>
    <w:pitch w:val="default"/>
    <w:sig w:usb0="00000003" w:usb1="00000000" w:usb2="00000000" w:usb3="00000000" w:csb0="00000001" w:csb1="00000000"/>
  </w:font>
  <w:font w:name="Helvetica-Bold">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Frutiger-Cn">
    <w:altName w:val="Frutiger-Cn"/>
    <w:panose1 w:val="00000000000000000000"/>
    <w:charset w:val="00"/>
    <w:family w:val="swiss"/>
    <w:notTrueType/>
    <w:pitch w:val="default"/>
    <w:sig w:usb0="00000003" w:usb1="00000000" w:usb2="00000000" w:usb3="00000000" w:csb0="00000001" w:csb1="00000000"/>
  </w:font>
  <w:font w:name="Frutiger-Roman">
    <w:altName w:val="Frutiger-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43"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AdvPSNBAS-R">
    <w:panose1 w:val="00000000000000000000"/>
    <w:charset w:val="00"/>
    <w:family w:val="roman"/>
    <w:notTrueType/>
    <w:pitch w:val="default"/>
    <w:sig w:usb0="00000003" w:usb1="00000000" w:usb2="00000000" w:usb3="00000000" w:csb0="00000001" w:csb1="00000000"/>
  </w:font>
  <w:font w:name="FreeSans">
    <w:altName w:val="MS Mincho"/>
    <w:panose1 w:val="00000000000000000000"/>
    <w:charset w:val="80"/>
    <w:family w:val="auto"/>
    <w:notTrueType/>
    <w:pitch w:val="default"/>
    <w:sig w:usb0="00000001" w:usb1="08070000" w:usb2="00000010" w:usb3="00000000" w:csb0="00020000" w:csb1="00000000"/>
  </w:font>
  <w:font w:name="Times-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2964" w:rsidRPr="00596141" w:rsidRDefault="000F2964" w:rsidP="00373283">
    <w:pPr>
      <w:spacing w:line="200" w:lineRule="exact"/>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2964" w:rsidRDefault="000F2964" w:rsidP="002C7797">
    <w:pPr>
      <w:pStyle w:val="Rodap"/>
      <w:framePr w:wrap="around" w:vAnchor="text" w:hAnchor="margin" w:xAlign="right" w:y="1"/>
      <w:rPr>
        <w:rStyle w:val="Nmerodepgina"/>
      </w:rPr>
    </w:pPr>
    <w:r w:rsidRPr="00363669">
      <w:rPr>
        <w:rStyle w:val="Nmerodepgina"/>
        <w:sz w:val="18"/>
        <w:szCs w:val="18"/>
      </w:rPr>
      <w:t xml:space="preserve">Tomo 3- </w:t>
    </w:r>
    <w:r>
      <w:rPr>
        <w:rStyle w:val="Nmerodepgina"/>
      </w:rPr>
      <w:fldChar w:fldCharType="begin"/>
    </w:r>
    <w:r>
      <w:rPr>
        <w:rStyle w:val="Nmerodepgina"/>
      </w:rPr>
      <w:instrText xml:space="preserve">PAGE  </w:instrText>
    </w:r>
    <w:r>
      <w:rPr>
        <w:rStyle w:val="Nmerodepgina"/>
      </w:rPr>
      <w:fldChar w:fldCharType="separate"/>
    </w:r>
    <w:r w:rsidR="00797FA7">
      <w:rPr>
        <w:rStyle w:val="Nmerodepgina"/>
        <w:noProof/>
      </w:rPr>
      <w:t>153</w:t>
    </w:r>
    <w:r>
      <w:rPr>
        <w:rStyle w:val="Nmerodepgina"/>
      </w:rPr>
      <w:fldChar w:fldCharType="end"/>
    </w:r>
  </w:p>
  <w:p w:rsidR="000F2964" w:rsidRPr="002A789E" w:rsidRDefault="000F2964" w:rsidP="008F6E8B">
    <w:pPr>
      <w:pStyle w:val="Rodap"/>
      <w:pBdr>
        <w:top w:val="single" w:sz="8" w:space="0" w:color="auto"/>
      </w:pBdr>
      <w:rPr>
        <w:sz w:val="18"/>
        <w:szCs w:val="18"/>
      </w:rPr>
    </w:pPr>
    <w:r w:rsidRPr="002A789E">
      <w:rPr>
        <w:sz w:val="18"/>
        <w:szCs w:val="18"/>
      </w:rPr>
      <w:t>EIA Interligação Jaguari Atibainha.</w:t>
    </w:r>
    <w:r>
      <w:rPr>
        <w:sz w:val="18"/>
        <w:szCs w:val="18"/>
      </w:rPr>
      <w:t xml:space="preserve"> - </w:t>
    </w:r>
    <w:r w:rsidRPr="002A789E">
      <w:rPr>
        <w:sz w:val="18"/>
        <w:szCs w:val="18"/>
      </w:rPr>
      <w:t xml:space="preserve">Rev. 0. </w:t>
    </w:r>
    <w:r>
      <w:rPr>
        <w:sz w:val="18"/>
        <w:szCs w:val="18"/>
      </w:rPr>
      <w:t>20/02/2015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F2964" w:rsidRDefault="000F2964" w:rsidP="00C27659">
      <w:pPr>
        <w:spacing w:after="0"/>
      </w:pPr>
      <w:r>
        <w:separator/>
      </w:r>
    </w:p>
  </w:footnote>
  <w:footnote w:type="continuationSeparator" w:id="0">
    <w:p w:rsidR="000F2964" w:rsidRDefault="000F2964" w:rsidP="00C2765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2964" w:rsidRDefault="000F2964" w:rsidP="00373283">
    <w:pPr>
      <w:pStyle w:val="Cabealho"/>
      <w:ind w:left="8400"/>
      <w:jc w:val="right"/>
    </w:pPr>
    <w:r>
      <w:rPr>
        <w:noProof/>
        <w:lang w:eastAsia="pt-BR"/>
      </w:rPr>
      <w:drawing>
        <wp:inline distT="0" distB="0" distL="0" distR="0">
          <wp:extent cx="334645" cy="514985"/>
          <wp:effectExtent l="0" t="0" r="0" b="0"/>
          <wp:docPr id="369" name="Imagem 369"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0F2964" w:rsidTr="00142C84">
      <w:tc>
        <w:tcPr>
          <w:tcW w:w="4672" w:type="dxa"/>
        </w:tcPr>
        <w:p w:rsidR="000F2964" w:rsidRDefault="000F2964" w:rsidP="00174E55">
          <w:pPr>
            <w:pStyle w:val="Cabealho"/>
            <w:jc w:val="right"/>
          </w:pPr>
          <w:r>
            <w:rPr>
              <w:noProof/>
            </w:rPr>
            <w:drawing>
              <wp:anchor distT="0" distB="0" distL="114300" distR="114300" simplePos="0" relativeHeight="251658240" behindDoc="1" locked="0" layoutInCell="1" allowOverlap="1">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370"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4672" w:type="dxa"/>
        </w:tcPr>
        <w:p w:rsidR="000F2964" w:rsidRDefault="000F2964" w:rsidP="00174E55">
          <w:pPr>
            <w:pStyle w:val="Cabealho"/>
            <w:jc w:val="right"/>
          </w:pPr>
          <w:r>
            <w:rPr>
              <w:noProof/>
            </w:rPr>
            <w:drawing>
              <wp:inline distT="0" distB="0" distL="0" distR="0">
                <wp:extent cx="334645" cy="514985"/>
                <wp:effectExtent l="0" t="0" r="0" b="0"/>
                <wp:docPr id="371" name="Imagem 371"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0F2964" w:rsidRPr="00174E55" w:rsidRDefault="000F2964">
    <w:pPr>
      <w:pStyle w:val="Cabealho"/>
      <w:rPr>
        <w:sz w:val="12"/>
        <w:szCs w:val="1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4" w:space="0" w:color="auto"/>
      </w:tblBorders>
      <w:tblLook w:val="04A0" w:firstRow="1" w:lastRow="0" w:firstColumn="1" w:lastColumn="0" w:noHBand="0" w:noVBand="1"/>
    </w:tblPr>
    <w:tblGrid>
      <w:gridCol w:w="3449"/>
      <w:gridCol w:w="5905"/>
    </w:tblGrid>
    <w:tr w:rsidR="000F2964" w:rsidTr="00365780">
      <w:tc>
        <w:tcPr>
          <w:tcW w:w="4672" w:type="dxa"/>
        </w:tcPr>
        <w:p w:rsidR="000F2964" w:rsidRDefault="000F2964" w:rsidP="00365780">
          <w:pPr>
            <w:pStyle w:val="Cabealho"/>
            <w:jc w:val="right"/>
          </w:pPr>
          <w:r>
            <w:rPr>
              <w:noProof/>
              <w:lang w:eastAsia="pt-BR"/>
            </w:rPr>
            <w:drawing>
              <wp:anchor distT="0" distB="0" distL="114300" distR="114300" simplePos="0" relativeHeight="251661824" behindDoc="1" locked="0" layoutInCell="1" allowOverlap="1">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38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9787" w:type="dxa"/>
        </w:tcPr>
        <w:p w:rsidR="000F2964" w:rsidRDefault="000F2964" w:rsidP="00365780">
          <w:pPr>
            <w:pStyle w:val="Cabealho"/>
            <w:jc w:val="right"/>
          </w:pPr>
          <w:r>
            <w:rPr>
              <w:noProof/>
              <w:lang w:eastAsia="pt-BR"/>
            </w:rPr>
            <w:drawing>
              <wp:inline distT="0" distB="0" distL="0" distR="0">
                <wp:extent cx="334645" cy="514985"/>
                <wp:effectExtent l="0" t="0" r="0" b="0"/>
                <wp:docPr id="385" name="Imagem 385"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0F2964" w:rsidRPr="009D4D5B" w:rsidRDefault="000F2964">
    <w:pPr>
      <w:pStyle w:val="Cabealho"/>
      <w:rPr>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241F87"/>
    <w:multiLevelType w:val="hybridMultilevel"/>
    <w:tmpl w:val="4BC6654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
    <w:nsid w:val="090668F9"/>
    <w:multiLevelType w:val="hybridMultilevel"/>
    <w:tmpl w:val="D6C82DAE"/>
    <w:lvl w:ilvl="0" w:tplc="D8A4BA92">
      <w:start w:val="1"/>
      <w:numFmt w:val="lowerLetter"/>
      <w:lvlText w:val="%1)"/>
      <w:lvlJc w:val="left"/>
      <w:pPr>
        <w:ind w:left="720" w:hanging="360"/>
      </w:pPr>
      <w:rPr>
        <w:rFonts w:ascii="Arial" w:hAnsi="Arial" w:hint="default"/>
        <w:sz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9D13A21"/>
    <w:multiLevelType w:val="hybridMultilevel"/>
    <w:tmpl w:val="013CC3A8"/>
    <w:lvl w:ilvl="0" w:tplc="04160001">
      <w:start w:val="1"/>
      <w:numFmt w:val="bullet"/>
      <w:lvlText w:val=""/>
      <w:lvlJc w:val="left"/>
      <w:pPr>
        <w:ind w:left="720" w:hanging="360"/>
      </w:pPr>
      <w:rPr>
        <w:rFonts w:ascii="Symbol" w:hAnsi="Symbol" w:cs="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
    <w:nsid w:val="0BF44304"/>
    <w:multiLevelType w:val="hybridMultilevel"/>
    <w:tmpl w:val="59E89908"/>
    <w:lvl w:ilvl="0" w:tplc="04160015">
      <w:start w:val="1"/>
      <w:numFmt w:val="upp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
    <w:nsid w:val="145C318A"/>
    <w:multiLevelType w:val="hybridMultilevel"/>
    <w:tmpl w:val="4F7EEA84"/>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5">
    <w:nsid w:val="14744C33"/>
    <w:multiLevelType w:val="hybridMultilevel"/>
    <w:tmpl w:val="0526CD74"/>
    <w:lvl w:ilvl="0" w:tplc="E6D663FA">
      <w:start w:val="1"/>
      <w:numFmt w:val="upp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6">
    <w:nsid w:val="24936643"/>
    <w:multiLevelType w:val="multilevel"/>
    <w:tmpl w:val="E898C232"/>
    <w:styleLink w:val="Estilo1"/>
    <w:lvl w:ilvl="0">
      <w:start w:val="1"/>
      <w:numFmt w:val="decimal"/>
      <w:lvlText w:val="%1"/>
      <w:lvlJc w:val="left"/>
      <w:pPr>
        <w:ind w:left="1065" w:hanging="705"/>
      </w:pPr>
      <w:rPr>
        <w:rFonts w:hint="default"/>
      </w:rPr>
    </w:lvl>
    <w:lvl w:ilvl="1">
      <w:start w:val="1"/>
      <w:numFmt w:val="decimal"/>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nsid w:val="2C254DA0"/>
    <w:multiLevelType w:val="hybridMultilevel"/>
    <w:tmpl w:val="6CD23FBA"/>
    <w:lvl w:ilvl="0" w:tplc="E6D663FA">
      <w:start w:val="1"/>
      <w:numFmt w:val="upperLetter"/>
      <w:lvlText w:val="%1."/>
      <w:lvlJc w:val="left"/>
      <w:pPr>
        <w:ind w:left="1429" w:hanging="360"/>
      </w:pPr>
      <w:rPr>
        <w:rFonts w:hint="default"/>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8">
    <w:nsid w:val="2D7D4487"/>
    <w:multiLevelType w:val="hybridMultilevel"/>
    <w:tmpl w:val="ED5C6066"/>
    <w:lvl w:ilvl="0" w:tplc="04160001">
      <w:start w:val="1"/>
      <w:numFmt w:val="bullet"/>
      <w:lvlText w:val=""/>
      <w:lvlJc w:val="left"/>
      <w:pPr>
        <w:ind w:left="1429" w:hanging="360"/>
      </w:pPr>
      <w:rPr>
        <w:rFonts w:ascii="Symbol" w:hAnsi="Symbol" w:hint="default"/>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9">
    <w:nsid w:val="3BA620CA"/>
    <w:multiLevelType w:val="multilevel"/>
    <w:tmpl w:val="F2D8FD1E"/>
    <w:lvl w:ilvl="0">
      <w:start w:val="6"/>
      <w:numFmt w:val="decimal"/>
      <w:pStyle w:val="Ttulo1"/>
      <w:lvlText w:val="%1."/>
      <w:lvlJc w:val="left"/>
      <w:pPr>
        <w:tabs>
          <w:tab w:val="num" w:pos="0"/>
        </w:tabs>
        <w:ind w:left="0" w:firstLine="0"/>
      </w:pPr>
      <w:rPr>
        <w:rFonts w:ascii="Arial Negrito" w:hAnsi="Arial Negrito" w:hint="default"/>
        <w:b/>
        <w:i w:val="0"/>
        <w:strike w:val="0"/>
        <w:dstrike w:val="0"/>
        <w:color w:val="auto"/>
        <w:spacing w:val="0"/>
        <w:kern w:val="0"/>
        <w:position w:val="0"/>
        <w:sz w:val="24"/>
        <w:szCs w:val="24"/>
        <w:u w:val="none"/>
        <w:effect w:val="none"/>
      </w:rPr>
    </w:lvl>
    <w:lvl w:ilvl="1">
      <w:start w:val="1"/>
      <w:numFmt w:val="decimal"/>
      <w:pStyle w:val="Ttulo2"/>
      <w:lvlText w:val="%1.%2."/>
      <w:lvlJc w:val="left"/>
      <w:pPr>
        <w:tabs>
          <w:tab w:val="num" w:pos="0"/>
        </w:tabs>
        <w:ind w:left="720" w:hanging="720"/>
      </w:pPr>
      <w:rPr>
        <w:rFonts w:ascii="Arial Negrito" w:hAnsi="Arial Negrito" w:hint="default"/>
        <w:b/>
        <w:i w:val="0"/>
        <w:color w:val="auto"/>
        <w:sz w:val="24"/>
        <w:szCs w:val="22"/>
        <w:u w:val="none"/>
      </w:rPr>
    </w:lvl>
    <w:lvl w:ilvl="2">
      <w:start w:val="1"/>
      <w:numFmt w:val="decimal"/>
      <w:pStyle w:val="Ttulo3"/>
      <w:lvlText w:val="%1.%2.%3."/>
      <w:lvlJc w:val="left"/>
      <w:pPr>
        <w:tabs>
          <w:tab w:val="num" w:pos="0"/>
        </w:tabs>
        <w:ind w:left="0" w:firstLine="0"/>
      </w:pPr>
      <w:rPr>
        <w:rFonts w:ascii="Arial Negrito" w:hAnsi="Arial Negrito" w:hint="default"/>
        <w:b/>
        <w:i w:val="0"/>
        <w:color w:val="auto"/>
        <w:sz w:val="22"/>
        <w:szCs w:val="20"/>
        <w:u w:val="none"/>
      </w:rPr>
    </w:lvl>
    <w:lvl w:ilvl="3">
      <w:start w:val="1"/>
      <w:numFmt w:val="decimal"/>
      <w:pStyle w:val="Ttulo4"/>
      <w:lvlText w:val="%1.%2.%3.%4."/>
      <w:lvlJc w:val="left"/>
      <w:pPr>
        <w:tabs>
          <w:tab w:val="num" w:pos="992"/>
        </w:tabs>
        <w:ind w:left="0" w:firstLine="0"/>
      </w:pPr>
      <w:rPr>
        <w:rFonts w:ascii="Arial Negrito" w:hAnsi="Arial Negrito" w:hint="default"/>
        <w:b/>
        <w:i w:val="0"/>
        <w:sz w:val="22"/>
        <w:szCs w:val="18"/>
      </w:rPr>
    </w:lvl>
    <w:lvl w:ilvl="4">
      <w:start w:val="1"/>
      <w:numFmt w:val="decimal"/>
      <w:lvlText w:val="%1.%2.%3.%4.%5."/>
      <w:lvlJc w:val="left"/>
      <w:pPr>
        <w:tabs>
          <w:tab w:val="num" w:pos="2520"/>
        </w:tabs>
        <w:ind w:left="0" w:firstLine="0"/>
      </w:pPr>
      <w:rPr>
        <w:rFonts w:hint="default"/>
      </w:rPr>
    </w:lvl>
    <w:lvl w:ilvl="5">
      <w:start w:val="1"/>
      <w:numFmt w:val="decimal"/>
      <w:lvlText w:val="%1.%2.%3.%4.%5.%6."/>
      <w:lvlJc w:val="left"/>
      <w:pPr>
        <w:tabs>
          <w:tab w:val="num" w:pos="2880"/>
        </w:tabs>
        <w:ind w:left="0" w:firstLine="0"/>
      </w:pPr>
      <w:rPr>
        <w:rFonts w:hint="default"/>
      </w:rPr>
    </w:lvl>
    <w:lvl w:ilvl="6">
      <w:start w:val="1"/>
      <w:numFmt w:val="decimal"/>
      <w:lvlText w:val="%1.%2.%3.%4.%5.%6.%7."/>
      <w:lvlJc w:val="left"/>
      <w:pPr>
        <w:tabs>
          <w:tab w:val="num" w:pos="3600"/>
        </w:tabs>
        <w:ind w:left="0" w:firstLine="0"/>
      </w:pPr>
      <w:rPr>
        <w:rFonts w:hint="default"/>
      </w:rPr>
    </w:lvl>
    <w:lvl w:ilvl="7">
      <w:start w:val="1"/>
      <w:numFmt w:val="decimal"/>
      <w:lvlText w:val="%1.%2.%3.%4.%5.%6.%7.%8."/>
      <w:lvlJc w:val="left"/>
      <w:pPr>
        <w:tabs>
          <w:tab w:val="num" w:pos="3960"/>
        </w:tabs>
        <w:ind w:left="0" w:firstLine="0"/>
      </w:pPr>
      <w:rPr>
        <w:rFonts w:hint="default"/>
      </w:rPr>
    </w:lvl>
    <w:lvl w:ilvl="8">
      <w:start w:val="1"/>
      <w:numFmt w:val="decimal"/>
      <w:lvlText w:val="%1.%2.%3.%4.%5.%6.%7.%8.%9."/>
      <w:lvlJc w:val="left"/>
      <w:pPr>
        <w:tabs>
          <w:tab w:val="num" w:pos="4680"/>
        </w:tabs>
        <w:ind w:left="0" w:firstLine="0"/>
      </w:pPr>
      <w:rPr>
        <w:rFonts w:hint="default"/>
      </w:rPr>
    </w:lvl>
  </w:abstractNum>
  <w:abstractNum w:abstractNumId="10">
    <w:nsid w:val="3D7E52F6"/>
    <w:multiLevelType w:val="hybridMultilevel"/>
    <w:tmpl w:val="C8E23580"/>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1">
    <w:nsid w:val="3D8312DD"/>
    <w:multiLevelType w:val="hybridMultilevel"/>
    <w:tmpl w:val="EE16726A"/>
    <w:lvl w:ilvl="0" w:tplc="603C5A64">
      <w:start w:val="1"/>
      <w:numFmt w:val="bullet"/>
      <w:lvlText w:val=""/>
      <w:lvlJc w:val="left"/>
      <w:pPr>
        <w:ind w:left="720" w:hanging="360"/>
      </w:pPr>
      <w:rPr>
        <w:rFonts w:ascii="Symbol" w:hAnsi="Symbol" w:hint="default"/>
      </w:rPr>
    </w:lvl>
    <w:lvl w:ilvl="1" w:tplc="26108532" w:tentative="1">
      <w:start w:val="1"/>
      <w:numFmt w:val="bullet"/>
      <w:lvlText w:val="o"/>
      <w:lvlJc w:val="left"/>
      <w:pPr>
        <w:ind w:left="1440" w:hanging="360"/>
      </w:pPr>
      <w:rPr>
        <w:rFonts w:ascii="Courier New" w:hAnsi="Courier New" w:hint="default"/>
      </w:rPr>
    </w:lvl>
    <w:lvl w:ilvl="2" w:tplc="4B44CB32" w:tentative="1">
      <w:start w:val="1"/>
      <w:numFmt w:val="bullet"/>
      <w:lvlText w:val=""/>
      <w:lvlJc w:val="left"/>
      <w:pPr>
        <w:ind w:left="2160" w:hanging="360"/>
      </w:pPr>
      <w:rPr>
        <w:rFonts w:ascii="Wingdings" w:hAnsi="Wingdings" w:hint="default"/>
      </w:rPr>
    </w:lvl>
    <w:lvl w:ilvl="3" w:tplc="EE48F186" w:tentative="1">
      <w:start w:val="1"/>
      <w:numFmt w:val="bullet"/>
      <w:lvlText w:val=""/>
      <w:lvlJc w:val="left"/>
      <w:pPr>
        <w:ind w:left="2880" w:hanging="360"/>
      </w:pPr>
      <w:rPr>
        <w:rFonts w:ascii="Symbol" w:hAnsi="Symbol" w:hint="default"/>
      </w:rPr>
    </w:lvl>
    <w:lvl w:ilvl="4" w:tplc="6338D276" w:tentative="1">
      <w:start w:val="1"/>
      <w:numFmt w:val="bullet"/>
      <w:lvlText w:val="o"/>
      <w:lvlJc w:val="left"/>
      <w:pPr>
        <w:ind w:left="3600" w:hanging="360"/>
      </w:pPr>
      <w:rPr>
        <w:rFonts w:ascii="Courier New" w:hAnsi="Courier New" w:hint="default"/>
      </w:rPr>
    </w:lvl>
    <w:lvl w:ilvl="5" w:tplc="A8A44FB2" w:tentative="1">
      <w:start w:val="1"/>
      <w:numFmt w:val="bullet"/>
      <w:lvlText w:val=""/>
      <w:lvlJc w:val="left"/>
      <w:pPr>
        <w:ind w:left="4320" w:hanging="360"/>
      </w:pPr>
      <w:rPr>
        <w:rFonts w:ascii="Wingdings" w:hAnsi="Wingdings" w:hint="default"/>
      </w:rPr>
    </w:lvl>
    <w:lvl w:ilvl="6" w:tplc="F5CE812C" w:tentative="1">
      <w:start w:val="1"/>
      <w:numFmt w:val="bullet"/>
      <w:lvlText w:val=""/>
      <w:lvlJc w:val="left"/>
      <w:pPr>
        <w:ind w:left="5040" w:hanging="360"/>
      </w:pPr>
      <w:rPr>
        <w:rFonts w:ascii="Symbol" w:hAnsi="Symbol" w:hint="default"/>
      </w:rPr>
    </w:lvl>
    <w:lvl w:ilvl="7" w:tplc="17A67D9E" w:tentative="1">
      <w:start w:val="1"/>
      <w:numFmt w:val="bullet"/>
      <w:lvlText w:val="o"/>
      <w:lvlJc w:val="left"/>
      <w:pPr>
        <w:ind w:left="5760" w:hanging="360"/>
      </w:pPr>
      <w:rPr>
        <w:rFonts w:ascii="Courier New" w:hAnsi="Courier New" w:hint="default"/>
      </w:rPr>
    </w:lvl>
    <w:lvl w:ilvl="8" w:tplc="B8729CA2" w:tentative="1">
      <w:start w:val="1"/>
      <w:numFmt w:val="bullet"/>
      <w:lvlText w:val=""/>
      <w:lvlJc w:val="left"/>
      <w:pPr>
        <w:ind w:left="6480" w:hanging="360"/>
      </w:pPr>
      <w:rPr>
        <w:rFonts w:ascii="Wingdings" w:hAnsi="Wingdings" w:hint="default"/>
      </w:rPr>
    </w:lvl>
  </w:abstractNum>
  <w:abstractNum w:abstractNumId="12">
    <w:nsid w:val="3DD13A3E"/>
    <w:multiLevelType w:val="hybridMultilevel"/>
    <w:tmpl w:val="4E1E24C6"/>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3">
    <w:nsid w:val="431373CC"/>
    <w:multiLevelType w:val="hybridMultilevel"/>
    <w:tmpl w:val="66F06BCE"/>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4">
    <w:nsid w:val="445A01BE"/>
    <w:multiLevelType w:val="multilevel"/>
    <w:tmpl w:val="13749E96"/>
    <w:lvl w:ilvl="0">
      <w:start w:val="1"/>
      <w:numFmt w:val="decimal"/>
      <w:lvlText w:val="%1."/>
      <w:lvlJc w:val="left"/>
      <w:pPr>
        <w:ind w:left="1069" w:hanging="360"/>
      </w:pPr>
      <w:rPr>
        <w:rFonts w:hint="default"/>
        <w:i w:val="0"/>
        <w:iCs w:val="0"/>
        <w:caps w:val="0"/>
        <w:smallCaps w:val="0"/>
        <w:strike w:val="0"/>
        <w:dstrike w:val="0"/>
        <w:vanish w:val="0"/>
        <w:color w:val="000000"/>
        <w:spacing w:val="0"/>
        <w:kern w:val="0"/>
        <w:position w:val="0"/>
        <w:u w:val="none"/>
        <w:effect w:val="none"/>
        <w:vertAlign w:val="baseline"/>
        <w:em w:val="none"/>
      </w:rPr>
    </w:lvl>
    <w:lvl w:ilvl="1">
      <w:start w:val="1"/>
      <w:numFmt w:val="decimal"/>
      <w:pStyle w:val="Titulo2"/>
      <w:isLgl/>
      <w:lvlText w:val="%1.%2."/>
      <w:lvlJc w:val="left"/>
      <w:pPr>
        <w:ind w:left="1004"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5">
    <w:nsid w:val="44DB4C57"/>
    <w:multiLevelType w:val="hybridMultilevel"/>
    <w:tmpl w:val="19DEA378"/>
    <w:lvl w:ilvl="0" w:tplc="EEE2078E">
      <w:start w:val="1"/>
      <w:numFmt w:val="decimal"/>
      <w:lvlText w:val="%1."/>
      <w:lvlJc w:val="left"/>
      <w:pPr>
        <w:ind w:left="720" w:hanging="360"/>
      </w:pPr>
      <w:rPr>
        <w:rFonts w:cs="Helvetica-Bold"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53066160"/>
    <w:multiLevelType w:val="hybridMultilevel"/>
    <w:tmpl w:val="F9806DBC"/>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7">
    <w:nsid w:val="57A81E8A"/>
    <w:multiLevelType w:val="hybridMultilevel"/>
    <w:tmpl w:val="5370813C"/>
    <w:lvl w:ilvl="0" w:tplc="92400DA8">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
    <w:nsid w:val="5842240A"/>
    <w:multiLevelType w:val="hybridMultilevel"/>
    <w:tmpl w:val="7940F950"/>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9">
    <w:nsid w:val="59DD449F"/>
    <w:multiLevelType w:val="multilevel"/>
    <w:tmpl w:val="0416001D"/>
    <w:styleLink w:val="Probiota"/>
    <w:lvl w:ilvl="0">
      <w:start w:val="1"/>
      <w:numFmt w:val="decimal"/>
      <w:lvlText w:val="%1)"/>
      <w:lvlJc w:val="left"/>
      <w:pPr>
        <w:ind w:left="360" w:hanging="360"/>
      </w:pPr>
      <w:rPr>
        <w:rFonts w:ascii="Arial Negrito" w:hAnsi="Arial Negrito"/>
        <w:b/>
        <w:i w:val="0"/>
        <w:caps/>
        <w:smallCaps w:val="0"/>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nsid w:val="5B8D7FAB"/>
    <w:multiLevelType w:val="hybridMultilevel"/>
    <w:tmpl w:val="C8D88BCC"/>
    <w:lvl w:ilvl="0" w:tplc="2D801414">
      <w:start w:val="1"/>
      <w:numFmt w:val="lowerLetter"/>
      <w:lvlText w:val="%1)"/>
      <w:lvlJc w:val="left"/>
      <w:pPr>
        <w:ind w:left="360" w:hanging="360"/>
      </w:pPr>
      <w:rPr>
        <w:rFonts w:hint="default"/>
        <w:b/>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1">
    <w:nsid w:val="62A927F9"/>
    <w:multiLevelType w:val="hybridMultilevel"/>
    <w:tmpl w:val="C9684024"/>
    <w:lvl w:ilvl="0" w:tplc="E77C1C98">
      <w:start w:val="1"/>
      <w:numFmt w:val="upperLetter"/>
      <w:lvlText w:val="%1."/>
      <w:lvlJc w:val="left"/>
      <w:pPr>
        <w:ind w:left="1068" w:hanging="360"/>
      </w:p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2">
    <w:nsid w:val="63504855"/>
    <w:multiLevelType w:val="hybridMultilevel"/>
    <w:tmpl w:val="0526CD74"/>
    <w:lvl w:ilvl="0" w:tplc="E6D663FA">
      <w:start w:val="1"/>
      <w:numFmt w:val="upp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3">
    <w:nsid w:val="65D02144"/>
    <w:multiLevelType w:val="multilevel"/>
    <w:tmpl w:val="685C0A4A"/>
    <w:lvl w:ilvl="0">
      <w:start w:val="1"/>
      <w:numFmt w:val="decimal"/>
      <w:pStyle w:val="PNMT-SubTitulo"/>
      <w:lvlText w:val="%1."/>
      <w:lvlJc w:val="left"/>
      <w:pPr>
        <w:ind w:left="700" w:hanging="360"/>
      </w:pPr>
    </w:lvl>
    <w:lvl w:ilvl="1">
      <w:start w:val="1"/>
      <w:numFmt w:val="decimal"/>
      <w:pStyle w:val="PNMT-Topico"/>
      <w:lvlText w:val="%1.%2."/>
      <w:lvlJc w:val="left"/>
      <w:pPr>
        <w:ind w:left="1132" w:hanging="432"/>
      </w:pPr>
    </w:lvl>
    <w:lvl w:ilvl="2">
      <w:start w:val="1"/>
      <w:numFmt w:val="decimal"/>
      <w:pStyle w:val="PNMT-SubTopico"/>
      <w:lvlText w:val="%1.%2.%3."/>
      <w:lvlJc w:val="left"/>
      <w:pPr>
        <w:ind w:left="1564" w:hanging="504"/>
      </w:pPr>
    </w:lvl>
    <w:lvl w:ilvl="3">
      <w:start w:val="1"/>
      <w:numFmt w:val="decimal"/>
      <w:lvlText w:val="%1.%2.%3.%4."/>
      <w:lvlJc w:val="left"/>
      <w:pPr>
        <w:ind w:left="2068" w:hanging="648"/>
      </w:pPr>
    </w:lvl>
    <w:lvl w:ilvl="4">
      <w:start w:val="1"/>
      <w:numFmt w:val="decimal"/>
      <w:lvlText w:val="%1.%2.%3.%4.%5."/>
      <w:lvlJc w:val="left"/>
      <w:pPr>
        <w:ind w:left="2572" w:hanging="792"/>
      </w:pPr>
    </w:lvl>
    <w:lvl w:ilvl="5">
      <w:start w:val="1"/>
      <w:numFmt w:val="decimal"/>
      <w:lvlText w:val="%1.%2.%3.%4.%5.%6."/>
      <w:lvlJc w:val="left"/>
      <w:pPr>
        <w:ind w:left="3076" w:hanging="936"/>
      </w:pPr>
    </w:lvl>
    <w:lvl w:ilvl="6">
      <w:start w:val="1"/>
      <w:numFmt w:val="decimal"/>
      <w:lvlText w:val="%1.%2.%3.%4.%5.%6.%7."/>
      <w:lvlJc w:val="left"/>
      <w:pPr>
        <w:ind w:left="3580" w:hanging="1080"/>
      </w:pPr>
    </w:lvl>
    <w:lvl w:ilvl="7">
      <w:start w:val="1"/>
      <w:numFmt w:val="decimal"/>
      <w:lvlText w:val="%1.%2.%3.%4.%5.%6.%7.%8."/>
      <w:lvlJc w:val="left"/>
      <w:pPr>
        <w:ind w:left="4084" w:hanging="1224"/>
      </w:pPr>
    </w:lvl>
    <w:lvl w:ilvl="8">
      <w:start w:val="1"/>
      <w:numFmt w:val="decimal"/>
      <w:lvlText w:val="%1.%2.%3.%4.%5.%6.%7.%8.%9."/>
      <w:lvlJc w:val="left"/>
      <w:pPr>
        <w:ind w:left="4660" w:hanging="1440"/>
      </w:pPr>
    </w:lvl>
  </w:abstractNum>
  <w:abstractNum w:abstractNumId="24">
    <w:nsid w:val="65D15430"/>
    <w:multiLevelType w:val="hybridMultilevel"/>
    <w:tmpl w:val="D9063390"/>
    <w:lvl w:ilvl="0" w:tplc="E6D663FA">
      <w:start w:val="1"/>
      <w:numFmt w:val="upperLetter"/>
      <w:lvlText w:val="%1."/>
      <w:lvlJc w:val="left"/>
      <w:pPr>
        <w:ind w:left="1429" w:hanging="360"/>
      </w:pPr>
      <w:rPr>
        <w:rFonts w:hint="default"/>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5">
    <w:nsid w:val="66F0422A"/>
    <w:multiLevelType w:val="singleLevel"/>
    <w:tmpl w:val="9F7E0C72"/>
    <w:lvl w:ilvl="0">
      <w:start w:val="1"/>
      <w:numFmt w:val="bullet"/>
      <w:pStyle w:val="Remissivo9"/>
      <w:lvlText w:val="*"/>
      <w:lvlJc w:val="left"/>
      <w:pPr>
        <w:tabs>
          <w:tab w:val="num" w:pos="0"/>
        </w:tabs>
        <w:ind w:left="1757" w:hanging="425"/>
      </w:pPr>
      <w:rPr>
        <w:rFonts w:ascii="Times New Roman" w:hAnsi="Times New Roman" w:hint="default"/>
        <w:sz w:val="16"/>
      </w:rPr>
    </w:lvl>
  </w:abstractNum>
  <w:abstractNum w:abstractNumId="26">
    <w:nsid w:val="69424CB6"/>
    <w:multiLevelType w:val="hybridMultilevel"/>
    <w:tmpl w:val="4734F3A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nsid w:val="6A12778F"/>
    <w:multiLevelType w:val="hybridMultilevel"/>
    <w:tmpl w:val="9B5EE822"/>
    <w:lvl w:ilvl="0" w:tplc="04160001">
      <w:start w:val="1"/>
      <w:numFmt w:val="bullet"/>
      <w:lvlText w:val=""/>
      <w:lvlJc w:val="left"/>
      <w:pPr>
        <w:ind w:left="360" w:hanging="360"/>
      </w:pPr>
      <w:rPr>
        <w:rFonts w:ascii="Symbol" w:hAnsi="Symbol" w:hint="default"/>
      </w:rPr>
    </w:lvl>
    <w:lvl w:ilvl="1" w:tplc="220C9C18">
      <w:start w:val="1"/>
      <w:numFmt w:val="bullet"/>
      <w:lvlText w:val="­"/>
      <w:lvlJc w:val="left"/>
      <w:pPr>
        <w:ind w:left="1080" w:hanging="360"/>
      </w:pPr>
      <w:rPr>
        <w:rFonts w:ascii="Courier New" w:hAnsi="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8">
    <w:nsid w:val="6B9D2921"/>
    <w:multiLevelType w:val="hybridMultilevel"/>
    <w:tmpl w:val="A21E0C4C"/>
    <w:lvl w:ilvl="0" w:tplc="65FE43BA">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6F777C65"/>
    <w:multiLevelType w:val="hybridMultilevel"/>
    <w:tmpl w:val="0526CD74"/>
    <w:lvl w:ilvl="0" w:tplc="E6D663FA">
      <w:start w:val="1"/>
      <w:numFmt w:val="upp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30">
    <w:nsid w:val="72160D76"/>
    <w:multiLevelType w:val="hybridMultilevel"/>
    <w:tmpl w:val="151426F8"/>
    <w:lvl w:ilvl="0" w:tplc="04160015">
      <w:start w:val="1"/>
      <w:numFmt w:val="upp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31">
    <w:nsid w:val="72992BDD"/>
    <w:multiLevelType w:val="hybridMultilevel"/>
    <w:tmpl w:val="C9684024"/>
    <w:lvl w:ilvl="0" w:tplc="E77C1C98">
      <w:start w:val="1"/>
      <w:numFmt w:val="upperLetter"/>
      <w:lvlText w:val="%1."/>
      <w:lvlJc w:val="left"/>
      <w:pPr>
        <w:ind w:left="1068" w:hanging="360"/>
      </w:p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2">
    <w:nsid w:val="754229F2"/>
    <w:multiLevelType w:val="hybridMultilevel"/>
    <w:tmpl w:val="BB2657C6"/>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3">
    <w:nsid w:val="79894259"/>
    <w:multiLevelType w:val="hybridMultilevel"/>
    <w:tmpl w:val="47B68390"/>
    <w:lvl w:ilvl="0" w:tplc="92400DA8">
      <w:start w:val="1"/>
      <w:numFmt w:val="decimal"/>
      <w:lvlText w:val="%1."/>
      <w:lvlJc w:val="left"/>
      <w:pPr>
        <w:tabs>
          <w:tab w:val="num" w:pos="720"/>
        </w:tabs>
        <w:ind w:left="720" w:hanging="360"/>
      </w:p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34">
    <w:nsid w:val="7C7556E0"/>
    <w:multiLevelType w:val="hybridMultilevel"/>
    <w:tmpl w:val="2B12CDF2"/>
    <w:lvl w:ilvl="0" w:tplc="0416000F">
      <w:start w:val="1"/>
      <w:numFmt w:val="decimal"/>
      <w:lvlText w:val="%1."/>
      <w:lvlJc w:val="left"/>
      <w:pPr>
        <w:tabs>
          <w:tab w:val="num" w:pos="0"/>
        </w:tabs>
        <w:ind w:left="360" w:hanging="360"/>
      </w:pPr>
      <w:rPr>
        <w:rFonts w:ascii="Arial" w:hAnsi="Arial" w:cs="Arial" w:hint="default"/>
        <w:sz w:val="22"/>
        <w:szCs w:val="22"/>
      </w:rPr>
    </w:lvl>
    <w:lvl w:ilvl="1" w:tplc="04160019">
      <w:start w:val="1"/>
      <w:numFmt w:val="lowerLetter"/>
      <w:lvlText w:val="%2."/>
      <w:lvlJc w:val="left"/>
      <w:pPr>
        <w:ind w:left="1080" w:hanging="360"/>
      </w:pPr>
      <w:rPr>
        <w:rFonts w:cs="Times New Roman"/>
      </w:rPr>
    </w:lvl>
    <w:lvl w:ilvl="2" w:tplc="0416001B" w:tentative="1">
      <w:start w:val="1"/>
      <w:numFmt w:val="lowerRoman"/>
      <w:lvlText w:val="%3."/>
      <w:lvlJc w:val="right"/>
      <w:pPr>
        <w:ind w:left="1800" w:hanging="180"/>
      </w:pPr>
      <w:rPr>
        <w:rFonts w:cs="Times New Roman"/>
      </w:rPr>
    </w:lvl>
    <w:lvl w:ilvl="3" w:tplc="0416000F" w:tentative="1">
      <w:start w:val="1"/>
      <w:numFmt w:val="decimal"/>
      <w:lvlText w:val="%4."/>
      <w:lvlJc w:val="left"/>
      <w:pPr>
        <w:ind w:left="2520" w:hanging="360"/>
      </w:pPr>
      <w:rPr>
        <w:rFonts w:cs="Times New Roman"/>
      </w:rPr>
    </w:lvl>
    <w:lvl w:ilvl="4" w:tplc="04160019" w:tentative="1">
      <w:start w:val="1"/>
      <w:numFmt w:val="lowerLetter"/>
      <w:lvlText w:val="%5."/>
      <w:lvlJc w:val="left"/>
      <w:pPr>
        <w:ind w:left="3240" w:hanging="360"/>
      </w:pPr>
      <w:rPr>
        <w:rFonts w:cs="Times New Roman"/>
      </w:rPr>
    </w:lvl>
    <w:lvl w:ilvl="5" w:tplc="0416001B" w:tentative="1">
      <w:start w:val="1"/>
      <w:numFmt w:val="lowerRoman"/>
      <w:lvlText w:val="%6."/>
      <w:lvlJc w:val="right"/>
      <w:pPr>
        <w:ind w:left="3960" w:hanging="180"/>
      </w:pPr>
      <w:rPr>
        <w:rFonts w:cs="Times New Roman"/>
      </w:rPr>
    </w:lvl>
    <w:lvl w:ilvl="6" w:tplc="0416000F" w:tentative="1">
      <w:start w:val="1"/>
      <w:numFmt w:val="decimal"/>
      <w:lvlText w:val="%7."/>
      <w:lvlJc w:val="left"/>
      <w:pPr>
        <w:ind w:left="4680" w:hanging="360"/>
      </w:pPr>
      <w:rPr>
        <w:rFonts w:cs="Times New Roman"/>
      </w:rPr>
    </w:lvl>
    <w:lvl w:ilvl="7" w:tplc="04160019" w:tentative="1">
      <w:start w:val="1"/>
      <w:numFmt w:val="lowerLetter"/>
      <w:lvlText w:val="%8."/>
      <w:lvlJc w:val="left"/>
      <w:pPr>
        <w:ind w:left="5400" w:hanging="360"/>
      </w:pPr>
      <w:rPr>
        <w:rFonts w:cs="Times New Roman"/>
      </w:rPr>
    </w:lvl>
    <w:lvl w:ilvl="8" w:tplc="0416001B" w:tentative="1">
      <w:start w:val="1"/>
      <w:numFmt w:val="lowerRoman"/>
      <w:lvlText w:val="%9."/>
      <w:lvlJc w:val="right"/>
      <w:pPr>
        <w:ind w:left="6120" w:hanging="180"/>
      </w:pPr>
      <w:rPr>
        <w:rFonts w:cs="Times New Roman"/>
      </w:rPr>
    </w:lvl>
  </w:abstractNum>
  <w:abstractNum w:abstractNumId="35">
    <w:nsid w:val="7F1066A2"/>
    <w:multiLevelType w:val="hybridMultilevel"/>
    <w:tmpl w:val="5808A1DA"/>
    <w:lvl w:ilvl="0" w:tplc="DFA2E5CA">
      <w:start w:val="1"/>
      <w:numFmt w:val="bullet"/>
      <w:lvlText w:val=""/>
      <w:lvlJc w:val="left"/>
      <w:pPr>
        <w:tabs>
          <w:tab w:val="num" w:pos="720"/>
        </w:tabs>
        <w:ind w:left="720" w:hanging="360"/>
      </w:pPr>
      <w:rPr>
        <w:rFonts w:ascii="Symbol" w:hAnsi="Symbol" w:hint="default"/>
      </w:rPr>
    </w:lvl>
    <w:lvl w:ilvl="1" w:tplc="04160019" w:tentative="1">
      <w:start w:val="1"/>
      <w:numFmt w:val="bullet"/>
      <w:lvlText w:val="o"/>
      <w:lvlJc w:val="left"/>
      <w:pPr>
        <w:tabs>
          <w:tab w:val="num" w:pos="1440"/>
        </w:tabs>
        <w:ind w:left="1440" w:hanging="360"/>
      </w:pPr>
      <w:rPr>
        <w:rFonts w:ascii="Courier New" w:hAnsi="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4"/>
  </w:num>
  <w:num w:numId="3">
    <w:abstractNumId w:val="18"/>
  </w:num>
  <w:num w:numId="4">
    <w:abstractNumId w:val="32"/>
  </w:num>
  <w:num w:numId="5">
    <w:abstractNumId w:val="23"/>
  </w:num>
  <w:num w:numId="6">
    <w:abstractNumId w:val="29"/>
  </w:num>
  <w:num w:numId="7">
    <w:abstractNumId w:val="1"/>
  </w:num>
  <w:num w:numId="8">
    <w:abstractNumId w:val="6"/>
  </w:num>
  <w:num w:numId="9">
    <w:abstractNumId w:val="10"/>
  </w:num>
  <w:num w:numId="10">
    <w:abstractNumId w:val="25"/>
  </w:num>
  <w:num w:numId="11">
    <w:abstractNumId w:val="19"/>
  </w:num>
  <w:num w:numId="12">
    <w:abstractNumId w:val="0"/>
  </w:num>
  <w:num w:numId="13">
    <w:abstractNumId w:val="5"/>
  </w:num>
  <w:num w:numId="14">
    <w:abstractNumId w:val="22"/>
  </w:num>
  <w:num w:numId="15">
    <w:abstractNumId w:val="16"/>
  </w:num>
  <w:num w:numId="16">
    <w:abstractNumId w:val="20"/>
  </w:num>
  <w:num w:numId="17">
    <w:abstractNumId w:val="31"/>
  </w:num>
  <w:num w:numId="18">
    <w:abstractNumId w:val="9"/>
  </w:num>
  <w:num w:numId="19">
    <w:abstractNumId w:val="33"/>
  </w:num>
  <w:num w:numId="20">
    <w:abstractNumId w:val="17"/>
  </w:num>
  <w:num w:numId="21">
    <w:abstractNumId w:val="11"/>
  </w:num>
  <w:num w:numId="22">
    <w:abstractNumId w:val="35"/>
  </w:num>
  <w:num w:numId="23">
    <w:abstractNumId w:val="34"/>
  </w:num>
  <w:num w:numId="24">
    <w:abstractNumId w:val="34"/>
    <w:lvlOverride w:ilvl="0">
      <w:startOverride w:val="4"/>
    </w:lvlOverride>
  </w:num>
  <w:num w:numId="25">
    <w:abstractNumId w:val="21"/>
  </w:num>
  <w:num w:numId="26">
    <w:abstractNumId w:val="12"/>
  </w:num>
  <w:num w:numId="27">
    <w:abstractNumId w:val="13"/>
  </w:num>
  <w:num w:numId="28">
    <w:abstractNumId w:val="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5"/>
  </w:num>
  <w:num w:numId="31">
    <w:abstractNumId w:val="28"/>
  </w:num>
  <w:num w:numId="32">
    <w:abstractNumId w:val="26"/>
  </w:num>
  <w:num w:numId="33">
    <w:abstractNumId w:val="4"/>
  </w:num>
  <w:num w:numId="34">
    <w:abstractNumId w:val="8"/>
  </w:num>
  <w:num w:numId="35">
    <w:abstractNumId w:val="30"/>
  </w:num>
  <w:num w:numId="36">
    <w:abstractNumId w:val="3"/>
  </w:num>
  <w:num w:numId="37">
    <w:abstractNumId w:val="27"/>
  </w:num>
  <w:num w:numId="38">
    <w:abstractNumId w:val="7"/>
  </w:num>
  <w:num w:numId="39">
    <w:abstractNumId w:val="2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70EB"/>
    <w:rsid w:val="000005A0"/>
    <w:rsid w:val="000006C8"/>
    <w:rsid w:val="00001E09"/>
    <w:rsid w:val="00002429"/>
    <w:rsid w:val="00002970"/>
    <w:rsid w:val="000034AB"/>
    <w:rsid w:val="00004042"/>
    <w:rsid w:val="00005BB5"/>
    <w:rsid w:val="00006214"/>
    <w:rsid w:val="00006542"/>
    <w:rsid w:val="000108B1"/>
    <w:rsid w:val="00011143"/>
    <w:rsid w:val="00012799"/>
    <w:rsid w:val="00017C6A"/>
    <w:rsid w:val="000203AD"/>
    <w:rsid w:val="000204F9"/>
    <w:rsid w:val="00020886"/>
    <w:rsid w:val="00022ED1"/>
    <w:rsid w:val="0002340C"/>
    <w:rsid w:val="00025CD8"/>
    <w:rsid w:val="00026EF9"/>
    <w:rsid w:val="0003001C"/>
    <w:rsid w:val="00031E14"/>
    <w:rsid w:val="000409B0"/>
    <w:rsid w:val="00040DC7"/>
    <w:rsid w:val="000410D9"/>
    <w:rsid w:val="00042A6C"/>
    <w:rsid w:val="00042F5B"/>
    <w:rsid w:val="00043C82"/>
    <w:rsid w:val="0004496F"/>
    <w:rsid w:val="00045D13"/>
    <w:rsid w:val="0004735B"/>
    <w:rsid w:val="000476A0"/>
    <w:rsid w:val="00050649"/>
    <w:rsid w:val="00050810"/>
    <w:rsid w:val="00051E6C"/>
    <w:rsid w:val="00052688"/>
    <w:rsid w:val="00052C33"/>
    <w:rsid w:val="00053E97"/>
    <w:rsid w:val="00056696"/>
    <w:rsid w:val="00056B4B"/>
    <w:rsid w:val="00064FDF"/>
    <w:rsid w:val="00071040"/>
    <w:rsid w:val="00075FA0"/>
    <w:rsid w:val="00076F69"/>
    <w:rsid w:val="000809A3"/>
    <w:rsid w:val="00083B59"/>
    <w:rsid w:val="00085431"/>
    <w:rsid w:val="00086DFF"/>
    <w:rsid w:val="0009011D"/>
    <w:rsid w:val="0009181A"/>
    <w:rsid w:val="00091E45"/>
    <w:rsid w:val="00092413"/>
    <w:rsid w:val="0009512A"/>
    <w:rsid w:val="00095AA3"/>
    <w:rsid w:val="00096383"/>
    <w:rsid w:val="000A0783"/>
    <w:rsid w:val="000A0BA1"/>
    <w:rsid w:val="000A165D"/>
    <w:rsid w:val="000A2E12"/>
    <w:rsid w:val="000A30B4"/>
    <w:rsid w:val="000A41C3"/>
    <w:rsid w:val="000A49F3"/>
    <w:rsid w:val="000A564F"/>
    <w:rsid w:val="000A6ED0"/>
    <w:rsid w:val="000B0216"/>
    <w:rsid w:val="000B3F1C"/>
    <w:rsid w:val="000B4926"/>
    <w:rsid w:val="000B5434"/>
    <w:rsid w:val="000B6DEE"/>
    <w:rsid w:val="000C0171"/>
    <w:rsid w:val="000C2C21"/>
    <w:rsid w:val="000C50CE"/>
    <w:rsid w:val="000C6B88"/>
    <w:rsid w:val="000D0514"/>
    <w:rsid w:val="000D0D7C"/>
    <w:rsid w:val="000D34DB"/>
    <w:rsid w:val="000D5132"/>
    <w:rsid w:val="000D62F1"/>
    <w:rsid w:val="000D6407"/>
    <w:rsid w:val="000D7272"/>
    <w:rsid w:val="000E00C8"/>
    <w:rsid w:val="000E0142"/>
    <w:rsid w:val="000E038D"/>
    <w:rsid w:val="000E0E50"/>
    <w:rsid w:val="000E10CE"/>
    <w:rsid w:val="000E11D4"/>
    <w:rsid w:val="000E436E"/>
    <w:rsid w:val="000E58AB"/>
    <w:rsid w:val="000E6996"/>
    <w:rsid w:val="000F2964"/>
    <w:rsid w:val="000F7CC9"/>
    <w:rsid w:val="00102D7C"/>
    <w:rsid w:val="00103511"/>
    <w:rsid w:val="00107011"/>
    <w:rsid w:val="00107A66"/>
    <w:rsid w:val="00107D9D"/>
    <w:rsid w:val="001103F0"/>
    <w:rsid w:val="00110FB2"/>
    <w:rsid w:val="00113578"/>
    <w:rsid w:val="00113A24"/>
    <w:rsid w:val="00116E36"/>
    <w:rsid w:val="00116E93"/>
    <w:rsid w:val="00120FB0"/>
    <w:rsid w:val="00122789"/>
    <w:rsid w:val="00125D6F"/>
    <w:rsid w:val="00126B87"/>
    <w:rsid w:val="001274BD"/>
    <w:rsid w:val="00127797"/>
    <w:rsid w:val="001314DF"/>
    <w:rsid w:val="001314F1"/>
    <w:rsid w:val="00131C18"/>
    <w:rsid w:val="00136188"/>
    <w:rsid w:val="00142C84"/>
    <w:rsid w:val="00143342"/>
    <w:rsid w:val="00143675"/>
    <w:rsid w:val="00143E59"/>
    <w:rsid w:val="001445CB"/>
    <w:rsid w:val="0014492A"/>
    <w:rsid w:val="00145097"/>
    <w:rsid w:val="001474CF"/>
    <w:rsid w:val="0014794C"/>
    <w:rsid w:val="00147F1E"/>
    <w:rsid w:val="00150176"/>
    <w:rsid w:val="00152AB2"/>
    <w:rsid w:val="00153CC8"/>
    <w:rsid w:val="00155D65"/>
    <w:rsid w:val="00164D83"/>
    <w:rsid w:val="001652B7"/>
    <w:rsid w:val="0017290C"/>
    <w:rsid w:val="001739D1"/>
    <w:rsid w:val="00173BE7"/>
    <w:rsid w:val="00173D80"/>
    <w:rsid w:val="00174E55"/>
    <w:rsid w:val="00176FF5"/>
    <w:rsid w:val="00184091"/>
    <w:rsid w:val="00184D3D"/>
    <w:rsid w:val="00186458"/>
    <w:rsid w:val="00186F55"/>
    <w:rsid w:val="00195B96"/>
    <w:rsid w:val="001966EE"/>
    <w:rsid w:val="001A1177"/>
    <w:rsid w:val="001A24B4"/>
    <w:rsid w:val="001A666B"/>
    <w:rsid w:val="001B0490"/>
    <w:rsid w:val="001B1ABF"/>
    <w:rsid w:val="001B3804"/>
    <w:rsid w:val="001C10BB"/>
    <w:rsid w:val="001C4B43"/>
    <w:rsid w:val="001C7DBB"/>
    <w:rsid w:val="001D0D8B"/>
    <w:rsid w:val="001D0FED"/>
    <w:rsid w:val="001D1BD9"/>
    <w:rsid w:val="001D3B21"/>
    <w:rsid w:val="001D4D3F"/>
    <w:rsid w:val="001E5362"/>
    <w:rsid w:val="001E5913"/>
    <w:rsid w:val="001E6A8C"/>
    <w:rsid w:val="001F06A8"/>
    <w:rsid w:val="001F0EB3"/>
    <w:rsid w:val="001F251D"/>
    <w:rsid w:val="001F2B0E"/>
    <w:rsid w:val="001F6C6C"/>
    <w:rsid w:val="001F7014"/>
    <w:rsid w:val="00200A8F"/>
    <w:rsid w:val="002029F0"/>
    <w:rsid w:val="002031E2"/>
    <w:rsid w:val="00203301"/>
    <w:rsid w:val="002041AF"/>
    <w:rsid w:val="002041CD"/>
    <w:rsid w:val="0020545F"/>
    <w:rsid w:val="0021052C"/>
    <w:rsid w:val="00210979"/>
    <w:rsid w:val="00212C0B"/>
    <w:rsid w:val="002146FB"/>
    <w:rsid w:val="002200E2"/>
    <w:rsid w:val="00220C8C"/>
    <w:rsid w:val="00223857"/>
    <w:rsid w:val="00227051"/>
    <w:rsid w:val="00227740"/>
    <w:rsid w:val="0023044E"/>
    <w:rsid w:val="002305CA"/>
    <w:rsid w:val="00233E6D"/>
    <w:rsid w:val="00234964"/>
    <w:rsid w:val="00235F86"/>
    <w:rsid w:val="002400F4"/>
    <w:rsid w:val="00245262"/>
    <w:rsid w:val="00246F39"/>
    <w:rsid w:val="00250EA8"/>
    <w:rsid w:val="00253269"/>
    <w:rsid w:val="00253E44"/>
    <w:rsid w:val="002560CB"/>
    <w:rsid w:val="00256E4D"/>
    <w:rsid w:val="0025760B"/>
    <w:rsid w:val="00260E01"/>
    <w:rsid w:val="00261AD0"/>
    <w:rsid w:val="00262BCD"/>
    <w:rsid w:val="0026439B"/>
    <w:rsid w:val="00264A1D"/>
    <w:rsid w:val="0026570F"/>
    <w:rsid w:val="00265715"/>
    <w:rsid w:val="00266719"/>
    <w:rsid w:val="00270EBE"/>
    <w:rsid w:val="00274DE9"/>
    <w:rsid w:val="0027647F"/>
    <w:rsid w:val="00277F13"/>
    <w:rsid w:val="00277FBF"/>
    <w:rsid w:val="002802F6"/>
    <w:rsid w:val="00284DB7"/>
    <w:rsid w:val="00287769"/>
    <w:rsid w:val="00287F88"/>
    <w:rsid w:val="00290AA8"/>
    <w:rsid w:val="002934DA"/>
    <w:rsid w:val="00296C9D"/>
    <w:rsid w:val="002973AF"/>
    <w:rsid w:val="00297429"/>
    <w:rsid w:val="002A16A7"/>
    <w:rsid w:val="002A1B43"/>
    <w:rsid w:val="002A2F7B"/>
    <w:rsid w:val="002A372C"/>
    <w:rsid w:val="002A72C5"/>
    <w:rsid w:val="002A789E"/>
    <w:rsid w:val="002B0374"/>
    <w:rsid w:val="002C0658"/>
    <w:rsid w:val="002C11C5"/>
    <w:rsid w:val="002C24B4"/>
    <w:rsid w:val="002C5BB6"/>
    <w:rsid w:val="002C7797"/>
    <w:rsid w:val="002D1B48"/>
    <w:rsid w:val="002D3AF8"/>
    <w:rsid w:val="002D4508"/>
    <w:rsid w:val="002D4E9E"/>
    <w:rsid w:val="002D708B"/>
    <w:rsid w:val="002D7A4D"/>
    <w:rsid w:val="002E2B74"/>
    <w:rsid w:val="002E3E44"/>
    <w:rsid w:val="002E4110"/>
    <w:rsid w:val="002E687F"/>
    <w:rsid w:val="002F1EF4"/>
    <w:rsid w:val="002F2FC8"/>
    <w:rsid w:val="002F3F44"/>
    <w:rsid w:val="002F4E46"/>
    <w:rsid w:val="002F4FEC"/>
    <w:rsid w:val="002F5D5A"/>
    <w:rsid w:val="002F5F14"/>
    <w:rsid w:val="002F783F"/>
    <w:rsid w:val="002F7D89"/>
    <w:rsid w:val="00302EC0"/>
    <w:rsid w:val="003034C0"/>
    <w:rsid w:val="00304E65"/>
    <w:rsid w:val="00304E67"/>
    <w:rsid w:val="00305739"/>
    <w:rsid w:val="003057EE"/>
    <w:rsid w:val="00306B28"/>
    <w:rsid w:val="00310030"/>
    <w:rsid w:val="00310201"/>
    <w:rsid w:val="003117B6"/>
    <w:rsid w:val="0031752E"/>
    <w:rsid w:val="00317B03"/>
    <w:rsid w:val="00320276"/>
    <w:rsid w:val="0032056F"/>
    <w:rsid w:val="00320735"/>
    <w:rsid w:val="00322252"/>
    <w:rsid w:val="00322BDA"/>
    <w:rsid w:val="00326380"/>
    <w:rsid w:val="00327EE5"/>
    <w:rsid w:val="00330B1C"/>
    <w:rsid w:val="003315C9"/>
    <w:rsid w:val="00335224"/>
    <w:rsid w:val="003354D2"/>
    <w:rsid w:val="003370E1"/>
    <w:rsid w:val="00340132"/>
    <w:rsid w:val="003437DF"/>
    <w:rsid w:val="00345D2C"/>
    <w:rsid w:val="0034665A"/>
    <w:rsid w:val="00346B54"/>
    <w:rsid w:val="00350F84"/>
    <w:rsid w:val="003514A2"/>
    <w:rsid w:val="00354BFE"/>
    <w:rsid w:val="0035565D"/>
    <w:rsid w:val="003618EF"/>
    <w:rsid w:val="0036260D"/>
    <w:rsid w:val="003629B9"/>
    <w:rsid w:val="00363669"/>
    <w:rsid w:val="00363C19"/>
    <w:rsid w:val="003649B4"/>
    <w:rsid w:val="00365069"/>
    <w:rsid w:val="00365780"/>
    <w:rsid w:val="00373283"/>
    <w:rsid w:val="00373422"/>
    <w:rsid w:val="00373CB5"/>
    <w:rsid w:val="00374B8B"/>
    <w:rsid w:val="00376537"/>
    <w:rsid w:val="00376F0E"/>
    <w:rsid w:val="00377E43"/>
    <w:rsid w:val="003816E6"/>
    <w:rsid w:val="00381A6E"/>
    <w:rsid w:val="00382B07"/>
    <w:rsid w:val="003845D5"/>
    <w:rsid w:val="003857A5"/>
    <w:rsid w:val="00386207"/>
    <w:rsid w:val="00387D60"/>
    <w:rsid w:val="003921A3"/>
    <w:rsid w:val="00392A01"/>
    <w:rsid w:val="00393568"/>
    <w:rsid w:val="00397B94"/>
    <w:rsid w:val="003A04EE"/>
    <w:rsid w:val="003A1DB8"/>
    <w:rsid w:val="003A2087"/>
    <w:rsid w:val="003A5D0E"/>
    <w:rsid w:val="003A6241"/>
    <w:rsid w:val="003B016B"/>
    <w:rsid w:val="003B09D3"/>
    <w:rsid w:val="003B197B"/>
    <w:rsid w:val="003B1BA9"/>
    <w:rsid w:val="003B21B8"/>
    <w:rsid w:val="003B298C"/>
    <w:rsid w:val="003B5C8B"/>
    <w:rsid w:val="003B5DCD"/>
    <w:rsid w:val="003B5E89"/>
    <w:rsid w:val="003B75ED"/>
    <w:rsid w:val="003C042D"/>
    <w:rsid w:val="003C18B1"/>
    <w:rsid w:val="003C3EBE"/>
    <w:rsid w:val="003C4D07"/>
    <w:rsid w:val="003C5C2C"/>
    <w:rsid w:val="003C618D"/>
    <w:rsid w:val="003C687C"/>
    <w:rsid w:val="003D2D01"/>
    <w:rsid w:val="003D31BC"/>
    <w:rsid w:val="003D6915"/>
    <w:rsid w:val="003D6DD1"/>
    <w:rsid w:val="003E06CC"/>
    <w:rsid w:val="003E0FE2"/>
    <w:rsid w:val="003E1199"/>
    <w:rsid w:val="003E4D85"/>
    <w:rsid w:val="003E6358"/>
    <w:rsid w:val="003E67D3"/>
    <w:rsid w:val="003E6F15"/>
    <w:rsid w:val="003E76C4"/>
    <w:rsid w:val="003E79E4"/>
    <w:rsid w:val="003E7B6F"/>
    <w:rsid w:val="003F2023"/>
    <w:rsid w:val="003F2861"/>
    <w:rsid w:val="003F2865"/>
    <w:rsid w:val="00400F7E"/>
    <w:rsid w:val="00400FD9"/>
    <w:rsid w:val="00401882"/>
    <w:rsid w:val="00405133"/>
    <w:rsid w:val="0040631E"/>
    <w:rsid w:val="004065CF"/>
    <w:rsid w:val="00407873"/>
    <w:rsid w:val="0041314A"/>
    <w:rsid w:val="004134DD"/>
    <w:rsid w:val="0041467C"/>
    <w:rsid w:val="00415CDA"/>
    <w:rsid w:val="00416DD7"/>
    <w:rsid w:val="00420418"/>
    <w:rsid w:val="0042163F"/>
    <w:rsid w:val="00421F98"/>
    <w:rsid w:val="00422AA3"/>
    <w:rsid w:val="0042378C"/>
    <w:rsid w:val="00423CA8"/>
    <w:rsid w:val="00423D8C"/>
    <w:rsid w:val="004242C6"/>
    <w:rsid w:val="00424B6B"/>
    <w:rsid w:val="004258F5"/>
    <w:rsid w:val="00426697"/>
    <w:rsid w:val="0042671D"/>
    <w:rsid w:val="00427B60"/>
    <w:rsid w:val="004303AD"/>
    <w:rsid w:val="0043198B"/>
    <w:rsid w:val="004339D8"/>
    <w:rsid w:val="00435299"/>
    <w:rsid w:val="004354B3"/>
    <w:rsid w:val="00435AAA"/>
    <w:rsid w:val="00440FCF"/>
    <w:rsid w:val="0044445E"/>
    <w:rsid w:val="004532F6"/>
    <w:rsid w:val="004547EC"/>
    <w:rsid w:val="00456E01"/>
    <w:rsid w:val="00460877"/>
    <w:rsid w:val="00461222"/>
    <w:rsid w:val="00461A67"/>
    <w:rsid w:val="00462391"/>
    <w:rsid w:val="00463935"/>
    <w:rsid w:val="00465A84"/>
    <w:rsid w:val="00466E11"/>
    <w:rsid w:val="0047095B"/>
    <w:rsid w:val="00471355"/>
    <w:rsid w:val="004718AF"/>
    <w:rsid w:val="00472518"/>
    <w:rsid w:val="00474974"/>
    <w:rsid w:val="004749D6"/>
    <w:rsid w:val="00474D09"/>
    <w:rsid w:val="0047566B"/>
    <w:rsid w:val="00477B65"/>
    <w:rsid w:val="00484A90"/>
    <w:rsid w:val="0048510E"/>
    <w:rsid w:val="00485E68"/>
    <w:rsid w:val="00490D1B"/>
    <w:rsid w:val="00491D58"/>
    <w:rsid w:val="004920CA"/>
    <w:rsid w:val="00497DF2"/>
    <w:rsid w:val="004A2E0F"/>
    <w:rsid w:val="004A5E52"/>
    <w:rsid w:val="004A7411"/>
    <w:rsid w:val="004A7DB9"/>
    <w:rsid w:val="004B3D50"/>
    <w:rsid w:val="004C4CC5"/>
    <w:rsid w:val="004D1DE6"/>
    <w:rsid w:val="004D1EAC"/>
    <w:rsid w:val="004D1FF6"/>
    <w:rsid w:val="004D21D5"/>
    <w:rsid w:val="004D2611"/>
    <w:rsid w:val="004D3785"/>
    <w:rsid w:val="004D68E7"/>
    <w:rsid w:val="004D7309"/>
    <w:rsid w:val="004D7639"/>
    <w:rsid w:val="004E183E"/>
    <w:rsid w:val="004E36F2"/>
    <w:rsid w:val="004E3C55"/>
    <w:rsid w:val="004E4046"/>
    <w:rsid w:val="004E524D"/>
    <w:rsid w:val="004E70CD"/>
    <w:rsid w:val="004F1C0E"/>
    <w:rsid w:val="004F3678"/>
    <w:rsid w:val="004F5524"/>
    <w:rsid w:val="004F5A56"/>
    <w:rsid w:val="004F64B7"/>
    <w:rsid w:val="004F753C"/>
    <w:rsid w:val="00501CAE"/>
    <w:rsid w:val="00502D8C"/>
    <w:rsid w:val="00504962"/>
    <w:rsid w:val="00507279"/>
    <w:rsid w:val="00510778"/>
    <w:rsid w:val="005137DC"/>
    <w:rsid w:val="005145A3"/>
    <w:rsid w:val="0051537D"/>
    <w:rsid w:val="00515A6D"/>
    <w:rsid w:val="0051682A"/>
    <w:rsid w:val="00516A4E"/>
    <w:rsid w:val="00517BF6"/>
    <w:rsid w:val="00522B10"/>
    <w:rsid w:val="00522FDB"/>
    <w:rsid w:val="0052428A"/>
    <w:rsid w:val="0052479F"/>
    <w:rsid w:val="00534A16"/>
    <w:rsid w:val="00534FC0"/>
    <w:rsid w:val="00540A34"/>
    <w:rsid w:val="00541514"/>
    <w:rsid w:val="00542BCB"/>
    <w:rsid w:val="005454B5"/>
    <w:rsid w:val="005462A6"/>
    <w:rsid w:val="00546B7F"/>
    <w:rsid w:val="00552BAF"/>
    <w:rsid w:val="00552F64"/>
    <w:rsid w:val="00553019"/>
    <w:rsid w:val="005542B9"/>
    <w:rsid w:val="0055444A"/>
    <w:rsid w:val="005549A0"/>
    <w:rsid w:val="005552A7"/>
    <w:rsid w:val="005559AF"/>
    <w:rsid w:val="005568CF"/>
    <w:rsid w:val="00556E5E"/>
    <w:rsid w:val="0055785C"/>
    <w:rsid w:val="00557B05"/>
    <w:rsid w:val="00560111"/>
    <w:rsid w:val="005604FE"/>
    <w:rsid w:val="0056238B"/>
    <w:rsid w:val="00562879"/>
    <w:rsid w:val="00562D09"/>
    <w:rsid w:val="00564E1E"/>
    <w:rsid w:val="00566F8C"/>
    <w:rsid w:val="00571A23"/>
    <w:rsid w:val="005726BB"/>
    <w:rsid w:val="005726D7"/>
    <w:rsid w:val="00574B6E"/>
    <w:rsid w:val="005769DE"/>
    <w:rsid w:val="005817AA"/>
    <w:rsid w:val="0058253F"/>
    <w:rsid w:val="0058362F"/>
    <w:rsid w:val="005837CD"/>
    <w:rsid w:val="00585470"/>
    <w:rsid w:val="00587FC7"/>
    <w:rsid w:val="00590612"/>
    <w:rsid w:val="00591736"/>
    <w:rsid w:val="00591CC7"/>
    <w:rsid w:val="005929BD"/>
    <w:rsid w:val="005A0C41"/>
    <w:rsid w:val="005A26CE"/>
    <w:rsid w:val="005A3F39"/>
    <w:rsid w:val="005A5B76"/>
    <w:rsid w:val="005A6854"/>
    <w:rsid w:val="005A7124"/>
    <w:rsid w:val="005A75B5"/>
    <w:rsid w:val="005B0D03"/>
    <w:rsid w:val="005B2B8A"/>
    <w:rsid w:val="005B3162"/>
    <w:rsid w:val="005B6720"/>
    <w:rsid w:val="005B7D71"/>
    <w:rsid w:val="005C4CBC"/>
    <w:rsid w:val="005C5BF0"/>
    <w:rsid w:val="005D3EE5"/>
    <w:rsid w:val="005D7B96"/>
    <w:rsid w:val="005E0248"/>
    <w:rsid w:val="005E2368"/>
    <w:rsid w:val="005E66C1"/>
    <w:rsid w:val="005E7D03"/>
    <w:rsid w:val="005F06D5"/>
    <w:rsid w:val="005F0C9A"/>
    <w:rsid w:val="005F4346"/>
    <w:rsid w:val="00601F66"/>
    <w:rsid w:val="00602942"/>
    <w:rsid w:val="006037AF"/>
    <w:rsid w:val="006038E3"/>
    <w:rsid w:val="00604AD4"/>
    <w:rsid w:val="00606AC5"/>
    <w:rsid w:val="00606DFD"/>
    <w:rsid w:val="0061371E"/>
    <w:rsid w:val="00614EC6"/>
    <w:rsid w:val="00615CAD"/>
    <w:rsid w:val="0061611A"/>
    <w:rsid w:val="00616436"/>
    <w:rsid w:val="00616621"/>
    <w:rsid w:val="00617C2A"/>
    <w:rsid w:val="00621853"/>
    <w:rsid w:val="0062352A"/>
    <w:rsid w:val="00625DFB"/>
    <w:rsid w:val="00625EAA"/>
    <w:rsid w:val="00627D4F"/>
    <w:rsid w:val="0063078C"/>
    <w:rsid w:val="00633149"/>
    <w:rsid w:val="006333A3"/>
    <w:rsid w:val="00634672"/>
    <w:rsid w:val="00634D6E"/>
    <w:rsid w:val="006358BA"/>
    <w:rsid w:val="006404B5"/>
    <w:rsid w:val="00640F61"/>
    <w:rsid w:val="00644349"/>
    <w:rsid w:val="00646E1D"/>
    <w:rsid w:val="0065140D"/>
    <w:rsid w:val="0065153C"/>
    <w:rsid w:val="0065243B"/>
    <w:rsid w:val="006527E8"/>
    <w:rsid w:val="00652E3F"/>
    <w:rsid w:val="006530BB"/>
    <w:rsid w:val="006535B9"/>
    <w:rsid w:val="00653783"/>
    <w:rsid w:val="006541CA"/>
    <w:rsid w:val="00655903"/>
    <w:rsid w:val="00660B90"/>
    <w:rsid w:val="0066152D"/>
    <w:rsid w:val="00664F75"/>
    <w:rsid w:val="00665498"/>
    <w:rsid w:val="00665EFC"/>
    <w:rsid w:val="006665B2"/>
    <w:rsid w:val="00666B62"/>
    <w:rsid w:val="00667A01"/>
    <w:rsid w:val="00672656"/>
    <w:rsid w:val="00672A70"/>
    <w:rsid w:val="00672F2D"/>
    <w:rsid w:val="00675CC1"/>
    <w:rsid w:val="00677FB2"/>
    <w:rsid w:val="00680FFB"/>
    <w:rsid w:val="00682607"/>
    <w:rsid w:val="00683188"/>
    <w:rsid w:val="0068535D"/>
    <w:rsid w:val="00686EC6"/>
    <w:rsid w:val="00687F52"/>
    <w:rsid w:val="00687FDB"/>
    <w:rsid w:val="00690C3C"/>
    <w:rsid w:val="0069310A"/>
    <w:rsid w:val="00693933"/>
    <w:rsid w:val="0069433A"/>
    <w:rsid w:val="0069477E"/>
    <w:rsid w:val="00696CDC"/>
    <w:rsid w:val="006A2F21"/>
    <w:rsid w:val="006A53CC"/>
    <w:rsid w:val="006A5BF0"/>
    <w:rsid w:val="006A7EC6"/>
    <w:rsid w:val="006B21F9"/>
    <w:rsid w:val="006B3817"/>
    <w:rsid w:val="006B3855"/>
    <w:rsid w:val="006B4583"/>
    <w:rsid w:val="006C020D"/>
    <w:rsid w:val="006C3BA8"/>
    <w:rsid w:val="006C431E"/>
    <w:rsid w:val="006C4E15"/>
    <w:rsid w:val="006C5EC2"/>
    <w:rsid w:val="006C5EE9"/>
    <w:rsid w:val="006C6962"/>
    <w:rsid w:val="006C6BF6"/>
    <w:rsid w:val="006C77EC"/>
    <w:rsid w:val="006D032D"/>
    <w:rsid w:val="006D37C0"/>
    <w:rsid w:val="006E1237"/>
    <w:rsid w:val="006E253D"/>
    <w:rsid w:val="006F0454"/>
    <w:rsid w:val="006F24B1"/>
    <w:rsid w:val="006F329C"/>
    <w:rsid w:val="006F3FB1"/>
    <w:rsid w:val="006F5207"/>
    <w:rsid w:val="007005C7"/>
    <w:rsid w:val="0070241F"/>
    <w:rsid w:val="00702DFE"/>
    <w:rsid w:val="00703C26"/>
    <w:rsid w:val="007042C8"/>
    <w:rsid w:val="007055B7"/>
    <w:rsid w:val="00707928"/>
    <w:rsid w:val="00710308"/>
    <w:rsid w:val="0071101F"/>
    <w:rsid w:val="00711059"/>
    <w:rsid w:val="00711CA3"/>
    <w:rsid w:val="007120E8"/>
    <w:rsid w:val="0071238A"/>
    <w:rsid w:val="00714A87"/>
    <w:rsid w:val="00715322"/>
    <w:rsid w:val="00717C4E"/>
    <w:rsid w:val="007211F1"/>
    <w:rsid w:val="007216CB"/>
    <w:rsid w:val="00722CC5"/>
    <w:rsid w:val="00726468"/>
    <w:rsid w:val="00731E19"/>
    <w:rsid w:val="0073224D"/>
    <w:rsid w:val="00734856"/>
    <w:rsid w:val="007363DD"/>
    <w:rsid w:val="0074157E"/>
    <w:rsid w:val="0074186E"/>
    <w:rsid w:val="007420B6"/>
    <w:rsid w:val="00743A30"/>
    <w:rsid w:val="00745D90"/>
    <w:rsid w:val="00752803"/>
    <w:rsid w:val="00753E1F"/>
    <w:rsid w:val="00756042"/>
    <w:rsid w:val="00756563"/>
    <w:rsid w:val="00761ABA"/>
    <w:rsid w:val="00761FE4"/>
    <w:rsid w:val="00764265"/>
    <w:rsid w:val="007659FB"/>
    <w:rsid w:val="007663CE"/>
    <w:rsid w:val="0076687D"/>
    <w:rsid w:val="0076769E"/>
    <w:rsid w:val="00767B92"/>
    <w:rsid w:val="00771A0C"/>
    <w:rsid w:val="00771B5E"/>
    <w:rsid w:val="00772203"/>
    <w:rsid w:val="007722B6"/>
    <w:rsid w:val="00780564"/>
    <w:rsid w:val="00782111"/>
    <w:rsid w:val="00783878"/>
    <w:rsid w:val="00784F95"/>
    <w:rsid w:val="00785ACE"/>
    <w:rsid w:val="00787E17"/>
    <w:rsid w:val="007901C2"/>
    <w:rsid w:val="00792656"/>
    <w:rsid w:val="007938F3"/>
    <w:rsid w:val="00794A7E"/>
    <w:rsid w:val="00794E7C"/>
    <w:rsid w:val="00797F5A"/>
    <w:rsid w:val="00797FA7"/>
    <w:rsid w:val="007A3F2E"/>
    <w:rsid w:val="007A783E"/>
    <w:rsid w:val="007B32AE"/>
    <w:rsid w:val="007B375F"/>
    <w:rsid w:val="007B398F"/>
    <w:rsid w:val="007B5E9D"/>
    <w:rsid w:val="007B5EC4"/>
    <w:rsid w:val="007B7351"/>
    <w:rsid w:val="007C0CA5"/>
    <w:rsid w:val="007C373B"/>
    <w:rsid w:val="007C5319"/>
    <w:rsid w:val="007C5F4B"/>
    <w:rsid w:val="007C6339"/>
    <w:rsid w:val="007C682C"/>
    <w:rsid w:val="007D05D5"/>
    <w:rsid w:val="007D1D3F"/>
    <w:rsid w:val="007D2861"/>
    <w:rsid w:val="007D3054"/>
    <w:rsid w:val="007D53D4"/>
    <w:rsid w:val="007E02B6"/>
    <w:rsid w:val="007E0A25"/>
    <w:rsid w:val="007E1DD9"/>
    <w:rsid w:val="007E36F3"/>
    <w:rsid w:val="007E4E9F"/>
    <w:rsid w:val="007E6C83"/>
    <w:rsid w:val="007F1E49"/>
    <w:rsid w:val="007F3EC0"/>
    <w:rsid w:val="007F4350"/>
    <w:rsid w:val="007F43F9"/>
    <w:rsid w:val="007F55AF"/>
    <w:rsid w:val="008036A1"/>
    <w:rsid w:val="00807618"/>
    <w:rsid w:val="00807A50"/>
    <w:rsid w:val="00811787"/>
    <w:rsid w:val="00814848"/>
    <w:rsid w:val="00815B5D"/>
    <w:rsid w:val="0081754D"/>
    <w:rsid w:val="00820376"/>
    <w:rsid w:val="00820FEA"/>
    <w:rsid w:val="00834492"/>
    <w:rsid w:val="0083623C"/>
    <w:rsid w:val="008363F2"/>
    <w:rsid w:val="00840E8E"/>
    <w:rsid w:val="0084187B"/>
    <w:rsid w:val="008436E0"/>
    <w:rsid w:val="008440BF"/>
    <w:rsid w:val="008477B6"/>
    <w:rsid w:val="00850B47"/>
    <w:rsid w:val="00853610"/>
    <w:rsid w:val="00854E1D"/>
    <w:rsid w:val="00855230"/>
    <w:rsid w:val="0085582E"/>
    <w:rsid w:val="008603E1"/>
    <w:rsid w:val="00860C3E"/>
    <w:rsid w:val="00860D7C"/>
    <w:rsid w:val="008615DE"/>
    <w:rsid w:val="00861B1B"/>
    <w:rsid w:val="00861F96"/>
    <w:rsid w:val="00862D3A"/>
    <w:rsid w:val="00865453"/>
    <w:rsid w:val="00867FDD"/>
    <w:rsid w:val="00870A60"/>
    <w:rsid w:val="0087111C"/>
    <w:rsid w:val="008711B5"/>
    <w:rsid w:val="008716E7"/>
    <w:rsid w:val="00872E90"/>
    <w:rsid w:val="008733DA"/>
    <w:rsid w:val="00874645"/>
    <w:rsid w:val="00875252"/>
    <w:rsid w:val="0087527B"/>
    <w:rsid w:val="008756CD"/>
    <w:rsid w:val="008763BB"/>
    <w:rsid w:val="00877581"/>
    <w:rsid w:val="0088021E"/>
    <w:rsid w:val="0088373C"/>
    <w:rsid w:val="00884718"/>
    <w:rsid w:val="00885BC6"/>
    <w:rsid w:val="00886405"/>
    <w:rsid w:val="008876EB"/>
    <w:rsid w:val="008907A8"/>
    <w:rsid w:val="00890D47"/>
    <w:rsid w:val="0089349D"/>
    <w:rsid w:val="00895696"/>
    <w:rsid w:val="00896AA2"/>
    <w:rsid w:val="008A0D9A"/>
    <w:rsid w:val="008A189B"/>
    <w:rsid w:val="008A2B6E"/>
    <w:rsid w:val="008A300D"/>
    <w:rsid w:val="008A43A8"/>
    <w:rsid w:val="008A4A3E"/>
    <w:rsid w:val="008A7813"/>
    <w:rsid w:val="008B0388"/>
    <w:rsid w:val="008B06CC"/>
    <w:rsid w:val="008B19BF"/>
    <w:rsid w:val="008B3BF7"/>
    <w:rsid w:val="008B4244"/>
    <w:rsid w:val="008B5745"/>
    <w:rsid w:val="008B5FC8"/>
    <w:rsid w:val="008B7C5A"/>
    <w:rsid w:val="008B7E9D"/>
    <w:rsid w:val="008C0BBA"/>
    <w:rsid w:val="008C0C24"/>
    <w:rsid w:val="008C4971"/>
    <w:rsid w:val="008C538E"/>
    <w:rsid w:val="008C6C57"/>
    <w:rsid w:val="008D23B9"/>
    <w:rsid w:val="008D401D"/>
    <w:rsid w:val="008D44BE"/>
    <w:rsid w:val="008D472E"/>
    <w:rsid w:val="008E1783"/>
    <w:rsid w:val="008E38B9"/>
    <w:rsid w:val="008E51EA"/>
    <w:rsid w:val="008E6980"/>
    <w:rsid w:val="008E73B7"/>
    <w:rsid w:val="008F2CBF"/>
    <w:rsid w:val="008F4438"/>
    <w:rsid w:val="008F4667"/>
    <w:rsid w:val="008F4A3C"/>
    <w:rsid w:val="008F5463"/>
    <w:rsid w:val="008F6E8B"/>
    <w:rsid w:val="0091040D"/>
    <w:rsid w:val="00913C1C"/>
    <w:rsid w:val="00914352"/>
    <w:rsid w:val="00917EBD"/>
    <w:rsid w:val="00920422"/>
    <w:rsid w:val="009208EA"/>
    <w:rsid w:val="00923391"/>
    <w:rsid w:val="00926285"/>
    <w:rsid w:val="009269A2"/>
    <w:rsid w:val="00927D1F"/>
    <w:rsid w:val="00932A67"/>
    <w:rsid w:val="009409FA"/>
    <w:rsid w:val="00940F3D"/>
    <w:rsid w:val="00942710"/>
    <w:rsid w:val="00943A4D"/>
    <w:rsid w:val="009458B1"/>
    <w:rsid w:val="00947988"/>
    <w:rsid w:val="00954C1C"/>
    <w:rsid w:val="00955005"/>
    <w:rsid w:val="009622FC"/>
    <w:rsid w:val="00962F6B"/>
    <w:rsid w:val="009646CD"/>
    <w:rsid w:val="00966682"/>
    <w:rsid w:val="009713F7"/>
    <w:rsid w:val="0097158A"/>
    <w:rsid w:val="00971EA9"/>
    <w:rsid w:val="00972EF9"/>
    <w:rsid w:val="00973F30"/>
    <w:rsid w:val="00976245"/>
    <w:rsid w:val="00980BB6"/>
    <w:rsid w:val="0098154B"/>
    <w:rsid w:val="0098722C"/>
    <w:rsid w:val="00987A11"/>
    <w:rsid w:val="00991717"/>
    <w:rsid w:val="00991EC9"/>
    <w:rsid w:val="00993D1D"/>
    <w:rsid w:val="00993D76"/>
    <w:rsid w:val="00993DB9"/>
    <w:rsid w:val="0099514F"/>
    <w:rsid w:val="0099652B"/>
    <w:rsid w:val="009A107E"/>
    <w:rsid w:val="009A1B56"/>
    <w:rsid w:val="009A675C"/>
    <w:rsid w:val="009B0339"/>
    <w:rsid w:val="009B231F"/>
    <w:rsid w:val="009B37F7"/>
    <w:rsid w:val="009C15F5"/>
    <w:rsid w:val="009C21FB"/>
    <w:rsid w:val="009C4B47"/>
    <w:rsid w:val="009C58C4"/>
    <w:rsid w:val="009C695E"/>
    <w:rsid w:val="009C737E"/>
    <w:rsid w:val="009D086D"/>
    <w:rsid w:val="009D2ADE"/>
    <w:rsid w:val="009D54F6"/>
    <w:rsid w:val="009E01C1"/>
    <w:rsid w:val="009E0BF2"/>
    <w:rsid w:val="009E1469"/>
    <w:rsid w:val="009E4E3B"/>
    <w:rsid w:val="009E7125"/>
    <w:rsid w:val="009F172A"/>
    <w:rsid w:val="009F382B"/>
    <w:rsid w:val="009F43E5"/>
    <w:rsid w:val="009F6719"/>
    <w:rsid w:val="009F7255"/>
    <w:rsid w:val="00A00CD9"/>
    <w:rsid w:val="00A030A8"/>
    <w:rsid w:val="00A0400B"/>
    <w:rsid w:val="00A05C03"/>
    <w:rsid w:val="00A07A8B"/>
    <w:rsid w:val="00A11DBD"/>
    <w:rsid w:val="00A120BF"/>
    <w:rsid w:val="00A1679B"/>
    <w:rsid w:val="00A169C2"/>
    <w:rsid w:val="00A170EB"/>
    <w:rsid w:val="00A204FD"/>
    <w:rsid w:val="00A21032"/>
    <w:rsid w:val="00A23B76"/>
    <w:rsid w:val="00A250F4"/>
    <w:rsid w:val="00A26C3D"/>
    <w:rsid w:val="00A31E71"/>
    <w:rsid w:val="00A3238D"/>
    <w:rsid w:val="00A3404A"/>
    <w:rsid w:val="00A363E2"/>
    <w:rsid w:val="00A37650"/>
    <w:rsid w:val="00A403A1"/>
    <w:rsid w:val="00A43F24"/>
    <w:rsid w:val="00A457A6"/>
    <w:rsid w:val="00A4639D"/>
    <w:rsid w:val="00A479B8"/>
    <w:rsid w:val="00A520E4"/>
    <w:rsid w:val="00A52105"/>
    <w:rsid w:val="00A532B4"/>
    <w:rsid w:val="00A54364"/>
    <w:rsid w:val="00A54DA1"/>
    <w:rsid w:val="00A55150"/>
    <w:rsid w:val="00A555F8"/>
    <w:rsid w:val="00A55B00"/>
    <w:rsid w:val="00A57D46"/>
    <w:rsid w:val="00A60796"/>
    <w:rsid w:val="00A60D35"/>
    <w:rsid w:val="00A616B1"/>
    <w:rsid w:val="00A63CC5"/>
    <w:rsid w:val="00A640F0"/>
    <w:rsid w:val="00A65D24"/>
    <w:rsid w:val="00A65F78"/>
    <w:rsid w:val="00A702DC"/>
    <w:rsid w:val="00A711ED"/>
    <w:rsid w:val="00A74032"/>
    <w:rsid w:val="00A74053"/>
    <w:rsid w:val="00A74355"/>
    <w:rsid w:val="00A767E4"/>
    <w:rsid w:val="00A80EAC"/>
    <w:rsid w:val="00A82A49"/>
    <w:rsid w:val="00A84F2A"/>
    <w:rsid w:val="00A86333"/>
    <w:rsid w:val="00A87674"/>
    <w:rsid w:val="00A90CDF"/>
    <w:rsid w:val="00A90E57"/>
    <w:rsid w:val="00A943AB"/>
    <w:rsid w:val="00A96264"/>
    <w:rsid w:val="00A96AA7"/>
    <w:rsid w:val="00AA02ED"/>
    <w:rsid w:val="00AA03FD"/>
    <w:rsid w:val="00AA3592"/>
    <w:rsid w:val="00AA3701"/>
    <w:rsid w:val="00AA3D77"/>
    <w:rsid w:val="00AA46B6"/>
    <w:rsid w:val="00AA7C96"/>
    <w:rsid w:val="00AB059A"/>
    <w:rsid w:val="00AB1DBF"/>
    <w:rsid w:val="00AC034C"/>
    <w:rsid w:val="00AC1CAE"/>
    <w:rsid w:val="00AC1EDF"/>
    <w:rsid w:val="00AC2CF2"/>
    <w:rsid w:val="00AC3811"/>
    <w:rsid w:val="00AC62C2"/>
    <w:rsid w:val="00AC7190"/>
    <w:rsid w:val="00AD2478"/>
    <w:rsid w:val="00AD706C"/>
    <w:rsid w:val="00AE4A6B"/>
    <w:rsid w:val="00AE4CA3"/>
    <w:rsid w:val="00AF0FBC"/>
    <w:rsid w:val="00AF41BC"/>
    <w:rsid w:val="00AF5978"/>
    <w:rsid w:val="00AF7F17"/>
    <w:rsid w:val="00B00A0A"/>
    <w:rsid w:val="00B038CB"/>
    <w:rsid w:val="00B046F9"/>
    <w:rsid w:val="00B07667"/>
    <w:rsid w:val="00B1055E"/>
    <w:rsid w:val="00B10D9D"/>
    <w:rsid w:val="00B1142A"/>
    <w:rsid w:val="00B1313A"/>
    <w:rsid w:val="00B13BF5"/>
    <w:rsid w:val="00B13F68"/>
    <w:rsid w:val="00B13F72"/>
    <w:rsid w:val="00B16A19"/>
    <w:rsid w:val="00B16BC7"/>
    <w:rsid w:val="00B17FE8"/>
    <w:rsid w:val="00B22B5F"/>
    <w:rsid w:val="00B241CB"/>
    <w:rsid w:val="00B257C3"/>
    <w:rsid w:val="00B30FE0"/>
    <w:rsid w:val="00B35FB3"/>
    <w:rsid w:val="00B368BF"/>
    <w:rsid w:val="00B37F09"/>
    <w:rsid w:val="00B40067"/>
    <w:rsid w:val="00B429DA"/>
    <w:rsid w:val="00B44299"/>
    <w:rsid w:val="00B50E5C"/>
    <w:rsid w:val="00B514B0"/>
    <w:rsid w:val="00B5232B"/>
    <w:rsid w:val="00B5394B"/>
    <w:rsid w:val="00B53F21"/>
    <w:rsid w:val="00B55BED"/>
    <w:rsid w:val="00B56D24"/>
    <w:rsid w:val="00B60942"/>
    <w:rsid w:val="00B61362"/>
    <w:rsid w:val="00B61F6F"/>
    <w:rsid w:val="00B6245E"/>
    <w:rsid w:val="00B638CB"/>
    <w:rsid w:val="00B64D1D"/>
    <w:rsid w:val="00B670AB"/>
    <w:rsid w:val="00B71089"/>
    <w:rsid w:val="00B7590A"/>
    <w:rsid w:val="00B75FA7"/>
    <w:rsid w:val="00B76678"/>
    <w:rsid w:val="00B80B5D"/>
    <w:rsid w:val="00B812B3"/>
    <w:rsid w:val="00B81A97"/>
    <w:rsid w:val="00B81B5D"/>
    <w:rsid w:val="00B82131"/>
    <w:rsid w:val="00B837F0"/>
    <w:rsid w:val="00B83D49"/>
    <w:rsid w:val="00B84E57"/>
    <w:rsid w:val="00B85938"/>
    <w:rsid w:val="00B87BA5"/>
    <w:rsid w:val="00B93D82"/>
    <w:rsid w:val="00B95856"/>
    <w:rsid w:val="00B97DED"/>
    <w:rsid w:val="00BA00E5"/>
    <w:rsid w:val="00BA0812"/>
    <w:rsid w:val="00BA0F02"/>
    <w:rsid w:val="00BA16D4"/>
    <w:rsid w:val="00BA698D"/>
    <w:rsid w:val="00BB0018"/>
    <w:rsid w:val="00BB2C0C"/>
    <w:rsid w:val="00BB305B"/>
    <w:rsid w:val="00BB31C0"/>
    <w:rsid w:val="00BB3368"/>
    <w:rsid w:val="00BB40AE"/>
    <w:rsid w:val="00BB7419"/>
    <w:rsid w:val="00BC0CE6"/>
    <w:rsid w:val="00BC1A8C"/>
    <w:rsid w:val="00BC1DD4"/>
    <w:rsid w:val="00BC2932"/>
    <w:rsid w:val="00BC2A0D"/>
    <w:rsid w:val="00BC2F61"/>
    <w:rsid w:val="00BC3E64"/>
    <w:rsid w:val="00BC416D"/>
    <w:rsid w:val="00BC668F"/>
    <w:rsid w:val="00BC745F"/>
    <w:rsid w:val="00BD1DD5"/>
    <w:rsid w:val="00BD2745"/>
    <w:rsid w:val="00BD41DC"/>
    <w:rsid w:val="00BD69C9"/>
    <w:rsid w:val="00BE0D25"/>
    <w:rsid w:val="00BE1A3D"/>
    <w:rsid w:val="00BE37A6"/>
    <w:rsid w:val="00BE38F7"/>
    <w:rsid w:val="00BE4348"/>
    <w:rsid w:val="00BE4C3F"/>
    <w:rsid w:val="00BE54A2"/>
    <w:rsid w:val="00BE5C04"/>
    <w:rsid w:val="00BE647A"/>
    <w:rsid w:val="00BE6BE4"/>
    <w:rsid w:val="00BE6C9D"/>
    <w:rsid w:val="00BF4145"/>
    <w:rsid w:val="00BF5DB0"/>
    <w:rsid w:val="00C0097E"/>
    <w:rsid w:val="00C00F58"/>
    <w:rsid w:val="00C023A0"/>
    <w:rsid w:val="00C02A9A"/>
    <w:rsid w:val="00C03EBE"/>
    <w:rsid w:val="00C05332"/>
    <w:rsid w:val="00C06225"/>
    <w:rsid w:val="00C12410"/>
    <w:rsid w:val="00C137B2"/>
    <w:rsid w:val="00C13BFE"/>
    <w:rsid w:val="00C140E9"/>
    <w:rsid w:val="00C167D4"/>
    <w:rsid w:val="00C16DBB"/>
    <w:rsid w:val="00C174F7"/>
    <w:rsid w:val="00C21356"/>
    <w:rsid w:val="00C21F9C"/>
    <w:rsid w:val="00C22AD6"/>
    <w:rsid w:val="00C2394C"/>
    <w:rsid w:val="00C23EAB"/>
    <w:rsid w:val="00C258A8"/>
    <w:rsid w:val="00C27659"/>
    <w:rsid w:val="00C30FA2"/>
    <w:rsid w:val="00C31CD5"/>
    <w:rsid w:val="00C36D71"/>
    <w:rsid w:val="00C37415"/>
    <w:rsid w:val="00C37999"/>
    <w:rsid w:val="00C414AD"/>
    <w:rsid w:val="00C4335E"/>
    <w:rsid w:val="00C438D7"/>
    <w:rsid w:val="00C43944"/>
    <w:rsid w:val="00C50B66"/>
    <w:rsid w:val="00C514AC"/>
    <w:rsid w:val="00C538F1"/>
    <w:rsid w:val="00C53A57"/>
    <w:rsid w:val="00C53A8D"/>
    <w:rsid w:val="00C53AE1"/>
    <w:rsid w:val="00C5562A"/>
    <w:rsid w:val="00C57E33"/>
    <w:rsid w:val="00C618FE"/>
    <w:rsid w:val="00C61D9D"/>
    <w:rsid w:val="00C61DCD"/>
    <w:rsid w:val="00C62A1D"/>
    <w:rsid w:val="00C63476"/>
    <w:rsid w:val="00C63BBC"/>
    <w:rsid w:val="00C63ECD"/>
    <w:rsid w:val="00C65414"/>
    <w:rsid w:val="00C65434"/>
    <w:rsid w:val="00C67DDC"/>
    <w:rsid w:val="00C71465"/>
    <w:rsid w:val="00C7350F"/>
    <w:rsid w:val="00C7375B"/>
    <w:rsid w:val="00C75660"/>
    <w:rsid w:val="00C7679E"/>
    <w:rsid w:val="00C767CD"/>
    <w:rsid w:val="00C77A2C"/>
    <w:rsid w:val="00C828EB"/>
    <w:rsid w:val="00C82997"/>
    <w:rsid w:val="00C829DE"/>
    <w:rsid w:val="00C85BD0"/>
    <w:rsid w:val="00C86E5E"/>
    <w:rsid w:val="00C9108B"/>
    <w:rsid w:val="00C94528"/>
    <w:rsid w:val="00C94C80"/>
    <w:rsid w:val="00C966B3"/>
    <w:rsid w:val="00C97406"/>
    <w:rsid w:val="00C976EB"/>
    <w:rsid w:val="00C97927"/>
    <w:rsid w:val="00C979D4"/>
    <w:rsid w:val="00CA060F"/>
    <w:rsid w:val="00CA3ACF"/>
    <w:rsid w:val="00CA5CDB"/>
    <w:rsid w:val="00CA6098"/>
    <w:rsid w:val="00CA6443"/>
    <w:rsid w:val="00CA69ED"/>
    <w:rsid w:val="00CA73C9"/>
    <w:rsid w:val="00CB2718"/>
    <w:rsid w:val="00CB3B0B"/>
    <w:rsid w:val="00CB3BCB"/>
    <w:rsid w:val="00CB3DCF"/>
    <w:rsid w:val="00CB6AA1"/>
    <w:rsid w:val="00CC0E6F"/>
    <w:rsid w:val="00CC1AC4"/>
    <w:rsid w:val="00CC29CE"/>
    <w:rsid w:val="00CC3BC7"/>
    <w:rsid w:val="00CC48B3"/>
    <w:rsid w:val="00CC508E"/>
    <w:rsid w:val="00CC537B"/>
    <w:rsid w:val="00CC6BEB"/>
    <w:rsid w:val="00CC7472"/>
    <w:rsid w:val="00CC7B5C"/>
    <w:rsid w:val="00CD3CB0"/>
    <w:rsid w:val="00CD4FA0"/>
    <w:rsid w:val="00CD50BF"/>
    <w:rsid w:val="00CD652E"/>
    <w:rsid w:val="00CD7A16"/>
    <w:rsid w:val="00CE02F0"/>
    <w:rsid w:val="00CE1148"/>
    <w:rsid w:val="00CE2263"/>
    <w:rsid w:val="00CE2D07"/>
    <w:rsid w:val="00CE4996"/>
    <w:rsid w:val="00CE4DEF"/>
    <w:rsid w:val="00CE7535"/>
    <w:rsid w:val="00CE7846"/>
    <w:rsid w:val="00CE7911"/>
    <w:rsid w:val="00CE7BD0"/>
    <w:rsid w:val="00CF17BD"/>
    <w:rsid w:val="00CF33D3"/>
    <w:rsid w:val="00CF6D0B"/>
    <w:rsid w:val="00CF7741"/>
    <w:rsid w:val="00D002CE"/>
    <w:rsid w:val="00D00E9C"/>
    <w:rsid w:val="00D00FC3"/>
    <w:rsid w:val="00D0199E"/>
    <w:rsid w:val="00D020B4"/>
    <w:rsid w:val="00D025AA"/>
    <w:rsid w:val="00D0340B"/>
    <w:rsid w:val="00D0550D"/>
    <w:rsid w:val="00D10437"/>
    <w:rsid w:val="00D10EEE"/>
    <w:rsid w:val="00D116D7"/>
    <w:rsid w:val="00D1228A"/>
    <w:rsid w:val="00D12AF7"/>
    <w:rsid w:val="00D14413"/>
    <w:rsid w:val="00D15966"/>
    <w:rsid w:val="00D2082E"/>
    <w:rsid w:val="00D217AA"/>
    <w:rsid w:val="00D21E3F"/>
    <w:rsid w:val="00D248F0"/>
    <w:rsid w:val="00D31758"/>
    <w:rsid w:val="00D35F51"/>
    <w:rsid w:val="00D4010E"/>
    <w:rsid w:val="00D40571"/>
    <w:rsid w:val="00D41217"/>
    <w:rsid w:val="00D42B22"/>
    <w:rsid w:val="00D43A36"/>
    <w:rsid w:val="00D43E4B"/>
    <w:rsid w:val="00D43E8D"/>
    <w:rsid w:val="00D5142E"/>
    <w:rsid w:val="00D5146E"/>
    <w:rsid w:val="00D51A0E"/>
    <w:rsid w:val="00D54314"/>
    <w:rsid w:val="00D55487"/>
    <w:rsid w:val="00D56ACC"/>
    <w:rsid w:val="00D60EC0"/>
    <w:rsid w:val="00D61336"/>
    <w:rsid w:val="00D643E7"/>
    <w:rsid w:val="00D66DC1"/>
    <w:rsid w:val="00D711A2"/>
    <w:rsid w:val="00D72B56"/>
    <w:rsid w:val="00D73C6C"/>
    <w:rsid w:val="00D7604B"/>
    <w:rsid w:val="00D8114F"/>
    <w:rsid w:val="00D812BC"/>
    <w:rsid w:val="00D836BD"/>
    <w:rsid w:val="00D839ED"/>
    <w:rsid w:val="00D83AE4"/>
    <w:rsid w:val="00D85D09"/>
    <w:rsid w:val="00D85D58"/>
    <w:rsid w:val="00D9475A"/>
    <w:rsid w:val="00D956BC"/>
    <w:rsid w:val="00D96488"/>
    <w:rsid w:val="00D978D0"/>
    <w:rsid w:val="00DA45A3"/>
    <w:rsid w:val="00DA4DEA"/>
    <w:rsid w:val="00DB10D7"/>
    <w:rsid w:val="00DB1949"/>
    <w:rsid w:val="00DB5A57"/>
    <w:rsid w:val="00DB7716"/>
    <w:rsid w:val="00DC0657"/>
    <w:rsid w:val="00DC37AA"/>
    <w:rsid w:val="00DC4A15"/>
    <w:rsid w:val="00DC74B7"/>
    <w:rsid w:val="00DC7716"/>
    <w:rsid w:val="00DC7C55"/>
    <w:rsid w:val="00DD2140"/>
    <w:rsid w:val="00DD2906"/>
    <w:rsid w:val="00DD2B7F"/>
    <w:rsid w:val="00DD5347"/>
    <w:rsid w:val="00DD5E52"/>
    <w:rsid w:val="00DD6460"/>
    <w:rsid w:val="00DE0557"/>
    <w:rsid w:val="00DE0DA7"/>
    <w:rsid w:val="00DE1440"/>
    <w:rsid w:val="00DE2980"/>
    <w:rsid w:val="00DE3063"/>
    <w:rsid w:val="00DE617D"/>
    <w:rsid w:val="00DF007D"/>
    <w:rsid w:val="00DF22DE"/>
    <w:rsid w:val="00DF3151"/>
    <w:rsid w:val="00DF6468"/>
    <w:rsid w:val="00DF65AC"/>
    <w:rsid w:val="00E00321"/>
    <w:rsid w:val="00E04A18"/>
    <w:rsid w:val="00E06D10"/>
    <w:rsid w:val="00E11579"/>
    <w:rsid w:val="00E1194F"/>
    <w:rsid w:val="00E11BDE"/>
    <w:rsid w:val="00E1295C"/>
    <w:rsid w:val="00E13A0D"/>
    <w:rsid w:val="00E14E2B"/>
    <w:rsid w:val="00E1679B"/>
    <w:rsid w:val="00E213AB"/>
    <w:rsid w:val="00E224FB"/>
    <w:rsid w:val="00E23084"/>
    <w:rsid w:val="00E258DF"/>
    <w:rsid w:val="00E25948"/>
    <w:rsid w:val="00E26088"/>
    <w:rsid w:val="00E2688C"/>
    <w:rsid w:val="00E2760B"/>
    <w:rsid w:val="00E278E3"/>
    <w:rsid w:val="00E300E9"/>
    <w:rsid w:val="00E318AE"/>
    <w:rsid w:val="00E34F70"/>
    <w:rsid w:val="00E36AB2"/>
    <w:rsid w:val="00E40469"/>
    <w:rsid w:val="00E42173"/>
    <w:rsid w:val="00E42788"/>
    <w:rsid w:val="00E4284F"/>
    <w:rsid w:val="00E43EF2"/>
    <w:rsid w:val="00E44573"/>
    <w:rsid w:val="00E44C80"/>
    <w:rsid w:val="00E4533C"/>
    <w:rsid w:val="00E46270"/>
    <w:rsid w:val="00E46376"/>
    <w:rsid w:val="00E467DF"/>
    <w:rsid w:val="00E47430"/>
    <w:rsid w:val="00E4778B"/>
    <w:rsid w:val="00E517FE"/>
    <w:rsid w:val="00E520D9"/>
    <w:rsid w:val="00E53042"/>
    <w:rsid w:val="00E5356E"/>
    <w:rsid w:val="00E53BDD"/>
    <w:rsid w:val="00E551CF"/>
    <w:rsid w:val="00E55D77"/>
    <w:rsid w:val="00E56CCC"/>
    <w:rsid w:val="00E622FB"/>
    <w:rsid w:val="00E62622"/>
    <w:rsid w:val="00E64BA3"/>
    <w:rsid w:val="00E65D3E"/>
    <w:rsid w:val="00E67518"/>
    <w:rsid w:val="00E703EE"/>
    <w:rsid w:val="00E73180"/>
    <w:rsid w:val="00E740E8"/>
    <w:rsid w:val="00E75D98"/>
    <w:rsid w:val="00E76612"/>
    <w:rsid w:val="00E76DB6"/>
    <w:rsid w:val="00E80B9C"/>
    <w:rsid w:val="00E81E73"/>
    <w:rsid w:val="00E85098"/>
    <w:rsid w:val="00E854D1"/>
    <w:rsid w:val="00E8585F"/>
    <w:rsid w:val="00E866E3"/>
    <w:rsid w:val="00E8696F"/>
    <w:rsid w:val="00E8780B"/>
    <w:rsid w:val="00E92409"/>
    <w:rsid w:val="00E9493A"/>
    <w:rsid w:val="00E95AF6"/>
    <w:rsid w:val="00E96EB9"/>
    <w:rsid w:val="00E96F53"/>
    <w:rsid w:val="00E97346"/>
    <w:rsid w:val="00EA1DE3"/>
    <w:rsid w:val="00EA2AF4"/>
    <w:rsid w:val="00EA6DF0"/>
    <w:rsid w:val="00EB23ED"/>
    <w:rsid w:val="00EB34CB"/>
    <w:rsid w:val="00EB5990"/>
    <w:rsid w:val="00EB796A"/>
    <w:rsid w:val="00EB7F30"/>
    <w:rsid w:val="00EB7FBE"/>
    <w:rsid w:val="00EC1092"/>
    <w:rsid w:val="00EC1C36"/>
    <w:rsid w:val="00EC2745"/>
    <w:rsid w:val="00EC7705"/>
    <w:rsid w:val="00ED13BC"/>
    <w:rsid w:val="00ED14F2"/>
    <w:rsid w:val="00ED3548"/>
    <w:rsid w:val="00ED4C0B"/>
    <w:rsid w:val="00ED4D57"/>
    <w:rsid w:val="00EE089E"/>
    <w:rsid w:val="00EE0F26"/>
    <w:rsid w:val="00EE1406"/>
    <w:rsid w:val="00EE1DBF"/>
    <w:rsid w:val="00EE24E3"/>
    <w:rsid w:val="00EE38E1"/>
    <w:rsid w:val="00EE44F8"/>
    <w:rsid w:val="00EE5637"/>
    <w:rsid w:val="00EE5FA2"/>
    <w:rsid w:val="00EF3FEB"/>
    <w:rsid w:val="00EF4214"/>
    <w:rsid w:val="00EF6350"/>
    <w:rsid w:val="00F00BD4"/>
    <w:rsid w:val="00F02252"/>
    <w:rsid w:val="00F02846"/>
    <w:rsid w:val="00F03BFD"/>
    <w:rsid w:val="00F0571B"/>
    <w:rsid w:val="00F05FCB"/>
    <w:rsid w:val="00F11F3F"/>
    <w:rsid w:val="00F13FF1"/>
    <w:rsid w:val="00F15CAE"/>
    <w:rsid w:val="00F1620F"/>
    <w:rsid w:val="00F16916"/>
    <w:rsid w:val="00F16FB4"/>
    <w:rsid w:val="00F20234"/>
    <w:rsid w:val="00F21B6D"/>
    <w:rsid w:val="00F22236"/>
    <w:rsid w:val="00F254E7"/>
    <w:rsid w:val="00F2627F"/>
    <w:rsid w:val="00F262DE"/>
    <w:rsid w:val="00F26BE5"/>
    <w:rsid w:val="00F26DA6"/>
    <w:rsid w:val="00F27C6B"/>
    <w:rsid w:val="00F3092C"/>
    <w:rsid w:val="00F30C34"/>
    <w:rsid w:val="00F30DB1"/>
    <w:rsid w:val="00F325A1"/>
    <w:rsid w:val="00F327E6"/>
    <w:rsid w:val="00F32CB2"/>
    <w:rsid w:val="00F32EC3"/>
    <w:rsid w:val="00F36742"/>
    <w:rsid w:val="00F37149"/>
    <w:rsid w:val="00F37F8C"/>
    <w:rsid w:val="00F46322"/>
    <w:rsid w:val="00F46B3F"/>
    <w:rsid w:val="00F479AB"/>
    <w:rsid w:val="00F511A1"/>
    <w:rsid w:val="00F5487F"/>
    <w:rsid w:val="00F574DC"/>
    <w:rsid w:val="00F6194D"/>
    <w:rsid w:val="00F61B64"/>
    <w:rsid w:val="00F61DDE"/>
    <w:rsid w:val="00F63731"/>
    <w:rsid w:val="00F63D29"/>
    <w:rsid w:val="00F64724"/>
    <w:rsid w:val="00F66307"/>
    <w:rsid w:val="00F67BE7"/>
    <w:rsid w:val="00F702A1"/>
    <w:rsid w:val="00F71036"/>
    <w:rsid w:val="00F7180B"/>
    <w:rsid w:val="00F721AF"/>
    <w:rsid w:val="00F733E4"/>
    <w:rsid w:val="00F74E6C"/>
    <w:rsid w:val="00F77046"/>
    <w:rsid w:val="00F80621"/>
    <w:rsid w:val="00F844F4"/>
    <w:rsid w:val="00F84ACC"/>
    <w:rsid w:val="00F84B85"/>
    <w:rsid w:val="00F84E9C"/>
    <w:rsid w:val="00F852A4"/>
    <w:rsid w:val="00F8587B"/>
    <w:rsid w:val="00F9003C"/>
    <w:rsid w:val="00F9086C"/>
    <w:rsid w:val="00F90B96"/>
    <w:rsid w:val="00F930D2"/>
    <w:rsid w:val="00FA3F8A"/>
    <w:rsid w:val="00FA5276"/>
    <w:rsid w:val="00FA7BDB"/>
    <w:rsid w:val="00FB09FE"/>
    <w:rsid w:val="00FB0E94"/>
    <w:rsid w:val="00FB1682"/>
    <w:rsid w:val="00FB23C1"/>
    <w:rsid w:val="00FB24E1"/>
    <w:rsid w:val="00FB2D09"/>
    <w:rsid w:val="00FB3E04"/>
    <w:rsid w:val="00FB54E2"/>
    <w:rsid w:val="00FC53DB"/>
    <w:rsid w:val="00FC581B"/>
    <w:rsid w:val="00FC668B"/>
    <w:rsid w:val="00FC713F"/>
    <w:rsid w:val="00FD28B8"/>
    <w:rsid w:val="00FD7BEE"/>
    <w:rsid w:val="00FD7E07"/>
    <w:rsid w:val="00FE075D"/>
    <w:rsid w:val="00FE104D"/>
    <w:rsid w:val="00FE65D0"/>
    <w:rsid w:val="00FE6D23"/>
    <w:rsid w:val="00FE70D6"/>
    <w:rsid w:val="00FF04D0"/>
    <w:rsid w:val="00FF6E7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6"/>
    <o:shapelayout v:ext="edit">
      <o:idmap v:ext="edit" data="1"/>
    </o:shapelayout>
  </w:shapeDefaults>
  <w:decimalSymbol w:val=","/>
  <w:listSeparator w:val=";"/>
  <w15:docId w15:val="{14030CCA-EE61-4DD2-9059-74DEF72928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0F7E"/>
    <w:pPr>
      <w:spacing w:after="120" w:line="240" w:lineRule="auto"/>
      <w:jc w:val="both"/>
    </w:pPr>
    <w:rPr>
      <w:rFonts w:ascii="Arial" w:hAnsi="Arial"/>
    </w:rPr>
  </w:style>
  <w:style w:type="paragraph" w:styleId="Ttulo1">
    <w:name w:val="heading 1"/>
    <w:basedOn w:val="Normal"/>
    <w:next w:val="Normal"/>
    <w:link w:val="Ttulo1Char"/>
    <w:qFormat/>
    <w:rsid w:val="008F4667"/>
    <w:pPr>
      <w:keepNext/>
      <w:keepLines/>
      <w:pageBreakBefore/>
      <w:numPr>
        <w:numId w:val="1"/>
      </w:numPr>
      <w:spacing w:before="240"/>
      <w:outlineLvl w:val="0"/>
    </w:pPr>
    <w:rPr>
      <w:rFonts w:ascii="Arial Negrito" w:eastAsia="Times New Roman" w:hAnsi="Arial Negrito" w:cs="Arial"/>
      <w:b/>
      <w:bCs/>
      <w:caps/>
      <w:sz w:val="24"/>
      <w:szCs w:val="32"/>
      <w:lang w:eastAsia="pt-BR"/>
    </w:rPr>
  </w:style>
  <w:style w:type="paragraph" w:styleId="Ttulo2">
    <w:name w:val="heading 2"/>
    <w:basedOn w:val="Normal"/>
    <w:next w:val="Normal"/>
    <w:link w:val="Ttulo2Char"/>
    <w:uiPriority w:val="1"/>
    <w:qFormat/>
    <w:rsid w:val="00374B8B"/>
    <w:pPr>
      <w:keepNext/>
      <w:keepLines/>
      <w:numPr>
        <w:ilvl w:val="1"/>
        <w:numId w:val="1"/>
      </w:numPr>
      <w:spacing w:before="240"/>
      <w:outlineLvl w:val="1"/>
    </w:pPr>
    <w:rPr>
      <w:rFonts w:ascii="Arial Negrito" w:eastAsia="Times New Roman" w:hAnsi="Arial Negrito" w:cs="Arial"/>
      <w:b/>
      <w:bCs/>
      <w:iCs/>
      <w:sz w:val="24"/>
      <w:szCs w:val="28"/>
      <w:lang w:eastAsia="pt-BR"/>
    </w:rPr>
  </w:style>
  <w:style w:type="paragraph" w:styleId="Ttulo3">
    <w:name w:val="heading 3"/>
    <w:basedOn w:val="Normal"/>
    <w:next w:val="Normal"/>
    <w:link w:val="Ttulo3Char"/>
    <w:qFormat/>
    <w:rsid w:val="0014794C"/>
    <w:pPr>
      <w:keepNext/>
      <w:keepLines/>
      <w:numPr>
        <w:ilvl w:val="2"/>
        <w:numId w:val="1"/>
      </w:numPr>
      <w:spacing w:before="120"/>
      <w:outlineLvl w:val="2"/>
    </w:pPr>
    <w:rPr>
      <w:rFonts w:eastAsia="Times New Roman" w:cs="Arial"/>
      <w:b/>
      <w:bCs/>
      <w:lang w:eastAsia="pt-BR"/>
    </w:rPr>
  </w:style>
  <w:style w:type="paragraph" w:styleId="Ttulo4">
    <w:name w:val="heading 4"/>
    <w:basedOn w:val="Normal"/>
    <w:next w:val="Normal"/>
    <w:link w:val="Ttulo4Char"/>
    <w:qFormat/>
    <w:rsid w:val="004F5524"/>
    <w:pPr>
      <w:keepNext/>
      <w:numPr>
        <w:ilvl w:val="3"/>
        <w:numId w:val="1"/>
      </w:numPr>
      <w:spacing w:before="120"/>
      <w:outlineLvl w:val="3"/>
    </w:pPr>
    <w:rPr>
      <w:rFonts w:eastAsia="Times New Roman" w:cs="Times New Roman"/>
      <w:b/>
      <w:bCs/>
      <w:szCs w:val="20"/>
      <w:lang w:eastAsia="pt-BR"/>
    </w:rPr>
  </w:style>
  <w:style w:type="paragraph" w:styleId="Ttulo5">
    <w:name w:val="heading 5"/>
    <w:basedOn w:val="Normal"/>
    <w:next w:val="Normal"/>
    <w:link w:val="Ttulo5Char"/>
    <w:unhideWhenUsed/>
    <w:qFormat/>
    <w:rsid w:val="003C3EBE"/>
    <w:pPr>
      <w:keepNext/>
      <w:keepLines/>
      <w:spacing w:before="120"/>
      <w:ind w:left="709"/>
      <w:outlineLvl w:val="4"/>
    </w:pPr>
    <w:rPr>
      <w:rFonts w:eastAsiaTheme="majorEastAsia" w:cstheme="majorBidi"/>
      <w:b/>
    </w:rPr>
  </w:style>
  <w:style w:type="paragraph" w:styleId="Ttulo6">
    <w:name w:val="heading 6"/>
    <w:basedOn w:val="Normal"/>
    <w:next w:val="Normal"/>
    <w:link w:val="Ttulo6Char"/>
    <w:qFormat/>
    <w:rsid w:val="001F6C6C"/>
    <w:pPr>
      <w:keepNext/>
      <w:spacing w:before="120"/>
      <w:ind w:left="1077" w:hanging="357"/>
      <w:outlineLvl w:val="5"/>
    </w:pPr>
    <w:rPr>
      <w:rFonts w:eastAsia="Times New Roman" w:cs="Times New Roman"/>
      <w:b/>
      <w:bCs/>
      <w:lang w:eastAsia="pt-BR"/>
    </w:rPr>
  </w:style>
  <w:style w:type="paragraph" w:styleId="Ttulo7">
    <w:name w:val="heading 7"/>
    <w:basedOn w:val="Normal"/>
    <w:next w:val="Normal"/>
    <w:link w:val="Ttulo7Char"/>
    <w:qFormat/>
    <w:rsid w:val="00F5487F"/>
    <w:pPr>
      <w:keepNext/>
      <w:spacing w:before="120"/>
      <w:ind w:left="1077" w:hanging="357"/>
      <w:outlineLvl w:val="6"/>
    </w:pPr>
    <w:rPr>
      <w:rFonts w:eastAsia="Times New Roman" w:cs="Times New Roman"/>
      <w:b/>
      <w:szCs w:val="24"/>
      <w:lang w:eastAsia="pt-BR"/>
    </w:rPr>
  </w:style>
  <w:style w:type="paragraph" w:styleId="Ttulo8">
    <w:name w:val="heading 8"/>
    <w:basedOn w:val="Normal"/>
    <w:next w:val="Normal"/>
    <w:link w:val="Ttulo8Char"/>
    <w:qFormat/>
    <w:rsid w:val="00F5487F"/>
    <w:pPr>
      <w:spacing w:before="240" w:after="60"/>
      <w:ind w:left="1440" w:hanging="1440"/>
      <w:outlineLvl w:val="7"/>
    </w:pPr>
    <w:rPr>
      <w:rFonts w:ascii="Times New Roman" w:eastAsia="Times New Roman" w:hAnsi="Times New Roman" w:cs="Times New Roman"/>
      <w:i/>
      <w:iCs/>
      <w:color w:val="333333"/>
      <w:sz w:val="24"/>
      <w:szCs w:val="24"/>
      <w:lang w:eastAsia="pt-BR"/>
    </w:rPr>
  </w:style>
  <w:style w:type="paragraph" w:styleId="Ttulo9">
    <w:name w:val="heading 9"/>
    <w:basedOn w:val="Normal"/>
    <w:next w:val="Normal"/>
    <w:link w:val="Ttulo9Char"/>
    <w:qFormat/>
    <w:rsid w:val="00F5487F"/>
    <w:pPr>
      <w:spacing w:before="240" w:after="60"/>
      <w:ind w:left="1584" w:hanging="1584"/>
      <w:outlineLvl w:val="8"/>
    </w:pPr>
    <w:rPr>
      <w:rFonts w:eastAsia="Times New Roman" w:cs="Arial"/>
      <w:color w:val="333333"/>
      <w:sz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A170EB"/>
    <w:pPr>
      <w:ind w:left="720"/>
      <w:contextualSpacing/>
    </w:pPr>
  </w:style>
  <w:style w:type="table" w:styleId="Tabelacomgrade">
    <w:name w:val="Table Grid"/>
    <w:basedOn w:val="Tabelanormal"/>
    <w:rsid w:val="00A170EB"/>
    <w:pPr>
      <w:spacing w:after="0" w:line="240" w:lineRule="auto"/>
    </w:pPr>
    <w:rPr>
      <w:rFonts w:ascii="Times New Roman" w:eastAsia="Calibri"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3E4D85"/>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3E4D85"/>
    <w:rPr>
      <w:rFonts w:ascii="Tahoma" w:hAnsi="Tahoma" w:cs="Tahoma"/>
      <w:sz w:val="16"/>
      <w:szCs w:val="16"/>
    </w:rPr>
  </w:style>
  <w:style w:type="character" w:styleId="Hyperlink">
    <w:name w:val="Hyperlink"/>
    <w:basedOn w:val="Fontepargpadro"/>
    <w:uiPriority w:val="99"/>
    <w:unhideWhenUsed/>
    <w:rsid w:val="00E213AB"/>
    <w:rPr>
      <w:color w:val="0000FF"/>
      <w:u w:val="single"/>
    </w:rPr>
  </w:style>
  <w:style w:type="paragraph" w:customStyle="1" w:styleId="Default">
    <w:name w:val="Default"/>
    <w:rsid w:val="00284DB7"/>
    <w:pPr>
      <w:autoSpaceDE w:val="0"/>
      <w:autoSpaceDN w:val="0"/>
      <w:adjustRightInd w:val="0"/>
      <w:spacing w:after="0" w:line="240" w:lineRule="auto"/>
    </w:pPr>
    <w:rPr>
      <w:rFonts w:ascii="Times New Roman" w:hAnsi="Times New Roman" w:cs="Times New Roman"/>
      <w:color w:val="000000"/>
      <w:sz w:val="24"/>
      <w:szCs w:val="24"/>
    </w:rPr>
  </w:style>
  <w:style w:type="character" w:styleId="Forte">
    <w:name w:val="Strong"/>
    <w:basedOn w:val="Fontepargpadro"/>
    <w:uiPriority w:val="22"/>
    <w:qFormat/>
    <w:rsid w:val="003921A3"/>
    <w:rPr>
      <w:b/>
      <w:bCs/>
    </w:rPr>
  </w:style>
  <w:style w:type="paragraph" w:styleId="NormalWeb">
    <w:name w:val="Normal (Web)"/>
    <w:basedOn w:val="Normal"/>
    <w:uiPriority w:val="99"/>
    <w:unhideWhenUsed/>
    <w:rsid w:val="003921A3"/>
    <w:pPr>
      <w:spacing w:after="188" w:line="377" w:lineRule="atLeast"/>
      <w:jc w:val="left"/>
    </w:pPr>
    <w:rPr>
      <w:rFonts w:ascii="Times New Roman" w:eastAsia="Times New Roman" w:hAnsi="Times New Roman" w:cs="Times New Roman"/>
      <w:sz w:val="34"/>
      <w:szCs w:val="34"/>
      <w:lang w:eastAsia="pt-BR"/>
    </w:rPr>
  </w:style>
  <w:style w:type="character" w:customStyle="1" w:styleId="Ttulo1Char">
    <w:name w:val="Título 1 Char"/>
    <w:basedOn w:val="Fontepargpadro"/>
    <w:link w:val="Ttulo1"/>
    <w:uiPriority w:val="9"/>
    <w:rsid w:val="008F4667"/>
    <w:rPr>
      <w:rFonts w:ascii="Arial Negrito" w:eastAsia="Times New Roman" w:hAnsi="Arial Negrito" w:cs="Arial"/>
      <w:b/>
      <w:bCs/>
      <w:caps/>
      <w:sz w:val="24"/>
      <w:szCs w:val="32"/>
      <w:lang w:eastAsia="pt-BR"/>
    </w:rPr>
  </w:style>
  <w:style w:type="character" w:customStyle="1" w:styleId="Ttulo2Char">
    <w:name w:val="Título 2 Char"/>
    <w:basedOn w:val="Fontepargpadro"/>
    <w:link w:val="Ttulo2"/>
    <w:uiPriority w:val="1"/>
    <w:rsid w:val="00374B8B"/>
    <w:rPr>
      <w:rFonts w:ascii="Arial Negrito" w:eastAsia="Times New Roman" w:hAnsi="Arial Negrito" w:cs="Arial"/>
      <w:b/>
      <w:bCs/>
      <w:iCs/>
      <w:sz w:val="24"/>
      <w:szCs w:val="28"/>
      <w:lang w:eastAsia="pt-BR"/>
    </w:rPr>
  </w:style>
  <w:style w:type="character" w:customStyle="1" w:styleId="Ttulo3Char">
    <w:name w:val="Título 3 Char"/>
    <w:basedOn w:val="Fontepargpadro"/>
    <w:link w:val="Ttulo3"/>
    <w:rsid w:val="0014794C"/>
    <w:rPr>
      <w:rFonts w:ascii="Arial" w:eastAsia="Times New Roman" w:hAnsi="Arial" w:cs="Arial"/>
      <w:b/>
      <w:bCs/>
      <w:lang w:eastAsia="pt-BR"/>
    </w:rPr>
  </w:style>
  <w:style w:type="character" w:customStyle="1" w:styleId="Ttulo4Char">
    <w:name w:val="Título 4 Char"/>
    <w:basedOn w:val="Fontepargpadro"/>
    <w:link w:val="Ttulo4"/>
    <w:rsid w:val="004F5524"/>
    <w:rPr>
      <w:rFonts w:ascii="Arial" w:eastAsia="Times New Roman" w:hAnsi="Arial" w:cs="Times New Roman"/>
      <w:b/>
      <w:bCs/>
      <w:szCs w:val="20"/>
      <w:lang w:eastAsia="pt-BR"/>
    </w:rPr>
  </w:style>
  <w:style w:type="paragraph" w:customStyle="1" w:styleId="Quadro">
    <w:name w:val="Quadro"/>
    <w:basedOn w:val="Normal"/>
    <w:link w:val="QuadroChar"/>
    <w:rsid w:val="008F4667"/>
    <w:pPr>
      <w:keepNext/>
      <w:keepLines/>
      <w:tabs>
        <w:tab w:val="left" w:pos="834"/>
      </w:tabs>
      <w:spacing w:before="120"/>
      <w:jc w:val="center"/>
    </w:pPr>
    <w:rPr>
      <w:rFonts w:ascii="Arial Negrito" w:eastAsia="Arial Unicode MS" w:hAnsi="Arial Negrito" w:cs="Times New Roman"/>
      <w:b/>
      <w:smallCaps/>
      <w:snapToGrid w:val="0"/>
      <w:sz w:val="20"/>
      <w:szCs w:val="24"/>
      <w:lang w:eastAsia="pt-BR"/>
    </w:rPr>
  </w:style>
  <w:style w:type="character" w:customStyle="1" w:styleId="QuadroChar">
    <w:name w:val="Quadro Char"/>
    <w:basedOn w:val="Fontepargpadro"/>
    <w:link w:val="Quadro"/>
    <w:rsid w:val="008F4667"/>
    <w:rPr>
      <w:rFonts w:ascii="Arial Negrito" w:eastAsia="Arial Unicode MS" w:hAnsi="Arial Negrito" w:cs="Times New Roman"/>
      <w:b/>
      <w:smallCaps/>
      <w:snapToGrid w:val="0"/>
      <w:sz w:val="20"/>
      <w:szCs w:val="24"/>
      <w:lang w:eastAsia="pt-BR"/>
    </w:rPr>
  </w:style>
  <w:style w:type="paragraph" w:styleId="Cabealho">
    <w:name w:val="header"/>
    <w:aliases w:val="Cabeçalho1,Cabeçalho superior,Cabeçalho1 Char Char Char,Cabeçalho1 Char Char Char Char Char Char Char,Cabeçalho1 Char Char Char Char Char Char Char Char"/>
    <w:basedOn w:val="Normal"/>
    <w:link w:val="CabealhoChar"/>
    <w:uiPriority w:val="99"/>
    <w:unhideWhenUsed/>
    <w:rsid w:val="002C7797"/>
    <w:pPr>
      <w:tabs>
        <w:tab w:val="center" w:pos="4252"/>
        <w:tab w:val="right" w:pos="8504"/>
      </w:tabs>
      <w:spacing w:after="0"/>
    </w:pPr>
  </w:style>
  <w:style w:type="character" w:customStyle="1" w:styleId="CabealhoChar">
    <w:name w:val="Cabeçalho Char"/>
    <w:aliases w:val="Cabeçalho1 Char,Cabeçalho superior Char,Cabeçalho1 Char Char Char Char,Cabeçalho1 Char Char Char Char Char Char Char Char1,Cabeçalho1 Char Char Char Char Char Char Char Char Char"/>
    <w:basedOn w:val="Fontepargpadro"/>
    <w:link w:val="Cabealho"/>
    <w:uiPriority w:val="99"/>
    <w:rsid w:val="002C7797"/>
    <w:rPr>
      <w:rFonts w:ascii="Arial" w:hAnsi="Arial"/>
    </w:rPr>
  </w:style>
  <w:style w:type="character" w:customStyle="1" w:styleId="Ttulo5Char">
    <w:name w:val="Título 5 Char"/>
    <w:basedOn w:val="Fontepargpadro"/>
    <w:link w:val="Ttulo5"/>
    <w:rsid w:val="003C3EBE"/>
    <w:rPr>
      <w:rFonts w:ascii="Arial" w:eastAsiaTheme="majorEastAsia" w:hAnsi="Arial" w:cstheme="majorBidi"/>
      <w:b/>
    </w:rPr>
  </w:style>
  <w:style w:type="paragraph" w:styleId="Rodap">
    <w:name w:val="footer"/>
    <w:aliases w:val="* Rodapé"/>
    <w:basedOn w:val="Normal"/>
    <w:link w:val="RodapChar"/>
    <w:uiPriority w:val="99"/>
    <w:unhideWhenUsed/>
    <w:rsid w:val="002C7797"/>
    <w:pPr>
      <w:tabs>
        <w:tab w:val="center" w:pos="4252"/>
        <w:tab w:val="right" w:pos="8504"/>
      </w:tabs>
      <w:spacing w:after="0"/>
    </w:pPr>
  </w:style>
  <w:style w:type="character" w:styleId="Refdenotaderodap">
    <w:name w:val="footnote reference"/>
    <w:basedOn w:val="Fontepargpadro"/>
    <w:semiHidden/>
    <w:rsid w:val="00C27659"/>
    <w:rPr>
      <w:vertAlign w:val="superscript"/>
    </w:rPr>
  </w:style>
  <w:style w:type="paragraph" w:styleId="Textodenotaderodap">
    <w:name w:val="footnote text"/>
    <w:basedOn w:val="Normal"/>
    <w:link w:val="TextodenotaderodapChar"/>
    <w:semiHidden/>
    <w:rsid w:val="00C27659"/>
    <w:pPr>
      <w:keepLines/>
      <w:spacing w:after="0"/>
    </w:pPr>
    <w:rPr>
      <w:rFonts w:ascii="Verdana" w:eastAsia="Times New Roman" w:hAnsi="Verdana" w:cs="Times New Roman"/>
      <w:sz w:val="16"/>
      <w:szCs w:val="16"/>
      <w:lang w:eastAsia="pt-BR"/>
    </w:rPr>
  </w:style>
  <w:style w:type="character" w:customStyle="1" w:styleId="TextodenotaderodapChar">
    <w:name w:val="Texto de nota de rodapé Char"/>
    <w:basedOn w:val="Fontepargpadro"/>
    <w:link w:val="Textodenotaderodap"/>
    <w:semiHidden/>
    <w:rsid w:val="00C27659"/>
    <w:rPr>
      <w:rFonts w:ascii="Verdana" w:eastAsia="Times New Roman" w:hAnsi="Verdana" w:cs="Times New Roman"/>
      <w:sz w:val="16"/>
      <w:szCs w:val="16"/>
      <w:lang w:eastAsia="pt-BR"/>
    </w:rPr>
  </w:style>
  <w:style w:type="paragraph" w:styleId="Corpodetexto">
    <w:name w:val="Body Text"/>
    <w:basedOn w:val="Normal"/>
    <w:link w:val="CorpodetextoChar"/>
    <w:uiPriority w:val="1"/>
    <w:qFormat/>
    <w:rsid w:val="00131C18"/>
    <w:pPr>
      <w:widowControl w:val="0"/>
      <w:autoSpaceDE w:val="0"/>
      <w:autoSpaceDN w:val="0"/>
      <w:adjustRightInd w:val="0"/>
      <w:spacing w:before="69" w:after="0"/>
      <w:ind w:left="12"/>
      <w:jc w:val="left"/>
    </w:pPr>
    <w:rPr>
      <w:rFonts w:eastAsia="Times New Roman" w:cs="Arial"/>
      <w:b/>
      <w:bCs/>
      <w:sz w:val="24"/>
      <w:szCs w:val="24"/>
      <w:lang w:eastAsia="pt-BR"/>
    </w:rPr>
  </w:style>
  <w:style w:type="character" w:customStyle="1" w:styleId="CorpodetextoChar">
    <w:name w:val="Corpo de texto Char"/>
    <w:basedOn w:val="Fontepargpadro"/>
    <w:link w:val="Corpodetexto"/>
    <w:uiPriority w:val="1"/>
    <w:rsid w:val="00131C18"/>
    <w:rPr>
      <w:rFonts w:ascii="Arial" w:eastAsia="Times New Roman" w:hAnsi="Arial" w:cs="Arial"/>
      <w:b/>
      <w:bCs/>
      <w:sz w:val="24"/>
      <w:szCs w:val="24"/>
      <w:lang w:eastAsia="pt-BR"/>
    </w:rPr>
  </w:style>
  <w:style w:type="paragraph" w:customStyle="1" w:styleId="TableParagraph">
    <w:name w:val="Table Paragraph"/>
    <w:basedOn w:val="Normal"/>
    <w:uiPriority w:val="1"/>
    <w:qFormat/>
    <w:rsid w:val="00131C18"/>
    <w:pPr>
      <w:widowControl w:val="0"/>
      <w:autoSpaceDE w:val="0"/>
      <w:autoSpaceDN w:val="0"/>
      <w:adjustRightInd w:val="0"/>
      <w:spacing w:after="0"/>
      <w:jc w:val="left"/>
    </w:pPr>
    <w:rPr>
      <w:rFonts w:ascii="Times New Roman" w:eastAsia="Times New Roman" w:hAnsi="Times New Roman" w:cs="Times New Roman"/>
      <w:sz w:val="24"/>
      <w:szCs w:val="24"/>
      <w:lang w:eastAsia="pt-BR"/>
    </w:rPr>
  </w:style>
  <w:style w:type="character" w:customStyle="1" w:styleId="RodapChar">
    <w:name w:val="Rodapé Char"/>
    <w:aliases w:val="* Rodapé Char"/>
    <w:basedOn w:val="Fontepargpadro"/>
    <w:link w:val="Rodap"/>
    <w:uiPriority w:val="99"/>
    <w:rsid w:val="002C7797"/>
    <w:rPr>
      <w:rFonts w:ascii="Arial" w:hAnsi="Arial"/>
    </w:rPr>
  </w:style>
  <w:style w:type="paragraph" w:customStyle="1" w:styleId="Texto">
    <w:name w:val="Texto"/>
    <w:basedOn w:val="Normal"/>
    <w:rsid w:val="00F262DE"/>
    <w:pPr>
      <w:spacing w:after="240"/>
    </w:pPr>
    <w:rPr>
      <w:rFonts w:eastAsia="Times New Roman" w:cs="Arial"/>
      <w:bCs/>
      <w:lang w:eastAsia="pt-BR"/>
    </w:rPr>
  </w:style>
  <w:style w:type="character" w:styleId="Nmerodepgina">
    <w:name w:val="page number"/>
    <w:basedOn w:val="Fontepargpadro"/>
    <w:uiPriority w:val="99"/>
    <w:rsid w:val="002C7797"/>
  </w:style>
  <w:style w:type="character" w:customStyle="1" w:styleId="PargrafodaListaChar">
    <w:name w:val="Parágrafo da Lista Char"/>
    <w:link w:val="PargrafodaLista"/>
    <w:uiPriority w:val="99"/>
    <w:rsid w:val="00717C4E"/>
    <w:rPr>
      <w:rFonts w:ascii="Arial" w:hAnsi="Arial"/>
    </w:rPr>
  </w:style>
  <w:style w:type="paragraph" w:styleId="Legenda">
    <w:name w:val="caption"/>
    <w:aliases w:val="LegFig"/>
    <w:basedOn w:val="Normal"/>
    <w:next w:val="Normal"/>
    <w:unhideWhenUsed/>
    <w:qFormat/>
    <w:rsid w:val="00F5487F"/>
    <w:pPr>
      <w:keepNext/>
    </w:pPr>
    <w:rPr>
      <w:bCs/>
      <w:sz w:val="20"/>
      <w:szCs w:val="18"/>
    </w:rPr>
  </w:style>
  <w:style w:type="paragraph" w:customStyle="1" w:styleId="Titulo2">
    <w:name w:val="Titulo 2"/>
    <w:basedOn w:val="Ttulo2"/>
    <w:link w:val="Titulo2Char"/>
    <w:qFormat/>
    <w:rsid w:val="00374B8B"/>
    <w:pPr>
      <w:numPr>
        <w:numId w:val="2"/>
      </w:numPr>
      <w:tabs>
        <w:tab w:val="left" w:pos="709"/>
        <w:tab w:val="left" w:pos="851"/>
      </w:tabs>
      <w:spacing w:line="276" w:lineRule="auto"/>
      <w:jc w:val="left"/>
    </w:pPr>
    <w:rPr>
      <w:rFonts w:ascii="Arial" w:eastAsiaTheme="majorEastAsia" w:hAnsi="Arial" w:cstheme="majorBidi"/>
      <w:iCs w:val="0"/>
      <w:color w:val="000000" w:themeColor="text1"/>
      <w:szCs w:val="26"/>
      <w:lang w:eastAsia="en-US"/>
    </w:rPr>
  </w:style>
  <w:style w:type="character" w:customStyle="1" w:styleId="Titulo2Char">
    <w:name w:val="Titulo 2 Char"/>
    <w:basedOn w:val="Ttulo2Char"/>
    <w:link w:val="Titulo2"/>
    <w:rsid w:val="00374B8B"/>
    <w:rPr>
      <w:rFonts w:ascii="Arial" w:eastAsiaTheme="majorEastAsia" w:hAnsi="Arial" w:cstheme="majorBidi"/>
      <w:b/>
      <w:bCs/>
      <w:iCs w:val="0"/>
      <w:color w:val="000000" w:themeColor="text1"/>
      <w:sz w:val="24"/>
      <w:szCs w:val="26"/>
      <w:lang w:eastAsia="pt-BR"/>
    </w:rPr>
  </w:style>
  <w:style w:type="paragraph" w:styleId="CabealhodoSumrio">
    <w:name w:val="TOC Heading"/>
    <w:basedOn w:val="Ttulo1"/>
    <w:next w:val="Normal"/>
    <w:uiPriority w:val="39"/>
    <w:unhideWhenUsed/>
    <w:qFormat/>
    <w:rsid w:val="004E4046"/>
    <w:pPr>
      <w:pageBreakBefore w:val="0"/>
      <w:numPr>
        <w:numId w:val="0"/>
      </w:numPr>
      <w:spacing w:after="0" w:line="259" w:lineRule="auto"/>
      <w:jc w:val="left"/>
      <w:outlineLvl w:val="9"/>
    </w:pPr>
    <w:rPr>
      <w:rFonts w:asciiTheme="majorHAnsi" w:eastAsiaTheme="majorEastAsia" w:hAnsiTheme="majorHAnsi" w:cstheme="majorBidi"/>
      <w:b w:val="0"/>
      <w:bCs w:val="0"/>
      <w:caps w:val="0"/>
      <w:color w:val="365F91" w:themeColor="accent1" w:themeShade="BF"/>
      <w:sz w:val="32"/>
    </w:rPr>
  </w:style>
  <w:style w:type="paragraph" w:styleId="Sumrio1">
    <w:name w:val="toc 1"/>
    <w:basedOn w:val="Normal"/>
    <w:next w:val="Normal"/>
    <w:autoRedefine/>
    <w:uiPriority w:val="39"/>
    <w:unhideWhenUsed/>
    <w:rsid w:val="005B3162"/>
    <w:pPr>
      <w:spacing w:after="100"/>
    </w:pPr>
    <w:rPr>
      <w:b/>
    </w:rPr>
  </w:style>
  <w:style w:type="paragraph" w:styleId="Sumrio2">
    <w:name w:val="toc 2"/>
    <w:basedOn w:val="Normal"/>
    <w:next w:val="Normal"/>
    <w:autoRedefine/>
    <w:uiPriority w:val="39"/>
    <w:unhideWhenUsed/>
    <w:rsid w:val="004E4046"/>
    <w:pPr>
      <w:spacing w:after="100"/>
      <w:ind w:left="220"/>
    </w:pPr>
  </w:style>
  <w:style w:type="paragraph" w:styleId="Sumrio3">
    <w:name w:val="toc 3"/>
    <w:basedOn w:val="Normal"/>
    <w:next w:val="Normal"/>
    <w:autoRedefine/>
    <w:uiPriority w:val="39"/>
    <w:unhideWhenUsed/>
    <w:rsid w:val="005B3162"/>
    <w:pPr>
      <w:tabs>
        <w:tab w:val="left" w:pos="1320"/>
        <w:tab w:val="right" w:leader="dot" w:pos="9344"/>
      </w:tabs>
      <w:spacing w:after="60"/>
      <w:ind w:left="442"/>
    </w:pPr>
    <w:rPr>
      <w:noProof/>
      <w:sz w:val="20"/>
    </w:rPr>
  </w:style>
  <w:style w:type="paragraph" w:customStyle="1" w:styleId="EstiloVerdana11ptAntes6pt">
    <w:name w:val="Estilo Verdana 11 pt Antes:  6 pt"/>
    <w:basedOn w:val="Normal"/>
    <w:rsid w:val="00D9475A"/>
    <w:rPr>
      <w:rFonts w:ascii="Verdana" w:eastAsia="Times New Roman" w:hAnsi="Verdana" w:cs="Times New Roman"/>
      <w:sz w:val="20"/>
      <w:szCs w:val="20"/>
      <w:lang w:eastAsia="pt-BR"/>
    </w:rPr>
  </w:style>
  <w:style w:type="character" w:customStyle="1" w:styleId="apple-style-span">
    <w:name w:val="apple-style-span"/>
    <w:basedOn w:val="Fontepargpadro"/>
    <w:rsid w:val="00D9475A"/>
  </w:style>
  <w:style w:type="character" w:styleId="TtulodoLivro">
    <w:name w:val="Book Title"/>
    <w:basedOn w:val="Fontepargpadro"/>
    <w:uiPriority w:val="33"/>
    <w:qFormat/>
    <w:rsid w:val="00D9475A"/>
    <w:rPr>
      <w:rFonts w:ascii="Calibri" w:hAnsi="Calibri"/>
      <w:b/>
      <w:bCs/>
      <w:spacing w:val="5"/>
      <w:sz w:val="22"/>
    </w:rPr>
  </w:style>
  <w:style w:type="paragraph" w:customStyle="1" w:styleId="corpo">
    <w:name w:val="corpo"/>
    <w:basedOn w:val="Normal"/>
    <w:rsid w:val="00D9475A"/>
    <w:pPr>
      <w:spacing w:before="100" w:beforeAutospacing="1" w:after="100" w:afterAutospacing="1"/>
      <w:jc w:val="left"/>
    </w:pPr>
    <w:rPr>
      <w:rFonts w:ascii="Verdana" w:eastAsia="Times New Roman" w:hAnsi="Verdana" w:cs="Times New Roman"/>
      <w:color w:val="000000"/>
      <w:sz w:val="18"/>
      <w:szCs w:val="18"/>
      <w:lang w:eastAsia="pt-BR"/>
    </w:rPr>
  </w:style>
  <w:style w:type="character" w:customStyle="1" w:styleId="padrao1">
    <w:name w:val="padrao1"/>
    <w:basedOn w:val="Fontepargpadro"/>
    <w:rsid w:val="00D9475A"/>
    <w:rPr>
      <w:rFonts w:ascii="Verdana" w:hAnsi="Verdana" w:hint="default"/>
      <w:strike w:val="0"/>
      <w:dstrike w:val="0"/>
      <w:color w:val="474747"/>
      <w:sz w:val="12"/>
      <w:szCs w:val="12"/>
      <w:u w:val="none"/>
      <w:effect w:val="none"/>
    </w:rPr>
  </w:style>
  <w:style w:type="paragraph" w:customStyle="1" w:styleId="EstiloNormalWebLatimArial">
    <w:name w:val="Estilo Normal (Web) + (Latim) Arial"/>
    <w:basedOn w:val="NormalWeb"/>
    <w:link w:val="EstiloNormalWebLatimArialChar"/>
    <w:rsid w:val="00D9475A"/>
    <w:pPr>
      <w:spacing w:before="100" w:beforeAutospacing="1" w:after="120" w:line="240" w:lineRule="auto"/>
    </w:pPr>
    <w:rPr>
      <w:rFonts w:ascii="Arial" w:eastAsia="Arial Unicode MS" w:hAnsi="Arial" w:cs="Arial Unicode MS"/>
      <w:noProof/>
      <w:sz w:val="24"/>
      <w:szCs w:val="24"/>
    </w:rPr>
  </w:style>
  <w:style w:type="character" w:customStyle="1" w:styleId="EstiloNormalWebLatimArialChar">
    <w:name w:val="Estilo Normal (Web) + (Latim) Arial Char"/>
    <w:basedOn w:val="Fontepargpadro"/>
    <w:link w:val="EstiloNormalWebLatimArial"/>
    <w:locked/>
    <w:rsid w:val="00D9475A"/>
    <w:rPr>
      <w:rFonts w:ascii="Arial" w:eastAsia="Arial Unicode MS" w:hAnsi="Arial" w:cs="Arial Unicode MS"/>
      <w:noProof/>
      <w:sz w:val="24"/>
      <w:szCs w:val="24"/>
      <w:lang w:eastAsia="pt-BR"/>
    </w:rPr>
  </w:style>
  <w:style w:type="character" w:customStyle="1" w:styleId="Absatz-Standardschriftart">
    <w:name w:val="Absatz-Standardschriftart"/>
    <w:rsid w:val="00D9475A"/>
  </w:style>
  <w:style w:type="character" w:customStyle="1" w:styleId="Fontepargpadro1">
    <w:name w:val="Fonte parág. padrão1"/>
    <w:rsid w:val="00D9475A"/>
  </w:style>
  <w:style w:type="character" w:customStyle="1" w:styleId="NormalDestaque">
    <w:name w:val="Normal Destaque"/>
    <w:basedOn w:val="Fontepargpadro1"/>
    <w:rsid w:val="00D9475A"/>
    <w:rPr>
      <w:b/>
      <w:bCs/>
      <w:color w:val="0079A2"/>
    </w:rPr>
  </w:style>
  <w:style w:type="paragraph" w:customStyle="1" w:styleId="Captulo">
    <w:name w:val="Capítulo"/>
    <w:basedOn w:val="Normal"/>
    <w:next w:val="Corpodetexto"/>
    <w:rsid w:val="00D9475A"/>
    <w:pPr>
      <w:keepNext/>
      <w:widowControl w:val="0"/>
      <w:suppressAutoHyphens/>
      <w:spacing w:before="240"/>
      <w:jc w:val="left"/>
    </w:pPr>
    <w:rPr>
      <w:rFonts w:eastAsia="MS Mincho" w:cs="Tahoma"/>
      <w:sz w:val="28"/>
      <w:szCs w:val="28"/>
      <w:lang w:eastAsia="pt-BR"/>
    </w:rPr>
  </w:style>
  <w:style w:type="paragraph" w:customStyle="1" w:styleId="Legenda1">
    <w:name w:val="Legenda1"/>
    <w:basedOn w:val="Normal"/>
    <w:rsid w:val="00D9475A"/>
    <w:pPr>
      <w:widowControl w:val="0"/>
      <w:suppressLineNumbers/>
      <w:suppressAutoHyphens/>
      <w:spacing w:before="120"/>
      <w:jc w:val="left"/>
    </w:pPr>
    <w:rPr>
      <w:rFonts w:ascii="Times New Roman" w:eastAsia="Lucida Sans Unicode" w:hAnsi="Times New Roman" w:cs="Tahoma"/>
      <w:i/>
      <w:iCs/>
      <w:sz w:val="24"/>
      <w:szCs w:val="24"/>
      <w:lang w:eastAsia="pt-BR"/>
    </w:rPr>
  </w:style>
  <w:style w:type="paragraph" w:customStyle="1" w:styleId="ndice">
    <w:name w:val="Índice"/>
    <w:basedOn w:val="Normal"/>
    <w:rsid w:val="00D9475A"/>
    <w:pPr>
      <w:widowControl w:val="0"/>
      <w:suppressLineNumbers/>
      <w:suppressAutoHyphens/>
      <w:spacing w:after="0"/>
      <w:jc w:val="left"/>
    </w:pPr>
    <w:rPr>
      <w:rFonts w:ascii="Times New Roman" w:eastAsia="Lucida Sans Unicode" w:hAnsi="Times New Roman" w:cs="Tahoma"/>
      <w:sz w:val="24"/>
      <w:szCs w:val="24"/>
      <w:lang w:eastAsia="pt-BR"/>
    </w:rPr>
  </w:style>
  <w:style w:type="paragraph" w:customStyle="1" w:styleId="Contedodatabela">
    <w:name w:val="Conteúdo da tabela"/>
    <w:basedOn w:val="Normal"/>
    <w:rsid w:val="00D9475A"/>
    <w:pPr>
      <w:widowControl w:val="0"/>
      <w:suppressLineNumbers/>
      <w:suppressAutoHyphens/>
      <w:spacing w:after="0"/>
      <w:jc w:val="left"/>
    </w:pPr>
    <w:rPr>
      <w:rFonts w:ascii="Times New Roman" w:eastAsia="Lucida Sans Unicode" w:hAnsi="Times New Roman" w:cs="Times New Roman"/>
      <w:sz w:val="24"/>
      <w:szCs w:val="24"/>
      <w:lang w:eastAsia="pt-BR"/>
    </w:rPr>
  </w:style>
  <w:style w:type="paragraph" w:customStyle="1" w:styleId="Ttulodatabela">
    <w:name w:val="Título da tabela"/>
    <w:basedOn w:val="Contedodatabela"/>
    <w:rsid w:val="00D9475A"/>
    <w:pPr>
      <w:jc w:val="center"/>
    </w:pPr>
    <w:rPr>
      <w:b/>
      <w:bCs/>
    </w:rPr>
  </w:style>
  <w:style w:type="paragraph" w:customStyle="1" w:styleId="Fonte">
    <w:name w:val="Fonte"/>
    <w:basedOn w:val="Corpodetexto"/>
    <w:rsid w:val="00D9475A"/>
    <w:pPr>
      <w:widowControl/>
      <w:tabs>
        <w:tab w:val="left" w:pos="3969"/>
      </w:tabs>
      <w:suppressAutoHyphens/>
      <w:overflowPunct w:val="0"/>
      <w:autoSpaceDN/>
      <w:adjustRightInd/>
      <w:spacing w:before="80" w:after="120"/>
      <w:ind w:left="0"/>
      <w:textAlignment w:val="baseline"/>
    </w:pPr>
    <w:rPr>
      <w:rFonts w:cs="Times New Roman"/>
      <w:b w:val="0"/>
      <w:i/>
      <w:iCs/>
      <w:sz w:val="16"/>
      <w:szCs w:val="20"/>
      <w:lang w:val="en-US" w:eastAsia="ar-SA"/>
    </w:rPr>
  </w:style>
  <w:style w:type="paragraph" w:styleId="Sumrio4">
    <w:name w:val="toc 4"/>
    <w:basedOn w:val="Normal"/>
    <w:next w:val="Normal"/>
    <w:autoRedefine/>
    <w:uiPriority w:val="39"/>
    <w:unhideWhenUsed/>
    <w:rsid w:val="00253E44"/>
    <w:pPr>
      <w:tabs>
        <w:tab w:val="left" w:pos="1760"/>
        <w:tab w:val="right" w:leader="dot" w:pos="9344"/>
      </w:tabs>
      <w:spacing w:after="60"/>
      <w:ind w:left="658"/>
      <w:jc w:val="left"/>
    </w:pPr>
    <w:rPr>
      <w:rFonts w:eastAsiaTheme="minorEastAsia"/>
      <w:noProof/>
      <w:sz w:val="20"/>
      <w:lang w:eastAsia="pt-BR"/>
    </w:rPr>
  </w:style>
  <w:style w:type="paragraph" w:styleId="Sumrio5">
    <w:name w:val="toc 5"/>
    <w:basedOn w:val="Normal"/>
    <w:next w:val="Normal"/>
    <w:autoRedefine/>
    <w:uiPriority w:val="39"/>
    <w:unhideWhenUsed/>
    <w:rsid w:val="00052688"/>
    <w:pPr>
      <w:spacing w:after="100" w:line="259" w:lineRule="auto"/>
      <w:ind w:left="880"/>
      <w:jc w:val="left"/>
    </w:pPr>
    <w:rPr>
      <w:rFonts w:asciiTheme="minorHAnsi" w:eastAsiaTheme="minorEastAsia" w:hAnsiTheme="minorHAnsi"/>
      <w:lang w:eastAsia="pt-BR"/>
    </w:rPr>
  </w:style>
  <w:style w:type="paragraph" w:styleId="Sumrio6">
    <w:name w:val="toc 6"/>
    <w:basedOn w:val="Normal"/>
    <w:next w:val="Normal"/>
    <w:autoRedefine/>
    <w:uiPriority w:val="39"/>
    <w:unhideWhenUsed/>
    <w:rsid w:val="00052688"/>
    <w:pPr>
      <w:spacing w:after="100" w:line="259" w:lineRule="auto"/>
      <w:ind w:left="1100"/>
      <w:jc w:val="left"/>
    </w:pPr>
    <w:rPr>
      <w:rFonts w:asciiTheme="minorHAnsi" w:eastAsiaTheme="minorEastAsia" w:hAnsiTheme="minorHAnsi"/>
      <w:lang w:eastAsia="pt-BR"/>
    </w:rPr>
  </w:style>
  <w:style w:type="paragraph" w:styleId="Sumrio7">
    <w:name w:val="toc 7"/>
    <w:basedOn w:val="Normal"/>
    <w:next w:val="Normal"/>
    <w:autoRedefine/>
    <w:uiPriority w:val="39"/>
    <w:unhideWhenUsed/>
    <w:rsid w:val="00052688"/>
    <w:pPr>
      <w:spacing w:after="100" w:line="259" w:lineRule="auto"/>
      <w:ind w:left="1320"/>
      <w:jc w:val="left"/>
    </w:pPr>
    <w:rPr>
      <w:rFonts w:asciiTheme="minorHAnsi" w:eastAsiaTheme="minorEastAsia" w:hAnsiTheme="minorHAnsi"/>
      <w:lang w:eastAsia="pt-BR"/>
    </w:rPr>
  </w:style>
  <w:style w:type="paragraph" w:styleId="Sumrio8">
    <w:name w:val="toc 8"/>
    <w:basedOn w:val="Normal"/>
    <w:next w:val="Normal"/>
    <w:autoRedefine/>
    <w:uiPriority w:val="39"/>
    <w:unhideWhenUsed/>
    <w:rsid w:val="00052688"/>
    <w:pPr>
      <w:spacing w:after="100" w:line="259" w:lineRule="auto"/>
      <w:ind w:left="1540"/>
      <w:jc w:val="left"/>
    </w:pPr>
    <w:rPr>
      <w:rFonts w:asciiTheme="minorHAnsi" w:eastAsiaTheme="minorEastAsia" w:hAnsiTheme="minorHAnsi"/>
      <w:lang w:eastAsia="pt-BR"/>
    </w:rPr>
  </w:style>
  <w:style w:type="paragraph" w:styleId="Sumrio9">
    <w:name w:val="toc 9"/>
    <w:basedOn w:val="Normal"/>
    <w:next w:val="Normal"/>
    <w:autoRedefine/>
    <w:uiPriority w:val="39"/>
    <w:unhideWhenUsed/>
    <w:rsid w:val="00052688"/>
    <w:pPr>
      <w:spacing w:after="100" w:line="259" w:lineRule="auto"/>
      <w:ind w:left="1760"/>
      <w:jc w:val="left"/>
    </w:pPr>
    <w:rPr>
      <w:rFonts w:asciiTheme="minorHAnsi" w:eastAsiaTheme="minorEastAsia" w:hAnsiTheme="minorHAnsi"/>
      <w:lang w:eastAsia="pt-BR"/>
    </w:rPr>
  </w:style>
  <w:style w:type="table" w:customStyle="1" w:styleId="ListaClara1">
    <w:name w:val="Lista Clara1"/>
    <w:basedOn w:val="Tabelanormal"/>
    <w:uiPriority w:val="61"/>
    <w:rsid w:val="00CE7BD0"/>
    <w:pPr>
      <w:spacing w:after="0" w:line="240" w:lineRule="auto"/>
    </w:pPr>
    <w:rPr>
      <w:rFonts w:eastAsiaTheme="minorEastAsia"/>
      <w:lang w:eastAsia="pt-BR"/>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highlightedsearchterm">
    <w:name w:val="highlightedsearchterm"/>
    <w:basedOn w:val="Fontepargpadro"/>
    <w:rsid w:val="003E0FE2"/>
  </w:style>
  <w:style w:type="paragraph" w:customStyle="1" w:styleId="PNMT-SubTitulo">
    <w:name w:val="PNMT-SubTitulo"/>
    <w:basedOn w:val="Normal"/>
    <w:qFormat/>
    <w:rsid w:val="00606DFD"/>
    <w:pPr>
      <w:keepNext/>
      <w:keepLines/>
      <w:numPr>
        <w:numId w:val="5"/>
      </w:numPr>
      <w:spacing w:after="0"/>
      <w:outlineLvl w:val="2"/>
    </w:pPr>
    <w:rPr>
      <w:rFonts w:eastAsia="Cambria" w:cs="Calibri"/>
      <w:b/>
      <w:bCs/>
      <w:caps/>
      <w:szCs w:val="24"/>
      <w:lang w:eastAsia="pt-BR"/>
    </w:rPr>
  </w:style>
  <w:style w:type="paragraph" w:customStyle="1" w:styleId="PNMT-Topico">
    <w:name w:val="PNMT-Topico"/>
    <w:basedOn w:val="Normal"/>
    <w:qFormat/>
    <w:rsid w:val="00606DFD"/>
    <w:pPr>
      <w:keepNext/>
      <w:keepLines/>
      <w:numPr>
        <w:ilvl w:val="1"/>
        <w:numId w:val="5"/>
      </w:numPr>
      <w:spacing w:after="0" w:line="360" w:lineRule="auto"/>
      <w:outlineLvl w:val="2"/>
    </w:pPr>
    <w:rPr>
      <w:rFonts w:eastAsia="Cambria" w:cs="Calibri"/>
      <w:b/>
      <w:bCs/>
      <w:lang w:eastAsia="pt-BR"/>
    </w:rPr>
  </w:style>
  <w:style w:type="paragraph" w:customStyle="1" w:styleId="PNMT-SubTopico">
    <w:name w:val="PNMT-SubTopico"/>
    <w:basedOn w:val="PNMT-Topico"/>
    <w:qFormat/>
    <w:rsid w:val="00606DFD"/>
    <w:pPr>
      <w:numPr>
        <w:ilvl w:val="2"/>
      </w:numPr>
      <w:ind w:left="0" w:firstLine="0"/>
    </w:pPr>
  </w:style>
  <w:style w:type="table" w:customStyle="1" w:styleId="TableNormal">
    <w:name w:val="Table Normal"/>
    <w:uiPriority w:val="2"/>
    <w:semiHidden/>
    <w:unhideWhenUsed/>
    <w:qFormat/>
    <w:rsid w:val="00212C0B"/>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A1">
    <w:name w:val="A1"/>
    <w:uiPriority w:val="99"/>
    <w:rsid w:val="00212C0B"/>
    <w:rPr>
      <w:rFonts w:cs="Frutiger-Cn"/>
      <w:color w:val="000000"/>
      <w:sz w:val="18"/>
      <w:szCs w:val="18"/>
    </w:rPr>
  </w:style>
  <w:style w:type="paragraph" w:customStyle="1" w:styleId="Pa66">
    <w:name w:val="Pa66"/>
    <w:basedOn w:val="Normal"/>
    <w:next w:val="Normal"/>
    <w:uiPriority w:val="99"/>
    <w:rsid w:val="00752803"/>
    <w:pPr>
      <w:autoSpaceDE w:val="0"/>
      <w:autoSpaceDN w:val="0"/>
      <w:adjustRightInd w:val="0"/>
      <w:spacing w:after="0" w:line="241" w:lineRule="atLeast"/>
      <w:jc w:val="left"/>
    </w:pPr>
    <w:rPr>
      <w:rFonts w:ascii="Frutiger-Roman" w:hAnsi="Frutiger-Roman"/>
      <w:sz w:val="24"/>
      <w:szCs w:val="24"/>
    </w:rPr>
  </w:style>
  <w:style w:type="paragraph" w:customStyle="1" w:styleId="Pa16">
    <w:name w:val="Pa16"/>
    <w:basedOn w:val="Normal"/>
    <w:next w:val="Normal"/>
    <w:uiPriority w:val="99"/>
    <w:rsid w:val="00752803"/>
    <w:pPr>
      <w:autoSpaceDE w:val="0"/>
      <w:autoSpaceDN w:val="0"/>
      <w:adjustRightInd w:val="0"/>
      <w:spacing w:after="0" w:line="221" w:lineRule="atLeast"/>
      <w:jc w:val="left"/>
    </w:pPr>
    <w:rPr>
      <w:rFonts w:ascii="Frutiger-Roman" w:hAnsi="Frutiger-Roman"/>
      <w:sz w:val="24"/>
      <w:szCs w:val="24"/>
    </w:rPr>
  </w:style>
  <w:style w:type="paragraph" w:customStyle="1" w:styleId="Heading11">
    <w:name w:val="Heading 11"/>
    <w:basedOn w:val="Normal"/>
    <w:uiPriority w:val="1"/>
    <w:qFormat/>
    <w:rsid w:val="0042378C"/>
    <w:pPr>
      <w:spacing w:before="65" w:after="200" w:line="276" w:lineRule="auto"/>
      <w:ind w:left="838" w:hanging="360"/>
      <w:jc w:val="left"/>
      <w:outlineLvl w:val="0"/>
    </w:pPr>
    <w:rPr>
      <w:rFonts w:cs="Arial"/>
      <w:b/>
      <w:bCs/>
      <w:sz w:val="28"/>
      <w:szCs w:val="28"/>
    </w:rPr>
  </w:style>
  <w:style w:type="paragraph" w:customStyle="1" w:styleId="Heading31">
    <w:name w:val="Heading 31"/>
    <w:basedOn w:val="Normal"/>
    <w:uiPriority w:val="1"/>
    <w:qFormat/>
    <w:rsid w:val="0042378C"/>
    <w:pPr>
      <w:spacing w:before="120" w:after="200" w:line="276" w:lineRule="auto"/>
      <w:ind w:left="720" w:hanging="483"/>
      <w:jc w:val="left"/>
      <w:outlineLvl w:val="2"/>
    </w:pPr>
    <w:rPr>
      <w:rFonts w:cs="Arial"/>
    </w:rPr>
  </w:style>
  <w:style w:type="numbering" w:customStyle="1" w:styleId="Estilo1">
    <w:name w:val="Estilo1"/>
    <w:uiPriority w:val="99"/>
    <w:rsid w:val="0042378C"/>
    <w:pPr>
      <w:numPr>
        <w:numId w:val="8"/>
      </w:numPr>
    </w:pPr>
  </w:style>
  <w:style w:type="character" w:customStyle="1" w:styleId="apple-converted-space">
    <w:name w:val="apple-converted-space"/>
    <w:basedOn w:val="Fontepargpadro"/>
    <w:rsid w:val="0042378C"/>
  </w:style>
  <w:style w:type="paragraph" w:customStyle="1" w:styleId="texto0">
    <w:name w:val="texto"/>
    <w:basedOn w:val="Normal"/>
    <w:rsid w:val="0042378C"/>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titulo1">
    <w:name w:val="titulo1"/>
    <w:basedOn w:val="Fontepargpadro"/>
    <w:rsid w:val="0042378C"/>
    <w:rPr>
      <w:rFonts w:ascii="Verdana" w:hAnsi="Verdana" w:hint="default"/>
      <w:b/>
      <w:bCs/>
      <w:color w:val="333300"/>
      <w:sz w:val="16"/>
      <w:szCs w:val="16"/>
    </w:rPr>
  </w:style>
  <w:style w:type="character" w:styleId="Refdecomentrio">
    <w:name w:val="annotation reference"/>
    <w:basedOn w:val="Fontepargpadro"/>
    <w:uiPriority w:val="99"/>
    <w:unhideWhenUsed/>
    <w:rsid w:val="00426697"/>
    <w:rPr>
      <w:sz w:val="16"/>
      <w:szCs w:val="16"/>
    </w:rPr>
  </w:style>
  <w:style w:type="paragraph" w:styleId="Textodecomentrio">
    <w:name w:val="annotation text"/>
    <w:basedOn w:val="Normal"/>
    <w:link w:val="TextodecomentrioChar"/>
    <w:uiPriority w:val="99"/>
    <w:unhideWhenUsed/>
    <w:rsid w:val="00426697"/>
    <w:pPr>
      <w:spacing w:after="160"/>
      <w:jc w:val="left"/>
    </w:pPr>
    <w:rPr>
      <w:rFonts w:asciiTheme="minorHAnsi" w:hAnsiTheme="minorHAnsi"/>
      <w:sz w:val="20"/>
      <w:szCs w:val="20"/>
    </w:rPr>
  </w:style>
  <w:style w:type="character" w:customStyle="1" w:styleId="TextodecomentrioChar">
    <w:name w:val="Texto de comentário Char"/>
    <w:basedOn w:val="Fontepargpadro"/>
    <w:link w:val="Textodecomentrio"/>
    <w:uiPriority w:val="99"/>
    <w:rsid w:val="00426697"/>
    <w:rPr>
      <w:sz w:val="20"/>
      <w:szCs w:val="20"/>
    </w:rPr>
  </w:style>
  <w:style w:type="paragraph" w:styleId="Assuntodocomentrio">
    <w:name w:val="annotation subject"/>
    <w:basedOn w:val="Textodecomentrio"/>
    <w:next w:val="Textodecomentrio"/>
    <w:link w:val="AssuntodocomentrioChar"/>
    <w:unhideWhenUsed/>
    <w:rsid w:val="00426697"/>
    <w:rPr>
      <w:b/>
      <w:bCs/>
    </w:rPr>
  </w:style>
  <w:style w:type="character" w:customStyle="1" w:styleId="AssuntodocomentrioChar">
    <w:name w:val="Assunto do comentário Char"/>
    <w:basedOn w:val="TextodecomentrioChar"/>
    <w:link w:val="Assuntodocomentrio"/>
    <w:rsid w:val="00426697"/>
    <w:rPr>
      <w:b/>
      <w:bCs/>
      <w:sz w:val="20"/>
      <w:szCs w:val="20"/>
    </w:rPr>
  </w:style>
  <w:style w:type="character" w:customStyle="1" w:styleId="Ttulo6Char">
    <w:name w:val="Título 6 Char"/>
    <w:basedOn w:val="Fontepargpadro"/>
    <w:link w:val="Ttulo6"/>
    <w:rsid w:val="001F6C6C"/>
    <w:rPr>
      <w:rFonts w:ascii="Arial" w:eastAsia="Times New Roman" w:hAnsi="Arial" w:cs="Times New Roman"/>
      <w:b/>
      <w:bCs/>
      <w:lang w:eastAsia="pt-BR"/>
    </w:rPr>
  </w:style>
  <w:style w:type="character" w:customStyle="1" w:styleId="Ttulo7Char">
    <w:name w:val="Título 7 Char"/>
    <w:basedOn w:val="Fontepargpadro"/>
    <w:link w:val="Ttulo7"/>
    <w:rsid w:val="00F5487F"/>
    <w:rPr>
      <w:rFonts w:ascii="Arial" w:eastAsia="Times New Roman" w:hAnsi="Arial" w:cs="Times New Roman"/>
      <w:b/>
      <w:szCs w:val="24"/>
      <w:lang w:eastAsia="pt-BR"/>
    </w:rPr>
  </w:style>
  <w:style w:type="character" w:customStyle="1" w:styleId="Ttulo8Char">
    <w:name w:val="Título 8 Char"/>
    <w:basedOn w:val="Fontepargpadro"/>
    <w:link w:val="Ttulo8"/>
    <w:rsid w:val="00F5487F"/>
    <w:rPr>
      <w:rFonts w:ascii="Times New Roman" w:eastAsia="Times New Roman" w:hAnsi="Times New Roman" w:cs="Times New Roman"/>
      <w:i/>
      <w:iCs/>
      <w:color w:val="333333"/>
      <w:sz w:val="24"/>
      <w:szCs w:val="24"/>
      <w:lang w:eastAsia="pt-BR"/>
    </w:rPr>
  </w:style>
  <w:style w:type="character" w:customStyle="1" w:styleId="Ttulo9Char">
    <w:name w:val="Título 9 Char"/>
    <w:basedOn w:val="Fontepargpadro"/>
    <w:link w:val="Ttulo9"/>
    <w:rsid w:val="00F5487F"/>
    <w:rPr>
      <w:rFonts w:ascii="Arial" w:eastAsia="Times New Roman" w:hAnsi="Arial" w:cs="Arial"/>
      <w:color w:val="333333"/>
      <w:sz w:val="20"/>
      <w:lang w:eastAsia="pt-BR"/>
    </w:rPr>
  </w:style>
  <w:style w:type="paragraph" w:customStyle="1" w:styleId="TituloTabela">
    <w:name w:val="Titulo Tabela"/>
    <w:basedOn w:val="Normal"/>
    <w:rsid w:val="00F5487F"/>
    <w:pPr>
      <w:keepNext/>
      <w:spacing w:before="120"/>
      <w:jc w:val="center"/>
    </w:pPr>
    <w:rPr>
      <w:rFonts w:eastAsia="Times New Roman" w:cs="Times New Roman"/>
      <w:b/>
      <w:smallCaps/>
      <w:noProof/>
      <w:sz w:val="20"/>
      <w:szCs w:val="20"/>
      <w:lang w:eastAsia="pt-BR"/>
    </w:rPr>
  </w:style>
  <w:style w:type="character" w:styleId="HiperlinkVisitado">
    <w:name w:val="FollowedHyperlink"/>
    <w:uiPriority w:val="99"/>
    <w:rsid w:val="00F5487F"/>
    <w:rPr>
      <w:color w:val="800080"/>
      <w:u w:val="single"/>
    </w:rPr>
  </w:style>
  <w:style w:type="paragraph" w:styleId="Remissivo1">
    <w:name w:val="index 1"/>
    <w:basedOn w:val="Normal"/>
    <w:next w:val="Normal"/>
    <w:semiHidden/>
    <w:rsid w:val="00F5487F"/>
    <w:pPr>
      <w:keepLines/>
      <w:spacing w:after="0"/>
      <w:ind w:left="260" w:hanging="260"/>
    </w:pPr>
    <w:rPr>
      <w:rFonts w:ascii="Times New Roman" w:eastAsia="Times New Roman" w:hAnsi="Times New Roman" w:cs="Times New Roman"/>
      <w:sz w:val="26"/>
      <w:szCs w:val="20"/>
      <w:lang w:eastAsia="pt-BR"/>
    </w:rPr>
  </w:style>
  <w:style w:type="paragraph" w:styleId="Ttulodanota">
    <w:name w:val="Note Heading"/>
    <w:basedOn w:val="Normal"/>
    <w:next w:val="Normal"/>
    <w:link w:val="TtulodanotaChar"/>
    <w:rsid w:val="00F5487F"/>
    <w:pPr>
      <w:keepLines/>
      <w:spacing w:after="0"/>
      <w:jc w:val="center"/>
    </w:pPr>
    <w:rPr>
      <w:rFonts w:eastAsia="Times New Roman" w:cs="Times New Roman"/>
      <w:sz w:val="24"/>
      <w:szCs w:val="20"/>
      <w:lang w:eastAsia="pt-BR"/>
    </w:rPr>
  </w:style>
  <w:style w:type="character" w:customStyle="1" w:styleId="TtulodanotaChar">
    <w:name w:val="Título da nota Char"/>
    <w:basedOn w:val="Fontepargpadro"/>
    <w:link w:val="Ttulodanota"/>
    <w:rsid w:val="00F5487F"/>
    <w:rPr>
      <w:rFonts w:ascii="Arial" w:eastAsia="Times New Roman" w:hAnsi="Arial" w:cs="Times New Roman"/>
      <w:sz w:val="24"/>
      <w:szCs w:val="20"/>
      <w:lang w:eastAsia="pt-BR"/>
    </w:rPr>
  </w:style>
  <w:style w:type="paragraph" w:styleId="Remissivo9">
    <w:name w:val="index 9"/>
    <w:basedOn w:val="Normal"/>
    <w:next w:val="Normal"/>
    <w:autoRedefine/>
    <w:semiHidden/>
    <w:rsid w:val="00F5487F"/>
    <w:pPr>
      <w:keepLines/>
      <w:numPr>
        <w:numId w:val="10"/>
      </w:numPr>
      <w:tabs>
        <w:tab w:val="clear" w:pos="0"/>
      </w:tabs>
      <w:spacing w:after="0"/>
      <w:ind w:left="2340" w:hanging="260"/>
    </w:pPr>
    <w:rPr>
      <w:rFonts w:ascii="Times New Roman" w:eastAsia="Times New Roman" w:hAnsi="Times New Roman" w:cs="Times New Roman"/>
      <w:sz w:val="26"/>
      <w:szCs w:val="20"/>
      <w:lang w:eastAsia="pt-BR"/>
    </w:rPr>
  </w:style>
  <w:style w:type="paragraph" w:customStyle="1" w:styleId="Titulo3">
    <w:name w:val="Titulo 3"/>
    <w:basedOn w:val="Normal"/>
    <w:rsid w:val="00F5487F"/>
    <w:pPr>
      <w:keepNext/>
      <w:spacing w:before="180" w:after="180" w:line="228" w:lineRule="auto"/>
      <w:ind w:left="851" w:hanging="851"/>
    </w:pPr>
    <w:rPr>
      <w:rFonts w:ascii="Verdana" w:eastAsia="Times New Roman" w:hAnsi="Verdana" w:cs="Times New Roman"/>
      <w:b/>
      <w:sz w:val="20"/>
      <w:szCs w:val="24"/>
      <w:u w:val="single"/>
      <w:lang w:eastAsia="pt-BR"/>
    </w:rPr>
  </w:style>
  <w:style w:type="paragraph" w:customStyle="1" w:styleId="Estilo16ptCentralizadoAntes12ptInferiorSimplesAutom">
    <w:name w:val="Estilo 16 pt Centralizado Antes:  12 pt Inferior: (Simples Autom..."/>
    <w:basedOn w:val="Normal"/>
    <w:rsid w:val="00F5487F"/>
    <w:pPr>
      <w:spacing w:before="240"/>
      <w:jc w:val="center"/>
    </w:pPr>
    <w:rPr>
      <w:rFonts w:ascii="Verdana" w:eastAsia="Times New Roman" w:hAnsi="Verdana" w:cs="Times New Roman"/>
      <w:sz w:val="20"/>
      <w:szCs w:val="20"/>
      <w:lang w:eastAsia="pt-BR"/>
    </w:rPr>
  </w:style>
  <w:style w:type="paragraph" w:customStyle="1" w:styleId="TtuloFigura">
    <w:name w:val="Título Figura"/>
    <w:basedOn w:val="Normal"/>
    <w:next w:val="Normal"/>
    <w:rsid w:val="00F5487F"/>
    <w:pPr>
      <w:spacing w:after="240" w:line="280" w:lineRule="atLeast"/>
    </w:pPr>
    <w:rPr>
      <w:rFonts w:ascii="Verdana" w:eastAsia="Times New Roman" w:hAnsi="Verdana" w:cs="Times New Roman"/>
      <w:b/>
      <w:color w:val="333333"/>
      <w:sz w:val="20"/>
      <w:szCs w:val="18"/>
      <w:lang w:eastAsia="en-GB"/>
    </w:rPr>
  </w:style>
  <w:style w:type="paragraph" w:customStyle="1" w:styleId="NmerodePgina0">
    <w:name w:val="Número de Página"/>
    <w:basedOn w:val="Normal"/>
    <w:next w:val="Normal"/>
    <w:autoRedefine/>
    <w:rsid w:val="00F5487F"/>
    <w:pPr>
      <w:widowControl w:val="0"/>
      <w:ind w:right="-1"/>
      <w:jc w:val="right"/>
    </w:pPr>
    <w:rPr>
      <w:rFonts w:eastAsia="Times New Roman" w:cs="Times New Roman"/>
      <w:noProof/>
      <w:sz w:val="18"/>
      <w:szCs w:val="20"/>
      <w:lang w:eastAsia="pt-BR"/>
    </w:rPr>
  </w:style>
  <w:style w:type="paragraph" w:customStyle="1" w:styleId="EstiloEstilo16ptCentralizadoAntes12ptInferiorSimplesAu">
    <w:name w:val="Estilo Estilo 16 pt Centralizado Antes:  12 pt Inferior: (Simples Au..."/>
    <w:basedOn w:val="Estilo16ptCentralizadoAntes12ptInferiorSimplesAutom"/>
    <w:rsid w:val="00F5487F"/>
    <w:rPr>
      <w:sz w:val="32"/>
    </w:rPr>
  </w:style>
  <w:style w:type="paragraph" w:customStyle="1" w:styleId="Marcador1">
    <w:name w:val="Marcador 1"/>
    <w:basedOn w:val="Normal"/>
    <w:rsid w:val="00F5487F"/>
    <w:pPr>
      <w:tabs>
        <w:tab w:val="num" w:pos="397"/>
      </w:tabs>
      <w:spacing w:before="60" w:after="0" w:line="280" w:lineRule="atLeast"/>
      <w:ind w:left="397" w:hanging="340"/>
    </w:pPr>
    <w:rPr>
      <w:rFonts w:eastAsia="Times New Roman" w:cs="Times New Roman"/>
      <w:szCs w:val="18"/>
      <w:lang w:eastAsia="en-GB"/>
    </w:rPr>
  </w:style>
  <w:style w:type="paragraph" w:styleId="Corpodetexto2">
    <w:name w:val="Body Text 2"/>
    <w:basedOn w:val="Normal"/>
    <w:link w:val="Corpodetexto2Char"/>
    <w:rsid w:val="00F5487F"/>
    <w:pPr>
      <w:spacing w:after="0"/>
      <w:ind w:right="-30"/>
    </w:pPr>
    <w:rPr>
      <w:rFonts w:ascii="Times New Roman" w:eastAsia="Times New Roman" w:hAnsi="Times New Roman" w:cs="Times New Roman"/>
      <w:sz w:val="24"/>
      <w:szCs w:val="20"/>
      <w:lang w:eastAsia="pt-BR"/>
    </w:rPr>
  </w:style>
  <w:style w:type="character" w:customStyle="1" w:styleId="Corpodetexto2Char">
    <w:name w:val="Corpo de texto 2 Char"/>
    <w:basedOn w:val="Fontepargpadro"/>
    <w:link w:val="Corpodetexto2"/>
    <w:rsid w:val="00F5487F"/>
    <w:rPr>
      <w:rFonts w:ascii="Times New Roman" w:eastAsia="Times New Roman" w:hAnsi="Times New Roman" w:cs="Times New Roman"/>
      <w:sz w:val="24"/>
      <w:szCs w:val="20"/>
      <w:lang w:eastAsia="pt-BR"/>
    </w:rPr>
  </w:style>
  <w:style w:type="character" w:customStyle="1" w:styleId="Heading1Char">
    <w:name w:val="Heading 1 Char"/>
    <w:locked/>
    <w:rsid w:val="00F5487F"/>
    <w:rPr>
      <w:rFonts w:ascii="Verdana" w:eastAsia="SimSun" w:hAnsi="Verdana" w:cs="Arial"/>
      <w:b/>
      <w:bCs/>
      <w:smallCaps/>
      <w:sz w:val="28"/>
      <w:szCs w:val="28"/>
      <w:lang w:val="pt-BR" w:eastAsia="zh-CN" w:bidi="ar-SA"/>
    </w:rPr>
  </w:style>
  <w:style w:type="character" w:customStyle="1" w:styleId="Heading2Char">
    <w:name w:val="Heading 2 Char"/>
    <w:locked/>
    <w:rsid w:val="00F5487F"/>
    <w:rPr>
      <w:rFonts w:ascii="Verdana" w:eastAsia="SimSun" w:hAnsi="Verdana" w:cs="Arial"/>
      <w:b/>
      <w:bCs/>
      <w:smallCaps/>
      <w:sz w:val="26"/>
      <w:szCs w:val="26"/>
      <w:lang w:val="pt-BR" w:eastAsia="zh-CN" w:bidi="ar-SA"/>
    </w:rPr>
  </w:style>
  <w:style w:type="character" w:customStyle="1" w:styleId="regulartext">
    <w:name w:val="regulartext"/>
    <w:rsid w:val="00F5487F"/>
    <w:rPr>
      <w:rFonts w:cs="Times New Roman"/>
    </w:rPr>
  </w:style>
  <w:style w:type="paragraph" w:customStyle="1" w:styleId="NormalTahoma">
    <w:name w:val="Normal + Tahoma"/>
    <w:aliases w:val="12 pt"/>
    <w:basedOn w:val="Normal"/>
    <w:rsid w:val="00F5487F"/>
    <w:pPr>
      <w:suppressAutoHyphens/>
      <w:spacing w:before="200" w:after="0" w:line="360" w:lineRule="auto"/>
    </w:pPr>
    <w:rPr>
      <w:rFonts w:ascii="Tahoma" w:eastAsia="Times New Roman" w:hAnsi="Tahoma" w:cs="Tahoma"/>
      <w:sz w:val="24"/>
      <w:szCs w:val="24"/>
      <w:lang w:eastAsia="ar-SA"/>
    </w:rPr>
  </w:style>
  <w:style w:type="paragraph" w:customStyle="1" w:styleId="NormalPargrafo">
    <w:name w:val="Normal Parágrafo"/>
    <w:basedOn w:val="Normal"/>
    <w:link w:val="NormalPargrafoChar"/>
    <w:rsid w:val="00F5487F"/>
    <w:pPr>
      <w:spacing w:before="200" w:after="0" w:line="280" w:lineRule="atLeast"/>
    </w:pPr>
    <w:rPr>
      <w:rFonts w:eastAsia="Times New Roman" w:cs="Times New Roman"/>
      <w:szCs w:val="18"/>
      <w:lang w:eastAsia="en-GB"/>
    </w:rPr>
  </w:style>
  <w:style w:type="character" w:customStyle="1" w:styleId="NormalPargrafoChar">
    <w:name w:val="Normal Parágrafo Char"/>
    <w:link w:val="NormalPargrafo"/>
    <w:locked/>
    <w:rsid w:val="00F5487F"/>
    <w:rPr>
      <w:rFonts w:ascii="Arial" w:eastAsia="Times New Roman" w:hAnsi="Arial" w:cs="Times New Roman"/>
      <w:szCs w:val="18"/>
      <w:lang w:eastAsia="en-GB"/>
    </w:rPr>
  </w:style>
  <w:style w:type="character" w:customStyle="1" w:styleId="Heading4Char">
    <w:name w:val="Heading 4 Char"/>
    <w:locked/>
    <w:rsid w:val="00F5487F"/>
    <w:rPr>
      <w:rFonts w:ascii="Verdana" w:hAnsi="Verdana" w:cs="Times New Roman"/>
      <w:b/>
      <w:bCs/>
      <w:sz w:val="28"/>
      <w:lang w:val="pt-BR" w:eastAsia="pt-BR"/>
    </w:rPr>
  </w:style>
  <w:style w:type="paragraph" w:customStyle="1" w:styleId="referencia">
    <w:name w:val="referencia"/>
    <w:basedOn w:val="Normal"/>
    <w:rsid w:val="00F5487F"/>
    <w:pPr>
      <w:tabs>
        <w:tab w:val="left" w:pos="709"/>
      </w:tabs>
      <w:suppressAutoHyphens/>
      <w:spacing w:after="0" w:line="480" w:lineRule="auto"/>
      <w:ind w:left="397" w:hanging="397"/>
    </w:pPr>
    <w:rPr>
      <w:rFonts w:ascii="Times New Roman" w:eastAsia="Times New Roman" w:hAnsi="Times New Roman" w:cs="Times New Roman"/>
      <w:noProof/>
      <w:sz w:val="24"/>
      <w:szCs w:val="20"/>
      <w:lang w:eastAsia="pt-BR"/>
    </w:rPr>
  </w:style>
  <w:style w:type="paragraph" w:customStyle="1" w:styleId="Bibliografia1">
    <w:name w:val="Bibliografia1"/>
    <w:basedOn w:val="Normal"/>
    <w:link w:val="BibliografiaChar"/>
    <w:rsid w:val="00F5487F"/>
    <w:pPr>
      <w:spacing w:after="0" w:line="360" w:lineRule="auto"/>
      <w:ind w:left="360" w:hanging="360"/>
    </w:pPr>
    <w:rPr>
      <w:rFonts w:ascii="Times New Roman" w:eastAsia="Times New Roman" w:hAnsi="Times New Roman" w:cs="Times New Roman"/>
      <w:smallCaps/>
      <w:color w:val="000000"/>
      <w:sz w:val="24"/>
      <w:szCs w:val="24"/>
      <w:lang w:val="en-US" w:eastAsia="pt-BR"/>
    </w:rPr>
  </w:style>
  <w:style w:type="character" w:customStyle="1" w:styleId="BibliografiaChar">
    <w:name w:val="Bibliografia Char"/>
    <w:link w:val="Bibliografia1"/>
    <w:locked/>
    <w:rsid w:val="00F5487F"/>
    <w:rPr>
      <w:rFonts w:ascii="Times New Roman" w:eastAsia="Times New Roman" w:hAnsi="Times New Roman" w:cs="Times New Roman"/>
      <w:smallCaps/>
      <w:color w:val="000000"/>
      <w:sz w:val="24"/>
      <w:szCs w:val="24"/>
      <w:lang w:val="en-US" w:eastAsia="pt-BR"/>
    </w:rPr>
  </w:style>
  <w:style w:type="paragraph" w:customStyle="1" w:styleId="ReferenciasPAZ">
    <w:name w:val="Referencias PAZ"/>
    <w:basedOn w:val="SemEspaamento1"/>
    <w:link w:val="ReferenciasPAZChar"/>
    <w:rsid w:val="00F5487F"/>
    <w:pPr>
      <w:spacing w:line="360" w:lineRule="auto"/>
      <w:ind w:left="425" w:hanging="425"/>
      <w:jc w:val="left"/>
    </w:pPr>
    <w:rPr>
      <w:rFonts w:ascii="Cambria" w:hAnsi="Cambria"/>
      <w:sz w:val="22"/>
    </w:rPr>
  </w:style>
  <w:style w:type="paragraph" w:customStyle="1" w:styleId="SemEspaamento1">
    <w:name w:val="Sem Espaçamento1"/>
    <w:rsid w:val="00F5487F"/>
    <w:pPr>
      <w:spacing w:after="0" w:line="240" w:lineRule="auto"/>
      <w:jc w:val="both"/>
    </w:pPr>
    <w:rPr>
      <w:rFonts w:ascii="Verdana" w:eastAsia="Times New Roman" w:hAnsi="Verdana" w:cs="Times New Roman"/>
      <w:sz w:val="24"/>
      <w:szCs w:val="24"/>
      <w:lang w:eastAsia="pt-BR"/>
    </w:rPr>
  </w:style>
  <w:style w:type="character" w:customStyle="1" w:styleId="ReferenciasPAZChar">
    <w:name w:val="Referencias PAZ Char"/>
    <w:link w:val="ReferenciasPAZ"/>
    <w:locked/>
    <w:rsid w:val="00F5487F"/>
    <w:rPr>
      <w:rFonts w:ascii="Cambria" w:eastAsia="Times New Roman" w:hAnsi="Cambria" w:cs="Times New Roman"/>
      <w:szCs w:val="24"/>
      <w:lang w:eastAsia="pt-BR"/>
    </w:rPr>
  </w:style>
  <w:style w:type="character" w:styleId="nfase">
    <w:name w:val="Emphasis"/>
    <w:uiPriority w:val="20"/>
    <w:qFormat/>
    <w:rsid w:val="00F5487F"/>
    <w:rPr>
      <w:rFonts w:cs="Times New Roman"/>
      <w:i/>
    </w:rPr>
  </w:style>
  <w:style w:type="numbering" w:customStyle="1" w:styleId="Probiota">
    <w:name w:val="Probiota"/>
    <w:basedOn w:val="Semlista"/>
    <w:rsid w:val="00F5487F"/>
    <w:pPr>
      <w:numPr>
        <w:numId w:val="11"/>
      </w:numPr>
    </w:pPr>
  </w:style>
  <w:style w:type="paragraph" w:styleId="Recuodecorpodetexto">
    <w:name w:val="Body Text Indent"/>
    <w:basedOn w:val="Normal"/>
    <w:link w:val="RecuodecorpodetextoChar"/>
    <w:uiPriority w:val="99"/>
    <w:rsid w:val="00F5487F"/>
    <w:pPr>
      <w:ind w:left="283"/>
    </w:pPr>
    <w:rPr>
      <w:rFonts w:eastAsia="Times New Roman" w:cs="Times New Roman"/>
      <w:szCs w:val="24"/>
      <w:lang w:eastAsia="pt-BR"/>
    </w:rPr>
  </w:style>
  <w:style w:type="character" w:customStyle="1" w:styleId="RecuodecorpodetextoChar">
    <w:name w:val="Recuo de corpo de texto Char"/>
    <w:basedOn w:val="Fontepargpadro"/>
    <w:link w:val="Recuodecorpodetexto"/>
    <w:uiPriority w:val="99"/>
    <w:rsid w:val="00F5487F"/>
    <w:rPr>
      <w:rFonts w:ascii="Arial" w:eastAsia="Times New Roman" w:hAnsi="Arial" w:cs="Times New Roman"/>
      <w:szCs w:val="24"/>
      <w:lang w:eastAsia="pt-BR"/>
    </w:rPr>
  </w:style>
  <w:style w:type="paragraph" w:customStyle="1" w:styleId="PNMT-Texto">
    <w:name w:val="PNMT-Texto"/>
    <w:basedOn w:val="NormalWeb"/>
    <w:uiPriority w:val="99"/>
    <w:qFormat/>
    <w:rsid w:val="00F5487F"/>
    <w:pPr>
      <w:spacing w:after="0" w:line="240" w:lineRule="auto"/>
      <w:jc w:val="both"/>
    </w:pPr>
    <w:rPr>
      <w:rFonts w:ascii="Arial" w:eastAsia="Calibri" w:hAnsi="Arial"/>
      <w:sz w:val="22"/>
      <w:szCs w:val="24"/>
      <w:lang w:eastAsia="en-US"/>
    </w:rPr>
  </w:style>
  <w:style w:type="paragraph" w:customStyle="1" w:styleId="western">
    <w:name w:val="western"/>
    <w:basedOn w:val="Normal"/>
    <w:rsid w:val="00F5487F"/>
    <w:pPr>
      <w:spacing w:before="100" w:beforeAutospacing="1" w:after="119"/>
    </w:pPr>
    <w:rPr>
      <w:rFonts w:eastAsia="Times New Roman" w:cs="Arial"/>
      <w:sz w:val="24"/>
      <w:szCs w:val="24"/>
      <w:lang w:eastAsia="pt-BR"/>
    </w:rPr>
  </w:style>
  <w:style w:type="paragraph" w:customStyle="1" w:styleId="xl66">
    <w:name w:val="xl66"/>
    <w:basedOn w:val="Normal"/>
    <w:rsid w:val="00F5487F"/>
    <w:pPr>
      <w:shd w:val="clear" w:color="000000" w:fill="F2F2F2"/>
      <w:spacing w:before="100" w:beforeAutospacing="1" w:after="100" w:afterAutospacing="1"/>
    </w:pPr>
    <w:rPr>
      <w:rFonts w:ascii="Times New Roman" w:eastAsia="Times New Roman" w:hAnsi="Times New Roman" w:cs="Times New Roman"/>
      <w:sz w:val="24"/>
      <w:szCs w:val="24"/>
      <w:lang w:eastAsia="pt-BR"/>
    </w:rPr>
  </w:style>
  <w:style w:type="paragraph" w:customStyle="1" w:styleId="xl67">
    <w:name w:val="xl67"/>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68">
    <w:name w:val="xl68"/>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rFonts w:eastAsia="Times New Roman" w:cs="Arial"/>
      <w:b/>
      <w:bCs/>
      <w:sz w:val="24"/>
      <w:szCs w:val="24"/>
      <w:lang w:eastAsia="pt-BR"/>
    </w:rPr>
  </w:style>
  <w:style w:type="paragraph" w:customStyle="1" w:styleId="xl69">
    <w:name w:val="xl69"/>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Verdana" w:eastAsia="Times New Roman" w:hAnsi="Verdana" w:cs="Times New Roman"/>
      <w:b/>
      <w:bCs/>
      <w:sz w:val="18"/>
      <w:szCs w:val="18"/>
      <w:lang w:eastAsia="pt-BR"/>
    </w:rPr>
  </w:style>
  <w:style w:type="paragraph" w:customStyle="1" w:styleId="xl70">
    <w:name w:val="xl70"/>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rFonts w:eastAsia="Times New Roman" w:cs="Arial"/>
      <w:b/>
      <w:bCs/>
      <w:sz w:val="18"/>
      <w:szCs w:val="18"/>
      <w:lang w:eastAsia="pt-BR"/>
    </w:rPr>
  </w:style>
  <w:style w:type="paragraph" w:customStyle="1" w:styleId="xl71">
    <w:name w:val="xl71"/>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pPr>
    <w:rPr>
      <w:rFonts w:eastAsia="Times New Roman" w:cs="Arial"/>
      <w:b/>
      <w:bCs/>
      <w:sz w:val="18"/>
      <w:szCs w:val="18"/>
      <w:lang w:eastAsia="pt-BR"/>
    </w:rPr>
  </w:style>
  <w:style w:type="paragraph" w:customStyle="1" w:styleId="xl72">
    <w:name w:val="xl72"/>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pPr>
    <w:rPr>
      <w:rFonts w:eastAsia="Times New Roman" w:cs="Arial"/>
      <w:b/>
      <w:bCs/>
      <w:sz w:val="24"/>
      <w:szCs w:val="24"/>
      <w:lang w:eastAsia="pt-BR"/>
    </w:rPr>
  </w:style>
  <w:style w:type="paragraph" w:customStyle="1" w:styleId="xl73">
    <w:name w:val="xl73"/>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74">
    <w:name w:val="xl74"/>
    <w:basedOn w:val="Normal"/>
    <w:rsid w:val="00F5487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75">
    <w:name w:val="xl75"/>
    <w:basedOn w:val="Normal"/>
    <w:rsid w:val="00F5487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76">
    <w:name w:val="xl76"/>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pt-BR"/>
    </w:rPr>
  </w:style>
  <w:style w:type="paragraph" w:customStyle="1" w:styleId="xl77">
    <w:name w:val="xl77"/>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i/>
      <w:iCs/>
      <w:sz w:val="18"/>
      <w:szCs w:val="18"/>
      <w:lang w:eastAsia="pt-BR"/>
    </w:rPr>
  </w:style>
  <w:style w:type="paragraph" w:customStyle="1" w:styleId="xl78">
    <w:name w:val="xl78"/>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8"/>
      <w:szCs w:val="18"/>
      <w:lang w:eastAsia="pt-BR"/>
    </w:rPr>
  </w:style>
  <w:style w:type="paragraph" w:customStyle="1" w:styleId="xl79">
    <w:name w:val="xl79"/>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lang w:eastAsia="pt-BR"/>
    </w:rPr>
  </w:style>
  <w:style w:type="paragraph" w:customStyle="1" w:styleId="xl80">
    <w:name w:val="xl80"/>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eastAsia="Times New Roman" w:hAnsi="Verdana" w:cs="Times New Roman"/>
      <w:sz w:val="18"/>
      <w:szCs w:val="18"/>
      <w:lang w:eastAsia="pt-BR"/>
    </w:rPr>
  </w:style>
  <w:style w:type="paragraph" w:customStyle="1" w:styleId="xl81">
    <w:name w:val="xl81"/>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8"/>
      <w:szCs w:val="18"/>
      <w:lang w:eastAsia="pt-BR"/>
    </w:rPr>
  </w:style>
  <w:style w:type="paragraph" w:customStyle="1" w:styleId="xl82">
    <w:name w:val="xl82"/>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i/>
      <w:iCs/>
      <w:sz w:val="18"/>
      <w:szCs w:val="18"/>
      <w:lang w:eastAsia="pt-BR"/>
    </w:rPr>
  </w:style>
  <w:style w:type="paragraph" w:customStyle="1" w:styleId="xl83">
    <w:name w:val="xl83"/>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i/>
      <w:iCs/>
      <w:sz w:val="18"/>
      <w:szCs w:val="18"/>
      <w:lang w:eastAsia="pt-BR"/>
    </w:rPr>
  </w:style>
  <w:style w:type="paragraph" w:customStyle="1" w:styleId="xl84">
    <w:name w:val="xl84"/>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pt-BR"/>
    </w:rPr>
  </w:style>
  <w:style w:type="paragraph" w:customStyle="1" w:styleId="xl85">
    <w:name w:val="xl85"/>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86">
    <w:name w:val="xl86"/>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pt-BR"/>
    </w:rPr>
  </w:style>
  <w:style w:type="paragraph" w:customStyle="1" w:styleId="xl87">
    <w:name w:val="xl87"/>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24"/>
      <w:szCs w:val="24"/>
      <w:lang w:eastAsia="pt-BR"/>
    </w:rPr>
  </w:style>
  <w:style w:type="paragraph" w:customStyle="1" w:styleId="xl88">
    <w:name w:val="xl88"/>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i/>
      <w:iCs/>
      <w:sz w:val="18"/>
      <w:szCs w:val="18"/>
      <w:lang w:eastAsia="pt-BR"/>
    </w:rPr>
  </w:style>
  <w:style w:type="paragraph" w:customStyle="1" w:styleId="xl89">
    <w:name w:val="xl89"/>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lang w:eastAsia="pt-BR"/>
    </w:rPr>
  </w:style>
  <w:style w:type="table" w:styleId="SombreamentoClaro">
    <w:name w:val="Light Shading"/>
    <w:basedOn w:val="Tabelanormal"/>
    <w:uiPriority w:val="60"/>
    <w:rsid w:val="00F5487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Pa11">
    <w:name w:val="Pa11"/>
    <w:basedOn w:val="Normal"/>
    <w:next w:val="Normal"/>
    <w:rsid w:val="00F5487F"/>
    <w:pPr>
      <w:autoSpaceDE w:val="0"/>
      <w:autoSpaceDN w:val="0"/>
      <w:adjustRightInd w:val="0"/>
      <w:spacing w:after="0" w:line="181" w:lineRule="atLeast"/>
    </w:pPr>
    <w:rPr>
      <w:rFonts w:ascii="Times" w:eastAsia="Times New Roman" w:hAnsi="Times" w:cs="Times New Roman"/>
      <w:sz w:val="24"/>
      <w:szCs w:val="24"/>
      <w:lang w:eastAsia="pt-BR"/>
    </w:rPr>
  </w:style>
  <w:style w:type="paragraph" w:customStyle="1" w:styleId="PSB-Texto">
    <w:name w:val="PSB-Texto"/>
    <w:basedOn w:val="NormalWeb"/>
    <w:uiPriority w:val="99"/>
    <w:semiHidden/>
    <w:qFormat/>
    <w:rsid w:val="00F5487F"/>
    <w:pPr>
      <w:spacing w:after="0" w:line="240" w:lineRule="auto"/>
      <w:jc w:val="both"/>
    </w:pPr>
    <w:rPr>
      <w:rFonts w:ascii="Arial" w:eastAsia="Calibri" w:hAnsi="Arial"/>
      <w:sz w:val="22"/>
      <w:szCs w:val="24"/>
      <w:lang w:eastAsia="en-US"/>
    </w:rPr>
  </w:style>
  <w:style w:type="paragraph" w:customStyle="1" w:styleId="font5">
    <w:name w:val="font5"/>
    <w:basedOn w:val="Normal"/>
    <w:rsid w:val="00F5487F"/>
    <w:pPr>
      <w:spacing w:before="100" w:beforeAutospacing="1" w:after="100" w:afterAutospacing="1"/>
    </w:pPr>
    <w:rPr>
      <w:rFonts w:ascii="Tahoma" w:eastAsia="Times New Roman" w:hAnsi="Tahoma" w:cs="Tahoma"/>
      <w:color w:val="000000"/>
      <w:sz w:val="24"/>
      <w:szCs w:val="24"/>
      <w:lang w:eastAsia="pt-BR"/>
    </w:rPr>
  </w:style>
  <w:style w:type="paragraph" w:customStyle="1" w:styleId="font6">
    <w:name w:val="font6"/>
    <w:basedOn w:val="Normal"/>
    <w:rsid w:val="00F5487F"/>
    <w:pPr>
      <w:spacing w:before="100" w:beforeAutospacing="1" w:after="100" w:afterAutospacing="1"/>
    </w:pPr>
    <w:rPr>
      <w:rFonts w:eastAsia="Times New Roman" w:cs="Arial"/>
      <w:color w:val="000000"/>
      <w:sz w:val="20"/>
      <w:szCs w:val="20"/>
      <w:lang w:eastAsia="pt-BR"/>
    </w:rPr>
  </w:style>
  <w:style w:type="paragraph" w:customStyle="1" w:styleId="font7">
    <w:name w:val="font7"/>
    <w:basedOn w:val="Normal"/>
    <w:rsid w:val="00F5487F"/>
    <w:pPr>
      <w:spacing w:before="100" w:beforeAutospacing="1" w:after="100" w:afterAutospacing="1"/>
    </w:pPr>
    <w:rPr>
      <w:rFonts w:eastAsia="Times New Roman" w:cs="Arial"/>
      <w:i/>
      <w:iCs/>
      <w:color w:val="000000"/>
      <w:sz w:val="20"/>
      <w:szCs w:val="20"/>
      <w:lang w:eastAsia="pt-BR"/>
    </w:rPr>
  </w:style>
  <w:style w:type="paragraph" w:customStyle="1" w:styleId="xl65">
    <w:name w:val="xl65"/>
    <w:basedOn w:val="Normal"/>
    <w:rsid w:val="00F5487F"/>
    <w:pPr>
      <w:shd w:val="clear" w:color="000000" w:fill="D9D9D9"/>
      <w:spacing w:before="100" w:beforeAutospacing="1" w:after="100" w:afterAutospacing="1"/>
      <w:textAlignment w:val="center"/>
    </w:pPr>
    <w:rPr>
      <w:rFonts w:eastAsia="Times New Roman" w:cs="Arial"/>
      <w:b/>
      <w:bCs/>
      <w:color w:val="000000"/>
      <w:sz w:val="20"/>
      <w:szCs w:val="20"/>
      <w:lang w:eastAsia="pt-BR"/>
    </w:rPr>
  </w:style>
  <w:style w:type="paragraph" w:customStyle="1" w:styleId="xl90">
    <w:name w:val="xl90"/>
    <w:basedOn w:val="Normal"/>
    <w:rsid w:val="00F5487F"/>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pt-BR"/>
    </w:rPr>
  </w:style>
  <w:style w:type="paragraph" w:customStyle="1" w:styleId="xl91">
    <w:name w:val="xl91"/>
    <w:basedOn w:val="Normal"/>
    <w:rsid w:val="00F5487F"/>
    <w:pPr>
      <w:pBdr>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pt-BR"/>
    </w:rPr>
  </w:style>
  <w:style w:type="paragraph" w:customStyle="1" w:styleId="xl92">
    <w:name w:val="xl92"/>
    <w:basedOn w:val="Normal"/>
    <w:rsid w:val="00F5487F"/>
    <w:pPr>
      <w:pBdr>
        <w:bottom w:val="single" w:sz="8" w:space="0" w:color="auto"/>
        <w:right w:val="single" w:sz="8" w:space="0" w:color="auto"/>
      </w:pBdr>
      <w:spacing w:before="100" w:beforeAutospacing="1" w:after="100" w:afterAutospacing="1"/>
      <w:jc w:val="right"/>
      <w:textAlignment w:val="center"/>
    </w:pPr>
    <w:rPr>
      <w:rFonts w:ascii="Times New Roman" w:eastAsia="Times New Roman" w:hAnsi="Times New Roman" w:cs="Times New Roman"/>
      <w:color w:val="000000"/>
      <w:sz w:val="16"/>
      <w:szCs w:val="16"/>
      <w:lang w:eastAsia="pt-BR"/>
    </w:rPr>
  </w:style>
  <w:style w:type="paragraph" w:customStyle="1" w:styleId="xl93">
    <w:name w:val="xl93"/>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color w:val="000000"/>
      <w:lang w:eastAsia="pt-BR"/>
    </w:rPr>
  </w:style>
  <w:style w:type="paragraph" w:customStyle="1" w:styleId="xl94">
    <w:name w:val="xl94"/>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color w:val="000000"/>
      <w:lang w:eastAsia="pt-BR"/>
    </w:rPr>
  </w:style>
  <w:style w:type="paragraph" w:customStyle="1" w:styleId="xl95">
    <w:name w:val="xl95"/>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sz w:val="18"/>
      <w:szCs w:val="18"/>
      <w:lang w:eastAsia="pt-BR"/>
    </w:rPr>
  </w:style>
  <w:style w:type="paragraph" w:customStyle="1" w:styleId="xl96">
    <w:name w:val="xl96"/>
    <w:basedOn w:val="Normal"/>
    <w:rsid w:val="00F5487F"/>
    <w:pPr>
      <w:pBdr>
        <w:bottom w:val="single" w:sz="8" w:space="0" w:color="auto"/>
        <w:right w:val="single" w:sz="8" w:space="0" w:color="auto"/>
      </w:pBdr>
      <w:shd w:val="clear" w:color="000000" w:fill="F2F2F2"/>
      <w:spacing w:before="100" w:beforeAutospacing="1" w:after="100" w:afterAutospacing="1"/>
      <w:jc w:val="center"/>
      <w:textAlignment w:val="center"/>
    </w:pPr>
    <w:rPr>
      <w:rFonts w:ascii="Times New Roman" w:eastAsia="Times New Roman" w:hAnsi="Times New Roman" w:cs="Times New Roman"/>
      <w:sz w:val="18"/>
      <w:szCs w:val="18"/>
      <w:lang w:eastAsia="pt-BR"/>
    </w:rPr>
  </w:style>
  <w:style w:type="paragraph" w:customStyle="1" w:styleId="xl97">
    <w:name w:val="xl97"/>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sz w:val="24"/>
      <w:szCs w:val="24"/>
      <w:lang w:eastAsia="pt-BR"/>
    </w:rPr>
  </w:style>
  <w:style w:type="paragraph" w:customStyle="1" w:styleId="xl98">
    <w:name w:val="xl98"/>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b/>
      <w:bCs/>
      <w:sz w:val="18"/>
      <w:szCs w:val="18"/>
      <w:lang w:eastAsia="pt-BR"/>
    </w:rPr>
  </w:style>
  <w:style w:type="paragraph" w:customStyle="1" w:styleId="xl99">
    <w:name w:val="xl99"/>
    <w:basedOn w:val="Normal"/>
    <w:rsid w:val="00F5487F"/>
    <w:pPr>
      <w:pBdr>
        <w:bottom w:val="single" w:sz="8" w:space="0" w:color="auto"/>
        <w:right w:val="single" w:sz="8" w:space="0" w:color="auto"/>
      </w:pBdr>
      <w:shd w:val="clear" w:color="000000" w:fill="F2F2F2"/>
      <w:spacing w:before="100" w:beforeAutospacing="1" w:after="100" w:afterAutospacing="1"/>
      <w:jc w:val="center"/>
      <w:textAlignment w:val="center"/>
    </w:pPr>
    <w:rPr>
      <w:rFonts w:ascii="Times New Roman" w:eastAsia="Times New Roman" w:hAnsi="Times New Roman" w:cs="Times New Roman"/>
      <w:b/>
      <w:bCs/>
      <w:sz w:val="18"/>
      <w:szCs w:val="18"/>
      <w:lang w:eastAsia="pt-BR"/>
    </w:rPr>
  </w:style>
  <w:style w:type="paragraph" w:customStyle="1" w:styleId="xl100">
    <w:name w:val="xl100"/>
    <w:basedOn w:val="Normal"/>
    <w:rsid w:val="00F5487F"/>
    <w:pPr>
      <w:pBdr>
        <w:bottom w:val="single" w:sz="8" w:space="0" w:color="auto"/>
        <w:right w:val="single" w:sz="8" w:space="0" w:color="auto"/>
      </w:pBdr>
      <w:shd w:val="clear" w:color="000000" w:fill="F2F2F2"/>
      <w:spacing w:before="100" w:beforeAutospacing="1" w:after="100" w:afterAutospacing="1"/>
      <w:jc w:val="center"/>
      <w:textAlignment w:val="center"/>
    </w:pPr>
    <w:rPr>
      <w:rFonts w:ascii="Times New Roman" w:eastAsia="Times New Roman" w:hAnsi="Times New Roman" w:cs="Times New Roman"/>
      <w:color w:val="000000"/>
      <w:lang w:eastAsia="pt-BR"/>
    </w:rPr>
  </w:style>
  <w:style w:type="paragraph" w:customStyle="1" w:styleId="xl101">
    <w:name w:val="xl101"/>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sz w:val="16"/>
      <w:szCs w:val="16"/>
      <w:lang w:eastAsia="pt-BR"/>
    </w:rPr>
  </w:style>
  <w:style w:type="paragraph" w:customStyle="1" w:styleId="xl102">
    <w:name w:val="xl102"/>
    <w:basedOn w:val="Normal"/>
    <w:rsid w:val="00F5487F"/>
    <w:pPr>
      <w:pBdr>
        <w:top w:val="single" w:sz="8" w:space="0" w:color="auto"/>
        <w:left w:val="single" w:sz="8" w:space="0" w:color="auto"/>
        <w:right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sz w:val="24"/>
      <w:szCs w:val="24"/>
      <w:lang w:eastAsia="pt-BR"/>
    </w:rPr>
  </w:style>
  <w:style w:type="paragraph" w:customStyle="1" w:styleId="xl103">
    <w:name w:val="xl103"/>
    <w:basedOn w:val="Normal"/>
    <w:rsid w:val="00F5487F"/>
    <w:pPr>
      <w:pBdr>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sz w:val="24"/>
      <w:szCs w:val="24"/>
      <w:lang w:eastAsia="pt-BR"/>
    </w:rPr>
  </w:style>
  <w:style w:type="paragraph" w:customStyle="1" w:styleId="xl104">
    <w:name w:val="xl104"/>
    <w:basedOn w:val="Normal"/>
    <w:rsid w:val="00F5487F"/>
    <w:pPr>
      <w:pBdr>
        <w:top w:val="single" w:sz="8" w:space="0" w:color="auto"/>
        <w:bottom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color w:val="000000"/>
      <w:sz w:val="24"/>
      <w:szCs w:val="24"/>
      <w:lang w:eastAsia="pt-BR"/>
    </w:rPr>
  </w:style>
  <w:style w:type="paragraph" w:customStyle="1" w:styleId="xl105">
    <w:name w:val="xl105"/>
    <w:basedOn w:val="Normal"/>
    <w:rsid w:val="00F5487F"/>
    <w:pPr>
      <w:pBdr>
        <w:top w:val="single" w:sz="8" w:space="0" w:color="auto"/>
        <w:left w:val="single" w:sz="8" w:space="0" w:color="auto"/>
        <w:bottom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color w:val="000000"/>
      <w:sz w:val="24"/>
      <w:szCs w:val="24"/>
      <w:lang w:eastAsia="pt-BR"/>
    </w:rPr>
  </w:style>
  <w:style w:type="paragraph" w:styleId="Reviso">
    <w:name w:val="Revision"/>
    <w:hidden/>
    <w:uiPriority w:val="99"/>
    <w:semiHidden/>
    <w:rsid w:val="00F5487F"/>
    <w:pPr>
      <w:spacing w:after="0" w:line="240" w:lineRule="auto"/>
    </w:pPr>
  </w:style>
  <w:style w:type="character" w:customStyle="1" w:styleId="hps">
    <w:name w:val="hps"/>
    <w:basedOn w:val="Fontepargpadro"/>
    <w:rsid w:val="00625EAA"/>
  </w:style>
  <w:style w:type="character" w:customStyle="1" w:styleId="A12">
    <w:name w:val="A12"/>
    <w:uiPriority w:val="99"/>
    <w:rsid w:val="00E551CF"/>
    <w:rPr>
      <w:rFonts w:cs="Frutiger-Cn"/>
      <w:color w:val="000000"/>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3497581">
      <w:bodyDiv w:val="1"/>
      <w:marLeft w:val="0"/>
      <w:marRight w:val="0"/>
      <w:marTop w:val="0"/>
      <w:marBottom w:val="0"/>
      <w:divBdr>
        <w:top w:val="none" w:sz="0" w:space="0" w:color="auto"/>
        <w:left w:val="none" w:sz="0" w:space="0" w:color="auto"/>
        <w:bottom w:val="none" w:sz="0" w:space="0" w:color="auto"/>
        <w:right w:val="none" w:sz="0" w:space="0" w:color="auto"/>
      </w:divBdr>
      <w:divsChild>
        <w:div w:id="1129474085">
          <w:marLeft w:val="0"/>
          <w:marRight w:val="0"/>
          <w:marTop w:val="0"/>
          <w:marBottom w:val="0"/>
          <w:divBdr>
            <w:top w:val="none" w:sz="0" w:space="0" w:color="auto"/>
            <w:left w:val="none" w:sz="0" w:space="0" w:color="auto"/>
            <w:bottom w:val="none" w:sz="0" w:space="0" w:color="auto"/>
            <w:right w:val="none" w:sz="0" w:space="0" w:color="auto"/>
          </w:divBdr>
          <w:divsChild>
            <w:div w:id="1275790094">
              <w:marLeft w:val="0"/>
              <w:marRight w:val="0"/>
              <w:marTop w:val="0"/>
              <w:marBottom w:val="0"/>
              <w:divBdr>
                <w:top w:val="none" w:sz="0" w:space="0" w:color="auto"/>
                <w:left w:val="none" w:sz="0" w:space="0" w:color="auto"/>
                <w:bottom w:val="none" w:sz="0" w:space="0" w:color="auto"/>
                <w:right w:val="none" w:sz="0" w:space="0" w:color="auto"/>
              </w:divBdr>
              <w:divsChild>
                <w:div w:id="1766724401">
                  <w:marLeft w:val="0"/>
                  <w:marRight w:val="0"/>
                  <w:marTop w:val="0"/>
                  <w:marBottom w:val="0"/>
                  <w:divBdr>
                    <w:top w:val="none" w:sz="0" w:space="0" w:color="auto"/>
                    <w:left w:val="none" w:sz="0" w:space="0" w:color="auto"/>
                    <w:bottom w:val="none" w:sz="0" w:space="0" w:color="auto"/>
                    <w:right w:val="none" w:sz="0" w:space="0" w:color="auto"/>
                  </w:divBdr>
                  <w:divsChild>
                    <w:div w:id="923417200">
                      <w:marLeft w:val="0"/>
                      <w:marRight w:val="0"/>
                      <w:marTop w:val="0"/>
                      <w:marBottom w:val="0"/>
                      <w:divBdr>
                        <w:top w:val="none" w:sz="0" w:space="0" w:color="auto"/>
                        <w:left w:val="none" w:sz="0" w:space="0" w:color="auto"/>
                        <w:bottom w:val="none" w:sz="0" w:space="0" w:color="auto"/>
                        <w:right w:val="none" w:sz="0" w:space="0" w:color="auto"/>
                      </w:divBdr>
                      <w:divsChild>
                        <w:div w:id="1876385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2557778">
      <w:bodyDiv w:val="1"/>
      <w:marLeft w:val="0"/>
      <w:marRight w:val="0"/>
      <w:marTop w:val="0"/>
      <w:marBottom w:val="0"/>
      <w:divBdr>
        <w:top w:val="none" w:sz="0" w:space="0" w:color="auto"/>
        <w:left w:val="none" w:sz="0" w:space="0" w:color="auto"/>
        <w:bottom w:val="none" w:sz="0" w:space="0" w:color="auto"/>
        <w:right w:val="none" w:sz="0" w:space="0" w:color="auto"/>
      </w:divBdr>
      <w:divsChild>
        <w:div w:id="1528643803">
          <w:marLeft w:val="0"/>
          <w:marRight w:val="0"/>
          <w:marTop w:val="0"/>
          <w:marBottom w:val="0"/>
          <w:divBdr>
            <w:top w:val="none" w:sz="0" w:space="0" w:color="auto"/>
            <w:left w:val="none" w:sz="0" w:space="0" w:color="auto"/>
            <w:bottom w:val="none" w:sz="0" w:space="0" w:color="auto"/>
            <w:right w:val="none" w:sz="0" w:space="0" w:color="auto"/>
          </w:divBdr>
          <w:divsChild>
            <w:div w:id="1417439157">
              <w:marLeft w:val="0"/>
              <w:marRight w:val="0"/>
              <w:marTop w:val="0"/>
              <w:marBottom w:val="0"/>
              <w:divBdr>
                <w:top w:val="none" w:sz="0" w:space="0" w:color="auto"/>
                <w:left w:val="none" w:sz="0" w:space="0" w:color="auto"/>
                <w:bottom w:val="none" w:sz="0" w:space="0" w:color="auto"/>
                <w:right w:val="none" w:sz="0" w:space="0" w:color="auto"/>
              </w:divBdr>
            </w:div>
            <w:div w:id="1821456200">
              <w:marLeft w:val="0"/>
              <w:marRight w:val="0"/>
              <w:marTop w:val="0"/>
              <w:marBottom w:val="0"/>
              <w:divBdr>
                <w:top w:val="none" w:sz="0" w:space="0" w:color="auto"/>
                <w:left w:val="none" w:sz="0" w:space="0" w:color="auto"/>
                <w:bottom w:val="none" w:sz="0" w:space="0" w:color="auto"/>
                <w:right w:val="none" w:sz="0" w:space="0" w:color="auto"/>
              </w:divBdr>
              <w:divsChild>
                <w:div w:id="1559588127">
                  <w:marLeft w:val="0"/>
                  <w:marRight w:val="0"/>
                  <w:marTop w:val="0"/>
                  <w:marBottom w:val="0"/>
                  <w:divBdr>
                    <w:top w:val="none" w:sz="0" w:space="0" w:color="auto"/>
                    <w:left w:val="none" w:sz="0" w:space="0" w:color="auto"/>
                    <w:bottom w:val="none" w:sz="0" w:space="0" w:color="auto"/>
                    <w:right w:val="none" w:sz="0" w:space="0" w:color="auto"/>
                  </w:divBdr>
                  <w:divsChild>
                    <w:div w:id="697321109">
                      <w:marLeft w:val="0"/>
                      <w:marRight w:val="0"/>
                      <w:marTop w:val="0"/>
                      <w:marBottom w:val="0"/>
                      <w:divBdr>
                        <w:top w:val="none" w:sz="0" w:space="0" w:color="auto"/>
                        <w:left w:val="none" w:sz="0" w:space="0" w:color="auto"/>
                        <w:bottom w:val="none" w:sz="0" w:space="0" w:color="auto"/>
                        <w:right w:val="none" w:sz="0" w:space="0" w:color="auto"/>
                      </w:divBdr>
                      <w:divsChild>
                        <w:div w:id="1645425620">
                          <w:marLeft w:val="0"/>
                          <w:marRight w:val="0"/>
                          <w:marTop w:val="0"/>
                          <w:marBottom w:val="0"/>
                          <w:divBdr>
                            <w:top w:val="none" w:sz="0" w:space="0" w:color="auto"/>
                            <w:left w:val="none" w:sz="0" w:space="0" w:color="auto"/>
                            <w:bottom w:val="none" w:sz="0" w:space="0" w:color="auto"/>
                            <w:right w:val="none" w:sz="0" w:space="0" w:color="auto"/>
                          </w:divBdr>
                        </w:div>
                        <w:div w:id="1795522373">
                          <w:marLeft w:val="0"/>
                          <w:marRight w:val="0"/>
                          <w:marTop w:val="0"/>
                          <w:marBottom w:val="0"/>
                          <w:divBdr>
                            <w:top w:val="none" w:sz="0" w:space="0" w:color="auto"/>
                            <w:left w:val="none" w:sz="0" w:space="0" w:color="auto"/>
                            <w:bottom w:val="none" w:sz="0" w:space="0" w:color="auto"/>
                            <w:right w:val="none" w:sz="0" w:space="0" w:color="auto"/>
                          </w:divBdr>
                        </w:div>
                        <w:div w:id="185823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3259125">
      <w:bodyDiv w:val="1"/>
      <w:marLeft w:val="0"/>
      <w:marRight w:val="0"/>
      <w:marTop w:val="0"/>
      <w:marBottom w:val="0"/>
      <w:divBdr>
        <w:top w:val="none" w:sz="0" w:space="0" w:color="auto"/>
        <w:left w:val="none" w:sz="0" w:space="0" w:color="auto"/>
        <w:bottom w:val="none" w:sz="0" w:space="0" w:color="auto"/>
        <w:right w:val="none" w:sz="0" w:space="0" w:color="auto"/>
      </w:divBdr>
    </w:div>
    <w:div w:id="525606468">
      <w:bodyDiv w:val="1"/>
      <w:marLeft w:val="0"/>
      <w:marRight w:val="0"/>
      <w:marTop w:val="0"/>
      <w:marBottom w:val="0"/>
      <w:divBdr>
        <w:top w:val="none" w:sz="0" w:space="0" w:color="auto"/>
        <w:left w:val="none" w:sz="0" w:space="0" w:color="auto"/>
        <w:bottom w:val="none" w:sz="0" w:space="0" w:color="auto"/>
        <w:right w:val="none" w:sz="0" w:space="0" w:color="auto"/>
      </w:divBdr>
    </w:div>
    <w:div w:id="732118179">
      <w:bodyDiv w:val="1"/>
      <w:marLeft w:val="0"/>
      <w:marRight w:val="0"/>
      <w:marTop w:val="0"/>
      <w:marBottom w:val="0"/>
      <w:divBdr>
        <w:top w:val="none" w:sz="0" w:space="0" w:color="auto"/>
        <w:left w:val="none" w:sz="0" w:space="0" w:color="auto"/>
        <w:bottom w:val="none" w:sz="0" w:space="0" w:color="auto"/>
        <w:right w:val="none" w:sz="0" w:space="0" w:color="auto"/>
      </w:divBdr>
      <w:divsChild>
        <w:div w:id="1950431854">
          <w:marLeft w:val="0"/>
          <w:marRight w:val="0"/>
          <w:marTop w:val="0"/>
          <w:marBottom w:val="0"/>
          <w:divBdr>
            <w:top w:val="none" w:sz="0" w:space="0" w:color="auto"/>
            <w:left w:val="none" w:sz="0" w:space="0" w:color="auto"/>
            <w:bottom w:val="none" w:sz="0" w:space="0" w:color="auto"/>
            <w:right w:val="none" w:sz="0" w:space="0" w:color="auto"/>
          </w:divBdr>
          <w:divsChild>
            <w:div w:id="509023977">
              <w:marLeft w:val="0"/>
              <w:marRight w:val="0"/>
              <w:marTop w:val="0"/>
              <w:marBottom w:val="0"/>
              <w:divBdr>
                <w:top w:val="none" w:sz="0" w:space="0" w:color="auto"/>
                <w:left w:val="none" w:sz="0" w:space="0" w:color="auto"/>
                <w:bottom w:val="none" w:sz="0" w:space="0" w:color="auto"/>
                <w:right w:val="none" w:sz="0" w:space="0" w:color="auto"/>
              </w:divBdr>
              <w:divsChild>
                <w:div w:id="1058357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2985784">
      <w:bodyDiv w:val="1"/>
      <w:marLeft w:val="0"/>
      <w:marRight w:val="0"/>
      <w:marTop w:val="0"/>
      <w:marBottom w:val="0"/>
      <w:divBdr>
        <w:top w:val="none" w:sz="0" w:space="0" w:color="auto"/>
        <w:left w:val="none" w:sz="0" w:space="0" w:color="auto"/>
        <w:bottom w:val="none" w:sz="0" w:space="0" w:color="auto"/>
        <w:right w:val="none" w:sz="0" w:space="0" w:color="auto"/>
      </w:divBdr>
    </w:div>
    <w:div w:id="827090979">
      <w:bodyDiv w:val="1"/>
      <w:marLeft w:val="0"/>
      <w:marRight w:val="0"/>
      <w:marTop w:val="0"/>
      <w:marBottom w:val="0"/>
      <w:divBdr>
        <w:top w:val="none" w:sz="0" w:space="0" w:color="auto"/>
        <w:left w:val="none" w:sz="0" w:space="0" w:color="auto"/>
        <w:bottom w:val="none" w:sz="0" w:space="0" w:color="auto"/>
        <w:right w:val="none" w:sz="0" w:space="0" w:color="auto"/>
      </w:divBdr>
    </w:div>
    <w:div w:id="862551056">
      <w:bodyDiv w:val="1"/>
      <w:marLeft w:val="0"/>
      <w:marRight w:val="0"/>
      <w:marTop w:val="0"/>
      <w:marBottom w:val="0"/>
      <w:divBdr>
        <w:top w:val="none" w:sz="0" w:space="0" w:color="auto"/>
        <w:left w:val="none" w:sz="0" w:space="0" w:color="auto"/>
        <w:bottom w:val="none" w:sz="0" w:space="0" w:color="auto"/>
        <w:right w:val="none" w:sz="0" w:space="0" w:color="auto"/>
      </w:divBdr>
      <w:divsChild>
        <w:div w:id="2072925131">
          <w:marLeft w:val="0"/>
          <w:marRight w:val="0"/>
          <w:marTop w:val="0"/>
          <w:marBottom w:val="0"/>
          <w:divBdr>
            <w:top w:val="none" w:sz="0" w:space="0" w:color="auto"/>
            <w:left w:val="none" w:sz="0" w:space="0" w:color="auto"/>
            <w:bottom w:val="none" w:sz="0" w:space="0" w:color="auto"/>
            <w:right w:val="none" w:sz="0" w:space="0" w:color="auto"/>
          </w:divBdr>
          <w:divsChild>
            <w:div w:id="984360656">
              <w:marLeft w:val="0"/>
              <w:marRight w:val="0"/>
              <w:marTop w:val="0"/>
              <w:marBottom w:val="0"/>
              <w:divBdr>
                <w:top w:val="none" w:sz="0" w:space="0" w:color="auto"/>
                <w:left w:val="none" w:sz="0" w:space="0" w:color="auto"/>
                <w:bottom w:val="none" w:sz="0" w:space="0" w:color="auto"/>
                <w:right w:val="none" w:sz="0" w:space="0" w:color="auto"/>
              </w:divBdr>
              <w:divsChild>
                <w:div w:id="847914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0602861">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6">
          <w:marLeft w:val="0"/>
          <w:marRight w:val="0"/>
          <w:marTop w:val="0"/>
          <w:marBottom w:val="0"/>
          <w:divBdr>
            <w:top w:val="none" w:sz="0" w:space="0" w:color="auto"/>
            <w:left w:val="none" w:sz="0" w:space="0" w:color="auto"/>
            <w:bottom w:val="none" w:sz="0" w:space="0" w:color="auto"/>
            <w:right w:val="none" w:sz="0" w:space="0" w:color="auto"/>
          </w:divBdr>
          <w:divsChild>
            <w:div w:id="1994330302">
              <w:marLeft w:val="0"/>
              <w:marRight w:val="0"/>
              <w:marTop w:val="0"/>
              <w:marBottom w:val="0"/>
              <w:divBdr>
                <w:top w:val="none" w:sz="0" w:space="0" w:color="auto"/>
                <w:left w:val="none" w:sz="0" w:space="0" w:color="auto"/>
                <w:bottom w:val="none" w:sz="0" w:space="0" w:color="auto"/>
                <w:right w:val="none" w:sz="0" w:space="0" w:color="auto"/>
              </w:divBdr>
              <w:divsChild>
                <w:div w:id="1345551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624231">
      <w:bodyDiv w:val="1"/>
      <w:marLeft w:val="0"/>
      <w:marRight w:val="0"/>
      <w:marTop w:val="0"/>
      <w:marBottom w:val="15"/>
      <w:divBdr>
        <w:top w:val="none" w:sz="0" w:space="0" w:color="auto"/>
        <w:left w:val="none" w:sz="0" w:space="0" w:color="auto"/>
        <w:bottom w:val="none" w:sz="0" w:space="0" w:color="auto"/>
        <w:right w:val="none" w:sz="0" w:space="0" w:color="auto"/>
      </w:divBdr>
      <w:divsChild>
        <w:div w:id="125508218">
          <w:marLeft w:val="0"/>
          <w:marRight w:val="0"/>
          <w:marTop w:val="100"/>
          <w:marBottom w:val="100"/>
          <w:divBdr>
            <w:top w:val="none" w:sz="0" w:space="0" w:color="auto"/>
            <w:left w:val="none" w:sz="0" w:space="0" w:color="auto"/>
            <w:bottom w:val="none" w:sz="0" w:space="0" w:color="auto"/>
            <w:right w:val="none" w:sz="0" w:space="0" w:color="auto"/>
          </w:divBdr>
          <w:divsChild>
            <w:div w:id="303043695">
              <w:marLeft w:val="0"/>
              <w:marRight w:val="0"/>
              <w:marTop w:val="0"/>
              <w:marBottom w:val="0"/>
              <w:divBdr>
                <w:top w:val="single" w:sz="2" w:space="0" w:color="5A5A5A"/>
                <w:left w:val="single" w:sz="36" w:space="0" w:color="5A5A5A"/>
                <w:bottom w:val="single" w:sz="36" w:space="0" w:color="5A5A5A"/>
                <w:right w:val="single" w:sz="36" w:space="0" w:color="5A5A5A"/>
              </w:divBdr>
              <w:divsChild>
                <w:div w:id="1360083248">
                  <w:marLeft w:val="0"/>
                  <w:marRight w:val="0"/>
                  <w:marTop w:val="0"/>
                  <w:marBottom w:val="0"/>
                  <w:divBdr>
                    <w:top w:val="none" w:sz="0" w:space="0" w:color="auto"/>
                    <w:left w:val="none" w:sz="0" w:space="0" w:color="auto"/>
                    <w:bottom w:val="none" w:sz="0" w:space="0" w:color="auto"/>
                    <w:right w:val="none" w:sz="0" w:space="0" w:color="auto"/>
                  </w:divBdr>
                  <w:divsChild>
                    <w:div w:id="984549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7640879">
      <w:bodyDiv w:val="1"/>
      <w:marLeft w:val="0"/>
      <w:marRight w:val="0"/>
      <w:marTop w:val="0"/>
      <w:marBottom w:val="0"/>
      <w:divBdr>
        <w:top w:val="none" w:sz="0" w:space="0" w:color="auto"/>
        <w:left w:val="none" w:sz="0" w:space="0" w:color="auto"/>
        <w:bottom w:val="none" w:sz="0" w:space="0" w:color="auto"/>
        <w:right w:val="none" w:sz="0" w:space="0" w:color="auto"/>
      </w:divBdr>
    </w:div>
    <w:div w:id="1340279692">
      <w:bodyDiv w:val="1"/>
      <w:marLeft w:val="0"/>
      <w:marRight w:val="0"/>
      <w:marTop w:val="0"/>
      <w:marBottom w:val="0"/>
      <w:divBdr>
        <w:top w:val="none" w:sz="0" w:space="0" w:color="auto"/>
        <w:left w:val="none" w:sz="0" w:space="0" w:color="auto"/>
        <w:bottom w:val="none" w:sz="0" w:space="0" w:color="auto"/>
        <w:right w:val="none" w:sz="0" w:space="0" w:color="auto"/>
      </w:divBdr>
    </w:div>
    <w:div w:id="1438014503">
      <w:bodyDiv w:val="1"/>
      <w:marLeft w:val="0"/>
      <w:marRight w:val="0"/>
      <w:marTop w:val="0"/>
      <w:marBottom w:val="0"/>
      <w:divBdr>
        <w:top w:val="none" w:sz="0" w:space="0" w:color="auto"/>
        <w:left w:val="none" w:sz="0" w:space="0" w:color="auto"/>
        <w:bottom w:val="none" w:sz="0" w:space="0" w:color="auto"/>
        <w:right w:val="none" w:sz="0" w:space="0" w:color="auto"/>
      </w:divBdr>
      <w:divsChild>
        <w:div w:id="1305961698">
          <w:marLeft w:val="0"/>
          <w:marRight w:val="0"/>
          <w:marTop w:val="0"/>
          <w:marBottom w:val="0"/>
          <w:divBdr>
            <w:top w:val="none" w:sz="0" w:space="0" w:color="auto"/>
            <w:left w:val="none" w:sz="0" w:space="0" w:color="auto"/>
            <w:bottom w:val="none" w:sz="0" w:space="0" w:color="auto"/>
            <w:right w:val="none" w:sz="0" w:space="0" w:color="auto"/>
          </w:divBdr>
          <w:divsChild>
            <w:div w:id="346907400">
              <w:marLeft w:val="0"/>
              <w:marRight w:val="0"/>
              <w:marTop w:val="0"/>
              <w:marBottom w:val="0"/>
              <w:divBdr>
                <w:top w:val="none" w:sz="0" w:space="0" w:color="auto"/>
                <w:left w:val="none" w:sz="0" w:space="0" w:color="auto"/>
                <w:bottom w:val="none" w:sz="0" w:space="0" w:color="auto"/>
                <w:right w:val="none" w:sz="0" w:space="0" w:color="auto"/>
              </w:divBdr>
            </w:div>
            <w:div w:id="1739010437">
              <w:marLeft w:val="0"/>
              <w:marRight w:val="0"/>
              <w:marTop w:val="0"/>
              <w:marBottom w:val="0"/>
              <w:divBdr>
                <w:top w:val="none" w:sz="0" w:space="0" w:color="auto"/>
                <w:left w:val="none" w:sz="0" w:space="0" w:color="auto"/>
                <w:bottom w:val="none" w:sz="0" w:space="0" w:color="auto"/>
                <w:right w:val="none" w:sz="0" w:space="0" w:color="auto"/>
              </w:divBdr>
              <w:divsChild>
                <w:div w:id="1612663596">
                  <w:marLeft w:val="0"/>
                  <w:marRight w:val="0"/>
                  <w:marTop w:val="0"/>
                  <w:marBottom w:val="0"/>
                  <w:divBdr>
                    <w:top w:val="none" w:sz="0" w:space="0" w:color="auto"/>
                    <w:left w:val="none" w:sz="0" w:space="0" w:color="auto"/>
                    <w:bottom w:val="none" w:sz="0" w:space="0" w:color="auto"/>
                    <w:right w:val="none" w:sz="0" w:space="0" w:color="auto"/>
                  </w:divBdr>
                  <w:divsChild>
                    <w:div w:id="1446080222">
                      <w:marLeft w:val="0"/>
                      <w:marRight w:val="0"/>
                      <w:marTop w:val="0"/>
                      <w:marBottom w:val="0"/>
                      <w:divBdr>
                        <w:top w:val="none" w:sz="0" w:space="0" w:color="auto"/>
                        <w:left w:val="none" w:sz="0" w:space="0" w:color="auto"/>
                        <w:bottom w:val="none" w:sz="0" w:space="0" w:color="auto"/>
                        <w:right w:val="none" w:sz="0" w:space="0" w:color="auto"/>
                      </w:divBdr>
                      <w:divsChild>
                        <w:div w:id="623999727">
                          <w:marLeft w:val="0"/>
                          <w:marRight w:val="0"/>
                          <w:marTop w:val="0"/>
                          <w:marBottom w:val="0"/>
                          <w:divBdr>
                            <w:top w:val="none" w:sz="0" w:space="0" w:color="auto"/>
                            <w:left w:val="none" w:sz="0" w:space="0" w:color="auto"/>
                            <w:bottom w:val="none" w:sz="0" w:space="0" w:color="auto"/>
                            <w:right w:val="none" w:sz="0" w:space="0" w:color="auto"/>
                          </w:divBdr>
                        </w:div>
                        <w:div w:id="1284655559">
                          <w:marLeft w:val="0"/>
                          <w:marRight w:val="0"/>
                          <w:marTop w:val="0"/>
                          <w:marBottom w:val="0"/>
                          <w:divBdr>
                            <w:top w:val="none" w:sz="0" w:space="0" w:color="auto"/>
                            <w:left w:val="none" w:sz="0" w:space="0" w:color="auto"/>
                            <w:bottom w:val="none" w:sz="0" w:space="0" w:color="auto"/>
                            <w:right w:val="none" w:sz="0" w:space="0" w:color="auto"/>
                          </w:divBdr>
                        </w:div>
                        <w:div w:id="1955601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5831323">
      <w:bodyDiv w:val="1"/>
      <w:marLeft w:val="0"/>
      <w:marRight w:val="0"/>
      <w:marTop w:val="0"/>
      <w:marBottom w:val="0"/>
      <w:divBdr>
        <w:top w:val="none" w:sz="0" w:space="0" w:color="auto"/>
        <w:left w:val="none" w:sz="0" w:space="0" w:color="auto"/>
        <w:bottom w:val="none" w:sz="0" w:space="0" w:color="auto"/>
        <w:right w:val="none" w:sz="0" w:space="0" w:color="auto"/>
      </w:divBdr>
    </w:div>
    <w:div w:id="1532453613">
      <w:bodyDiv w:val="1"/>
      <w:marLeft w:val="0"/>
      <w:marRight w:val="0"/>
      <w:marTop w:val="0"/>
      <w:marBottom w:val="0"/>
      <w:divBdr>
        <w:top w:val="none" w:sz="0" w:space="0" w:color="auto"/>
        <w:left w:val="none" w:sz="0" w:space="0" w:color="auto"/>
        <w:bottom w:val="none" w:sz="0" w:space="0" w:color="auto"/>
        <w:right w:val="none" w:sz="0" w:space="0" w:color="auto"/>
      </w:divBdr>
    </w:div>
    <w:div w:id="1580560185">
      <w:bodyDiv w:val="1"/>
      <w:marLeft w:val="0"/>
      <w:marRight w:val="0"/>
      <w:marTop w:val="0"/>
      <w:marBottom w:val="0"/>
      <w:divBdr>
        <w:top w:val="none" w:sz="0" w:space="0" w:color="auto"/>
        <w:left w:val="none" w:sz="0" w:space="0" w:color="auto"/>
        <w:bottom w:val="none" w:sz="0" w:space="0" w:color="auto"/>
        <w:right w:val="none" w:sz="0" w:space="0" w:color="auto"/>
      </w:divBdr>
      <w:divsChild>
        <w:div w:id="1226843431">
          <w:marLeft w:val="0"/>
          <w:marRight w:val="0"/>
          <w:marTop w:val="0"/>
          <w:marBottom w:val="0"/>
          <w:divBdr>
            <w:top w:val="none" w:sz="0" w:space="0" w:color="auto"/>
            <w:left w:val="none" w:sz="0" w:space="0" w:color="auto"/>
            <w:bottom w:val="none" w:sz="0" w:space="0" w:color="auto"/>
            <w:right w:val="none" w:sz="0" w:space="0" w:color="auto"/>
          </w:divBdr>
          <w:divsChild>
            <w:div w:id="670137161">
              <w:marLeft w:val="0"/>
              <w:marRight w:val="0"/>
              <w:marTop w:val="0"/>
              <w:marBottom w:val="0"/>
              <w:divBdr>
                <w:top w:val="none" w:sz="0" w:space="0" w:color="auto"/>
                <w:left w:val="none" w:sz="0" w:space="0" w:color="auto"/>
                <w:bottom w:val="none" w:sz="0" w:space="0" w:color="auto"/>
                <w:right w:val="none" w:sz="0" w:space="0" w:color="auto"/>
              </w:divBdr>
              <w:divsChild>
                <w:div w:id="153172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046580">
      <w:bodyDiv w:val="1"/>
      <w:marLeft w:val="0"/>
      <w:marRight w:val="0"/>
      <w:marTop w:val="0"/>
      <w:marBottom w:val="0"/>
      <w:divBdr>
        <w:top w:val="none" w:sz="0" w:space="0" w:color="auto"/>
        <w:left w:val="none" w:sz="0" w:space="0" w:color="auto"/>
        <w:bottom w:val="none" w:sz="0" w:space="0" w:color="auto"/>
        <w:right w:val="none" w:sz="0" w:space="0" w:color="auto"/>
      </w:divBdr>
    </w:div>
    <w:div w:id="1660425573">
      <w:bodyDiv w:val="1"/>
      <w:marLeft w:val="0"/>
      <w:marRight w:val="0"/>
      <w:marTop w:val="0"/>
      <w:marBottom w:val="0"/>
      <w:divBdr>
        <w:top w:val="none" w:sz="0" w:space="0" w:color="auto"/>
        <w:left w:val="none" w:sz="0" w:space="0" w:color="auto"/>
        <w:bottom w:val="none" w:sz="0" w:space="0" w:color="auto"/>
        <w:right w:val="none" w:sz="0" w:space="0" w:color="auto"/>
      </w:divBdr>
    </w:div>
    <w:div w:id="1762408616">
      <w:bodyDiv w:val="1"/>
      <w:marLeft w:val="0"/>
      <w:marRight w:val="0"/>
      <w:marTop w:val="0"/>
      <w:marBottom w:val="0"/>
      <w:divBdr>
        <w:top w:val="none" w:sz="0" w:space="0" w:color="auto"/>
        <w:left w:val="none" w:sz="0" w:space="0" w:color="auto"/>
        <w:bottom w:val="none" w:sz="0" w:space="0" w:color="auto"/>
        <w:right w:val="none" w:sz="0" w:space="0" w:color="auto"/>
      </w:divBdr>
    </w:div>
    <w:div w:id="1829785903">
      <w:bodyDiv w:val="1"/>
      <w:marLeft w:val="0"/>
      <w:marRight w:val="0"/>
      <w:marTop w:val="0"/>
      <w:marBottom w:val="0"/>
      <w:divBdr>
        <w:top w:val="none" w:sz="0" w:space="0" w:color="auto"/>
        <w:left w:val="none" w:sz="0" w:space="0" w:color="auto"/>
        <w:bottom w:val="none" w:sz="0" w:space="0" w:color="auto"/>
        <w:right w:val="none" w:sz="0" w:space="0" w:color="auto"/>
      </w:divBdr>
    </w:div>
    <w:div w:id="1861241696">
      <w:bodyDiv w:val="1"/>
      <w:marLeft w:val="0"/>
      <w:marRight w:val="0"/>
      <w:marTop w:val="0"/>
      <w:marBottom w:val="0"/>
      <w:divBdr>
        <w:top w:val="none" w:sz="0" w:space="0" w:color="auto"/>
        <w:left w:val="none" w:sz="0" w:space="0" w:color="auto"/>
        <w:bottom w:val="none" w:sz="0" w:space="0" w:color="auto"/>
        <w:right w:val="none" w:sz="0" w:space="0" w:color="auto"/>
      </w:divBdr>
    </w:div>
    <w:div w:id="2075665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3.jpeg"/><Relationship Id="rId21" Type="http://schemas.openxmlformats.org/officeDocument/2006/relationships/image" Target="media/image12.jpeg"/><Relationship Id="rId42" Type="http://schemas.openxmlformats.org/officeDocument/2006/relationships/image" Target="media/image31.jpeg"/><Relationship Id="rId63" Type="http://schemas.openxmlformats.org/officeDocument/2006/relationships/image" Target="media/image42.jpeg"/><Relationship Id="rId84" Type="http://schemas.openxmlformats.org/officeDocument/2006/relationships/image" Target="media/image60.jpeg"/><Relationship Id="rId138" Type="http://schemas.openxmlformats.org/officeDocument/2006/relationships/image" Target="media/image100.png"/><Relationship Id="rId159" Type="http://schemas.openxmlformats.org/officeDocument/2006/relationships/chart" Target="charts/chart25.xml"/><Relationship Id="rId170" Type="http://schemas.openxmlformats.org/officeDocument/2006/relationships/chart" Target="charts/chart35.xml"/><Relationship Id="rId191" Type="http://schemas.openxmlformats.org/officeDocument/2006/relationships/oleObject" Target="embeddings/oleObject13.bin"/><Relationship Id="rId205" Type="http://schemas.openxmlformats.org/officeDocument/2006/relationships/oleObject" Target="embeddings/oleObject20.bin"/><Relationship Id="rId226" Type="http://schemas.openxmlformats.org/officeDocument/2006/relationships/image" Target="media/image149.emf"/><Relationship Id="rId107" Type="http://schemas.openxmlformats.org/officeDocument/2006/relationships/image" Target="media/image73.png"/><Relationship Id="rId11" Type="http://schemas.openxmlformats.org/officeDocument/2006/relationships/footer" Target="footer2.xml"/><Relationship Id="rId32" Type="http://schemas.openxmlformats.org/officeDocument/2006/relationships/image" Target="media/image23.jpeg"/><Relationship Id="rId53" Type="http://schemas.openxmlformats.org/officeDocument/2006/relationships/image" Target="media/image35.png"/><Relationship Id="rId74" Type="http://schemas.openxmlformats.org/officeDocument/2006/relationships/image" Target="media/image53.png"/><Relationship Id="rId128" Type="http://schemas.openxmlformats.org/officeDocument/2006/relationships/chart" Target="charts/chart15.xml"/><Relationship Id="rId149" Type="http://schemas.openxmlformats.org/officeDocument/2006/relationships/image" Target="media/image111.emf"/><Relationship Id="rId5" Type="http://schemas.openxmlformats.org/officeDocument/2006/relationships/webSettings" Target="webSettings.xml"/><Relationship Id="rId95" Type="http://schemas.openxmlformats.org/officeDocument/2006/relationships/image" Target="media/image65.png"/><Relationship Id="rId160" Type="http://schemas.openxmlformats.org/officeDocument/2006/relationships/chart" Target="charts/chart26.xml"/><Relationship Id="rId181" Type="http://schemas.openxmlformats.org/officeDocument/2006/relationships/image" Target="media/image117.jpeg"/><Relationship Id="rId216" Type="http://schemas.openxmlformats.org/officeDocument/2006/relationships/chart" Target="charts/chart44.xml"/><Relationship Id="rId237" Type="http://schemas.openxmlformats.org/officeDocument/2006/relationships/hyperlink" Target="http://www.jusbrasil.com/legislacao/215043/lei-898-75-s&#227;o-paulo-sp" TargetMode="External"/><Relationship Id="rId22" Type="http://schemas.openxmlformats.org/officeDocument/2006/relationships/image" Target="media/image13.jpeg"/><Relationship Id="rId43" Type="http://schemas.openxmlformats.org/officeDocument/2006/relationships/image" Target="media/image32.jpeg"/><Relationship Id="rId64" Type="http://schemas.openxmlformats.org/officeDocument/2006/relationships/image" Target="media/image43.jpeg"/><Relationship Id="rId118" Type="http://schemas.openxmlformats.org/officeDocument/2006/relationships/image" Target="media/image84.jpeg"/><Relationship Id="rId139" Type="http://schemas.openxmlformats.org/officeDocument/2006/relationships/image" Target="media/image101.png"/><Relationship Id="rId85" Type="http://schemas.openxmlformats.org/officeDocument/2006/relationships/chart" Target="charts/chart10.xml"/><Relationship Id="rId150" Type="http://schemas.openxmlformats.org/officeDocument/2006/relationships/image" Target="media/image112.png"/><Relationship Id="rId171" Type="http://schemas.openxmlformats.org/officeDocument/2006/relationships/chart" Target="charts/chart36.xml"/><Relationship Id="rId192" Type="http://schemas.openxmlformats.org/officeDocument/2006/relationships/image" Target="media/image125.wmf"/><Relationship Id="rId206" Type="http://schemas.openxmlformats.org/officeDocument/2006/relationships/image" Target="media/image132.jpeg"/><Relationship Id="rId227" Type="http://schemas.openxmlformats.org/officeDocument/2006/relationships/image" Target="media/image150.emf"/><Relationship Id="rId12" Type="http://schemas.openxmlformats.org/officeDocument/2006/relationships/image" Target="media/image3.jpeg"/><Relationship Id="rId33" Type="http://schemas.openxmlformats.org/officeDocument/2006/relationships/image" Target="media/image24.jpeg"/><Relationship Id="rId108" Type="http://schemas.openxmlformats.org/officeDocument/2006/relationships/image" Target="media/image74.png"/><Relationship Id="rId129" Type="http://schemas.openxmlformats.org/officeDocument/2006/relationships/chart" Target="charts/chart16.xml"/><Relationship Id="rId54" Type="http://schemas.openxmlformats.org/officeDocument/2006/relationships/image" Target="media/image36.png"/><Relationship Id="rId75" Type="http://schemas.openxmlformats.org/officeDocument/2006/relationships/image" Target="media/image54.png"/><Relationship Id="rId96" Type="http://schemas.openxmlformats.org/officeDocument/2006/relationships/oleObject" Target="embeddings/oleObject8.bin"/><Relationship Id="rId140" Type="http://schemas.openxmlformats.org/officeDocument/2006/relationships/image" Target="media/image102.png"/><Relationship Id="rId161" Type="http://schemas.openxmlformats.org/officeDocument/2006/relationships/chart" Target="charts/chart27.xml"/><Relationship Id="rId182" Type="http://schemas.openxmlformats.org/officeDocument/2006/relationships/image" Target="media/image118.jpeg"/><Relationship Id="rId217" Type="http://schemas.openxmlformats.org/officeDocument/2006/relationships/chart" Target="charts/chart45.xml"/><Relationship Id="rId6" Type="http://schemas.openxmlformats.org/officeDocument/2006/relationships/footnotes" Target="footnotes.xml"/><Relationship Id="rId238" Type="http://schemas.openxmlformats.org/officeDocument/2006/relationships/hyperlink" Target="http://www.jusbrasil.com/legislacao/91627/c&#243;digo-florestal-lei-4771-65" TargetMode="External"/><Relationship Id="rId23" Type="http://schemas.openxmlformats.org/officeDocument/2006/relationships/image" Target="media/image14.jpeg"/><Relationship Id="rId119" Type="http://schemas.openxmlformats.org/officeDocument/2006/relationships/image" Target="media/image85.jpeg"/><Relationship Id="rId44" Type="http://schemas.openxmlformats.org/officeDocument/2006/relationships/image" Target="media/image33.png"/><Relationship Id="rId65" Type="http://schemas.openxmlformats.org/officeDocument/2006/relationships/image" Target="media/image44.jpeg"/><Relationship Id="rId86" Type="http://schemas.openxmlformats.org/officeDocument/2006/relationships/chart" Target="charts/chart11.xml"/><Relationship Id="rId130" Type="http://schemas.openxmlformats.org/officeDocument/2006/relationships/image" Target="media/image92.jpeg"/><Relationship Id="rId151" Type="http://schemas.openxmlformats.org/officeDocument/2006/relationships/chart" Target="charts/chart17.xml"/><Relationship Id="rId172" Type="http://schemas.openxmlformats.org/officeDocument/2006/relationships/chart" Target="charts/chart37.xml"/><Relationship Id="rId193" Type="http://schemas.openxmlformats.org/officeDocument/2006/relationships/oleObject" Target="embeddings/oleObject14.bin"/><Relationship Id="rId207" Type="http://schemas.openxmlformats.org/officeDocument/2006/relationships/image" Target="media/image133.jpeg"/><Relationship Id="rId228" Type="http://schemas.openxmlformats.org/officeDocument/2006/relationships/image" Target="media/image151.emf"/><Relationship Id="rId13" Type="http://schemas.openxmlformats.org/officeDocument/2006/relationships/image" Target="media/image4.jpeg"/><Relationship Id="rId109" Type="http://schemas.openxmlformats.org/officeDocument/2006/relationships/image" Target="media/image75.png"/><Relationship Id="rId34" Type="http://schemas.openxmlformats.org/officeDocument/2006/relationships/image" Target="media/image25.jpeg"/><Relationship Id="rId55" Type="http://schemas.openxmlformats.org/officeDocument/2006/relationships/image" Target="media/image37.png"/><Relationship Id="rId76" Type="http://schemas.openxmlformats.org/officeDocument/2006/relationships/image" Target="media/image55.png"/><Relationship Id="rId97" Type="http://schemas.openxmlformats.org/officeDocument/2006/relationships/image" Target="media/image66.png"/><Relationship Id="rId120" Type="http://schemas.openxmlformats.org/officeDocument/2006/relationships/image" Target="media/image86.jpeg"/><Relationship Id="rId141" Type="http://schemas.openxmlformats.org/officeDocument/2006/relationships/image" Target="media/image103.emf"/><Relationship Id="rId7" Type="http://schemas.openxmlformats.org/officeDocument/2006/relationships/endnotes" Target="endnotes.xml"/><Relationship Id="rId162" Type="http://schemas.openxmlformats.org/officeDocument/2006/relationships/chart" Target="charts/chart28.xml"/><Relationship Id="rId183" Type="http://schemas.openxmlformats.org/officeDocument/2006/relationships/image" Target="media/image119.jpeg"/><Relationship Id="rId218" Type="http://schemas.openxmlformats.org/officeDocument/2006/relationships/image" Target="media/image141.emf"/><Relationship Id="rId239" Type="http://schemas.openxmlformats.org/officeDocument/2006/relationships/hyperlink" Target="http://www.jusbrasil.com.br/topicos/13194495/art-4-inc-i-da-lei-1172-76-sao-paulo" TargetMode="External"/><Relationship Id="rId24" Type="http://schemas.openxmlformats.org/officeDocument/2006/relationships/image" Target="media/image15.jpeg"/><Relationship Id="rId45" Type="http://schemas.microsoft.com/office/2007/relationships/hdphoto" Target="media/hdphoto3.wdp"/><Relationship Id="rId66" Type="http://schemas.openxmlformats.org/officeDocument/2006/relationships/image" Target="media/image45.jpeg"/><Relationship Id="rId87" Type="http://schemas.openxmlformats.org/officeDocument/2006/relationships/image" Target="media/image61.png"/><Relationship Id="rId110" Type="http://schemas.openxmlformats.org/officeDocument/2006/relationships/image" Target="media/image76.jpeg"/><Relationship Id="rId131" Type="http://schemas.openxmlformats.org/officeDocument/2006/relationships/image" Target="media/image93.emf"/><Relationship Id="rId152" Type="http://schemas.openxmlformats.org/officeDocument/2006/relationships/chart" Target="charts/chart18.xml"/><Relationship Id="rId173" Type="http://schemas.openxmlformats.org/officeDocument/2006/relationships/chart" Target="charts/chart38.xml"/><Relationship Id="rId194" Type="http://schemas.openxmlformats.org/officeDocument/2006/relationships/image" Target="media/image126.wmf"/><Relationship Id="rId208" Type="http://schemas.openxmlformats.org/officeDocument/2006/relationships/image" Target="media/image134.jpeg"/><Relationship Id="rId229" Type="http://schemas.openxmlformats.org/officeDocument/2006/relationships/image" Target="media/image152.emf"/><Relationship Id="rId240" Type="http://schemas.openxmlformats.org/officeDocument/2006/relationships/hyperlink" Target="http://www.jusbrasil.com.br/topicos/13194448/art-4-inc-ii-da-lei-1172-76-sao-paulo" TargetMode="External"/><Relationship Id="rId14" Type="http://schemas.openxmlformats.org/officeDocument/2006/relationships/image" Target="media/image5.jpeg"/><Relationship Id="rId35" Type="http://schemas.openxmlformats.org/officeDocument/2006/relationships/image" Target="media/image26.jpeg"/><Relationship Id="rId56" Type="http://schemas.openxmlformats.org/officeDocument/2006/relationships/chart" Target="charts/chart7.xml"/><Relationship Id="rId77" Type="http://schemas.openxmlformats.org/officeDocument/2006/relationships/image" Target="media/image56.png"/><Relationship Id="rId100" Type="http://schemas.openxmlformats.org/officeDocument/2006/relationships/image" Target="media/image68.png"/><Relationship Id="rId8" Type="http://schemas.openxmlformats.org/officeDocument/2006/relationships/header" Target="header1.xml"/><Relationship Id="rId98" Type="http://schemas.openxmlformats.org/officeDocument/2006/relationships/oleObject" Target="embeddings/oleObject9.bin"/><Relationship Id="rId121" Type="http://schemas.openxmlformats.org/officeDocument/2006/relationships/image" Target="media/image87.jpeg"/><Relationship Id="rId142" Type="http://schemas.openxmlformats.org/officeDocument/2006/relationships/image" Target="media/image104.emf"/><Relationship Id="rId163" Type="http://schemas.openxmlformats.org/officeDocument/2006/relationships/image" Target="media/image113.png"/><Relationship Id="rId184" Type="http://schemas.openxmlformats.org/officeDocument/2006/relationships/image" Target="media/image120.jpeg"/><Relationship Id="rId219" Type="http://schemas.openxmlformats.org/officeDocument/2006/relationships/image" Target="media/image142.png"/><Relationship Id="rId230" Type="http://schemas.openxmlformats.org/officeDocument/2006/relationships/image" Target="media/image153.emf"/><Relationship Id="rId25" Type="http://schemas.openxmlformats.org/officeDocument/2006/relationships/image" Target="media/image16.jpeg"/><Relationship Id="rId46" Type="http://schemas.openxmlformats.org/officeDocument/2006/relationships/image" Target="media/image34.jpeg"/><Relationship Id="rId67" Type="http://schemas.openxmlformats.org/officeDocument/2006/relationships/image" Target="media/image46.jpeg"/><Relationship Id="rId88" Type="http://schemas.openxmlformats.org/officeDocument/2006/relationships/oleObject" Target="embeddings/oleObject4.bin"/><Relationship Id="rId111" Type="http://schemas.openxmlformats.org/officeDocument/2006/relationships/image" Target="media/image77.jpeg"/><Relationship Id="rId132" Type="http://schemas.openxmlformats.org/officeDocument/2006/relationships/image" Target="media/image94.png"/><Relationship Id="rId153" Type="http://schemas.openxmlformats.org/officeDocument/2006/relationships/chart" Target="charts/chart19.xml"/><Relationship Id="rId174" Type="http://schemas.openxmlformats.org/officeDocument/2006/relationships/chart" Target="charts/chart39.xml"/><Relationship Id="rId195" Type="http://schemas.openxmlformats.org/officeDocument/2006/relationships/oleObject" Target="embeddings/oleObject15.bin"/><Relationship Id="rId209" Type="http://schemas.openxmlformats.org/officeDocument/2006/relationships/image" Target="media/image135.jpeg"/><Relationship Id="rId220" Type="http://schemas.openxmlformats.org/officeDocument/2006/relationships/image" Target="media/image143.emf"/><Relationship Id="rId241" Type="http://schemas.openxmlformats.org/officeDocument/2006/relationships/hyperlink" Target="http://www.jusbrasil.com.br/topicos/13194420/art-4-inc-iii-da-lei-1172-76-sao-paulo" TargetMode="External"/><Relationship Id="rId15" Type="http://schemas.openxmlformats.org/officeDocument/2006/relationships/image" Target="media/image6.jpeg"/><Relationship Id="rId36" Type="http://schemas.openxmlformats.org/officeDocument/2006/relationships/image" Target="media/image27.png"/><Relationship Id="rId57" Type="http://schemas.openxmlformats.org/officeDocument/2006/relationships/chart" Target="charts/chart8.xml"/><Relationship Id="rId10" Type="http://schemas.openxmlformats.org/officeDocument/2006/relationships/header" Target="header2.xml"/><Relationship Id="rId31" Type="http://schemas.openxmlformats.org/officeDocument/2006/relationships/image" Target="media/image22.jpeg"/><Relationship Id="rId52" Type="http://schemas.openxmlformats.org/officeDocument/2006/relationships/chart" Target="charts/chart6.xml"/><Relationship Id="rId73" Type="http://schemas.openxmlformats.org/officeDocument/2006/relationships/image" Target="media/image52.png"/><Relationship Id="rId78" Type="http://schemas.openxmlformats.org/officeDocument/2006/relationships/oleObject" Target="embeddings/oleObject1.bin"/><Relationship Id="rId94" Type="http://schemas.openxmlformats.org/officeDocument/2006/relationships/oleObject" Target="embeddings/oleObject7.bin"/><Relationship Id="rId99" Type="http://schemas.openxmlformats.org/officeDocument/2006/relationships/image" Target="media/image67.png"/><Relationship Id="rId101" Type="http://schemas.openxmlformats.org/officeDocument/2006/relationships/oleObject" Target="embeddings/oleObject10.bin"/><Relationship Id="rId122" Type="http://schemas.openxmlformats.org/officeDocument/2006/relationships/image" Target="media/image88.jpeg"/><Relationship Id="rId143" Type="http://schemas.openxmlformats.org/officeDocument/2006/relationships/image" Target="media/image105.emf"/><Relationship Id="rId148" Type="http://schemas.openxmlformats.org/officeDocument/2006/relationships/image" Target="media/image110.emf"/><Relationship Id="rId164" Type="http://schemas.openxmlformats.org/officeDocument/2006/relationships/chart" Target="charts/chart29.xml"/><Relationship Id="rId169" Type="http://schemas.openxmlformats.org/officeDocument/2006/relationships/chart" Target="charts/chart34.xml"/><Relationship Id="rId185" Type="http://schemas.openxmlformats.org/officeDocument/2006/relationships/image" Target="media/image121.jpeg"/><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16.jpeg"/><Relationship Id="rId210" Type="http://schemas.openxmlformats.org/officeDocument/2006/relationships/image" Target="media/image136.jpeg"/><Relationship Id="rId215" Type="http://schemas.openxmlformats.org/officeDocument/2006/relationships/chart" Target="charts/chart43.xml"/><Relationship Id="rId236" Type="http://schemas.openxmlformats.org/officeDocument/2006/relationships/hyperlink" Target="http://www.jusbrasil.com/topico/13226664/artigo-2-da-lei-n-898-de-18-de-dezembro-de-1975-de-s&#227;o-paulo" TargetMode="External"/><Relationship Id="rId26" Type="http://schemas.openxmlformats.org/officeDocument/2006/relationships/image" Target="media/image17.jpeg"/><Relationship Id="rId231" Type="http://schemas.openxmlformats.org/officeDocument/2006/relationships/hyperlink" Target="http://www.ambiente.sp.gov.br/parque-itaberaba/informacoes-ao-usuario/" TargetMode="External"/><Relationship Id="rId47" Type="http://schemas.openxmlformats.org/officeDocument/2006/relationships/chart" Target="charts/chart1.xml"/><Relationship Id="rId68" Type="http://schemas.openxmlformats.org/officeDocument/2006/relationships/image" Target="media/image47.jpeg"/><Relationship Id="rId89" Type="http://schemas.openxmlformats.org/officeDocument/2006/relationships/image" Target="media/image62.png"/><Relationship Id="rId112" Type="http://schemas.openxmlformats.org/officeDocument/2006/relationships/image" Target="media/image78.jpeg"/><Relationship Id="rId133" Type="http://schemas.openxmlformats.org/officeDocument/2006/relationships/image" Target="media/image95.png"/><Relationship Id="rId154" Type="http://schemas.openxmlformats.org/officeDocument/2006/relationships/chart" Target="charts/chart20.xml"/><Relationship Id="rId175" Type="http://schemas.openxmlformats.org/officeDocument/2006/relationships/chart" Target="charts/chart40.xml"/><Relationship Id="rId196" Type="http://schemas.openxmlformats.org/officeDocument/2006/relationships/image" Target="media/image127.wmf"/><Relationship Id="rId200" Type="http://schemas.openxmlformats.org/officeDocument/2006/relationships/image" Target="media/image129.wmf"/><Relationship Id="rId16" Type="http://schemas.openxmlformats.org/officeDocument/2006/relationships/image" Target="media/image7.jpeg"/><Relationship Id="rId221" Type="http://schemas.openxmlformats.org/officeDocument/2006/relationships/image" Target="media/image144.emf"/><Relationship Id="rId242" Type="http://schemas.openxmlformats.org/officeDocument/2006/relationships/image" Target="media/image154.png"/><Relationship Id="rId37" Type="http://schemas.microsoft.com/office/2007/relationships/hdphoto" Target="media/hdphoto1.wdp"/><Relationship Id="rId58" Type="http://schemas.openxmlformats.org/officeDocument/2006/relationships/chart" Target="charts/chart9.xml"/><Relationship Id="rId79" Type="http://schemas.openxmlformats.org/officeDocument/2006/relationships/image" Target="media/image57.png"/><Relationship Id="rId102" Type="http://schemas.openxmlformats.org/officeDocument/2006/relationships/chart" Target="charts/chart12.xml"/><Relationship Id="rId123" Type="http://schemas.openxmlformats.org/officeDocument/2006/relationships/image" Target="media/image89.jpeg"/><Relationship Id="rId144" Type="http://schemas.openxmlformats.org/officeDocument/2006/relationships/image" Target="media/image106.emf"/><Relationship Id="rId90" Type="http://schemas.openxmlformats.org/officeDocument/2006/relationships/oleObject" Target="embeddings/oleObject5.bin"/><Relationship Id="rId165" Type="http://schemas.openxmlformats.org/officeDocument/2006/relationships/chart" Target="charts/chart30.xml"/><Relationship Id="rId186" Type="http://schemas.openxmlformats.org/officeDocument/2006/relationships/image" Target="media/image122.wmf"/><Relationship Id="rId211" Type="http://schemas.openxmlformats.org/officeDocument/2006/relationships/image" Target="media/image137.jpeg"/><Relationship Id="rId232" Type="http://schemas.openxmlformats.org/officeDocument/2006/relationships/hyperlink" Target="http://sistemas.mma.gov.br/cnuc/index.php?ido=relatorioparametrizado.exibeRelatorio&amp;relatorioPadrao=true&amp;idUc=1521" TargetMode="External"/><Relationship Id="rId27" Type="http://schemas.openxmlformats.org/officeDocument/2006/relationships/image" Target="media/image18.jpeg"/><Relationship Id="rId48" Type="http://schemas.openxmlformats.org/officeDocument/2006/relationships/chart" Target="charts/chart2.xml"/><Relationship Id="rId69" Type="http://schemas.openxmlformats.org/officeDocument/2006/relationships/image" Target="media/image48.png"/><Relationship Id="rId113" Type="http://schemas.openxmlformats.org/officeDocument/2006/relationships/image" Target="media/image79.jpeg"/><Relationship Id="rId134" Type="http://schemas.openxmlformats.org/officeDocument/2006/relationships/image" Target="media/image96.png"/><Relationship Id="rId80" Type="http://schemas.openxmlformats.org/officeDocument/2006/relationships/oleObject" Target="embeddings/oleObject2.bin"/><Relationship Id="rId155" Type="http://schemas.openxmlformats.org/officeDocument/2006/relationships/chart" Target="charts/chart21.xml"/><Relationship Id="rId176" Type="http://schemas.openxmlformats.org/officeDocument/2006/relationships/chart" Target="charts/chart41.xml"/><Relationship Id="rId197" Type="http://schemas.openxmlformats.org/officeDocument/2006/relationships/oleObject" Target="embeddings/oleObject16.bin"/><Relationship Id="rId201" Type="http://schemas.openxmlformats.org/officeDocument/2006/relationships/oleObject" Target="embeddings/oleObject18.bin"/><Relationship Id="rId222" Type="http://schemas.openxmlformats.org/officeDocument/2006/relationships/image" Target="media/image145.emf"/><Relationship Id="rId243" Type="http://schemas.openxmlformats.org/officeDocument/2006/relationships/header" Target="header3.xml"/><Relationship Id="rId17" Type="http://schemas.openxmlformats.org/officeDocument/2006/relationships/image" Target="media/image8.jpeg"/><Relationship Id="rId38" Type="http://schemas.openxmlformats.org/officeDocument/2006/relationships/image" Target="media/image28.jpeg"/><Relationship Id="rId59" Type="http://schemas.openxmlformats.org/officeDocument/2006/relationships/image" Target="media/image38.jpeg"/><Relationship Id="rId103" Type="http://schemas.openxmlformats.org/officeDocument/2006/relationships/image" Target="media/image69.jpeg"/><Relationship Id="rId124" Type="http://schemas.openxmlformats.org/officeDocument/2006/relationships/image" Target="media/image90.jpeg"/><Relationship Id="rId70" Type="http://schemas.openxmlformats.org/officeDocument/2006/relationships/image" Target="media/image49.png"/><Relationship Id="rId91" Type="http://schemas.openxmlformats.org/officeDocument/2006/relationships/image" Target="media/image63.png"/><Relationship Id="rId145" Type="http://schemas.openxmlformats.org/officeDocument/2006/relationships/image" Target="media/image107.png"/><Relationship Id="rId166" Type="http://schemas.openxmlformats.org/officeDocument/2006/relationships/chart" Target="charts/chart31.xml"/><Relationship Id="rId187" Type="http://schemas.openxmlformats.org/officeDocument/2006/relationships/oleObject" Target="embeddings/oleObject11.bin"/><Relationship Id="rId1" Type="http://schemas.openxmlformats.org/officeDocument/2006/relationships/customXml" Target="../customXml/item1.xml"/><Relationship Id="rId212" Type="http://schemas.openxmlformats.org/officeDocument/2006/relationships/image" Target="media/image138.jpeg"/><Relationship Id="rId233" Type="http://schemas.openxmlformats.org/officeDocument/2006/relationships/hyperlink" Target="https://docs.google.com/open?id=0B1E3P8PiCzB3R2NjaVppXzlSZms" TargetMode="External"/><Relationship Id="rId28" Type="http://schemas.openxmlformats.org/officeDocument/2006/relationships/image" Target="media/image19.jpeg"/><Relationship Id="rId49" Type="http://schemas.openxmlformats.org/officeDocument/2006/relationships/chart" Target="charts/chart3.xml"/><Relationship Id="rId114" Type="http://schemas.openxmlformats.org/officeDocument/2006/relationships/image" Target="media/image80.jpeg"/><Relationship Id="rId60" Type="http://schemas.openxmlformats.org/officeDocument/2006/relationships/image" Target="media/image39.jpeg"/><Relationship Id="rId81" Type="http://schemas.openxmlformats.org/officeDocument/2006/relationships/image" Target="media/image58.png"/><Relationship Id="rId135" Type="http://schemas.openxmlformats.org/officeDocument/2006/relationships/image" Target="media/image97.png"/><Relationship Id="rId156" Type="http://schemas.openxmlformats.org/officeDocument/2006/relationships/chart" Target="charts/chart22.xml"/><Relationship Id="rId177" Type="http://schemas.openxmlformats.org/officeDocument/2006/relationships/chart" Target="charts/chart42.xml"/><Relationship Id="rId198" Type="http://schemas.openxmlformats.org/officeDocument/2006/relationships/image" Target="media/image128.wmf"/><Relationship Id="rId202" Type="http://schemas.openxmlformats.org/officeDocument/2006/relationships/image" Target="media/image130.wmf"/><Relationship Id="rId223" Type="http://schemas.openxmlformats.org/officeDocument/2006/relationships/image" Target="media/image146.emf"/><Relationship Id="rId244" Type="http://schemas.openxmlformats.org/officeDocument/2006/relationships/fontTable" Target="fontTable.xml"/><Relationship Id="rId18" Type="http://schemas.openxmlformats.org/officeDocument/2006/relationships/image" Target="media/image9.jpeg"/><Relationship Id="rId39" Type="http://schemas.openxmlformats.org/officeDocument/2006/relationships/image" Target="media/image29.jpeg"/><Relationship Id="rId50" Type="http://schemas.openxmlformats.org/officeDocument/2006/relationships/chart" Target="charts/chart4.xml"/><Relationship Id="rId104" Type="http://schemas.openxmlformats.org/officeDocument/2006/relationships/image" Target="media/image70.jpeg"/><Relationship Id="rId125" Type="http://schemas.openxmlformats.org/officeDocument/2006/relationships/image" Target="media/image91.jpeg"/><Relationship Id="rId146" Type="http://schemas.openxmlformats.org/officeDocument/2006/relationships/image" Target="media/image108.png"/><Relationship Id="rId167" Type="http://schemas.openxmlformats.org/officeDocument/2006/relationships/chart" Target="charts/chart32.xml"/><Relationship Id="rId188" Type="http://schemas.openxmlformats.org/officeDocument/2006/relationships/image" Target="media/image123.wmf"/><Relationship Id="rId71" Type="http://schemas.openxmlformats.org/officeDocument/2006/relationships/image" Target="media/image50.png"/><Relationship Id="rId92" Type="http://schemas.openxmlformats.org/officeDocument/2006/relationships/oleObject" Target="embeddings/oleObject6.bin"/><Relationship Id="rId213" Type="http://schemas.openxmlformats.org/officeDocument/2006/relationships/image" Target="media/image139.jpeg"/><Relationship Id="rId234" Type="http://schemas.openxmlformats.org/officeDocument/2006/relationships/hyperlink" Target="https://docs.google.com/open?id=0B1E3P8PiCzB3UllzT2FoN3lWR0k" TargetMode="External"/><Relationship Id="rId2" Type="http://schemas.openxmlformats.org/officeDocument/2006/relationships/numbering" Target="numbering.xml"/><Relationship Id="rId29" Type="http://schemas.openxmlformats.org/officeDocument/2006/relationships/image" Target="media/image20.jpeg"/><Relationship Id="rId40" Type="http://schemas.openxmlformats.org/officeDocument/2006/relationships/image" Target="media/image30.png"/><Relationship Id="rId115" Type="http://schemas.openxmlformats.org/officeDocument/2006/relationships/image" Target="media/image81.jpeg"/><Relationship Id="rId136" Type="http://schemas.openxmlformats.org/officeDocument/2006/relationships/image" Target="media/image98.png"/><Relationship Id="rId157" Type="http://schemas.openxmlformats.org/officeDocument/2006/relationships/chart" Target="charts/chart23.xml"/><Relationship Id="rId178" Type="http://schemas.openxmlformats.org/officeDocument/2006/relationships/image" Target="media/image114.jpeg"/><Relationship Id="rId61" Type="http://schemas.openxmlformats.org/officeDocument/2006/relationships/image" Target="media/image40.jpeg"/><Relationship Id="rId82" Type="http://schemas.openxmlformats.org/officeDocument/2006/relationships/oleObject" Target="embeddings/oleObject3.bin"/><Relationship Id="rId199" Type="http://schemas.openxmlformats.org/officeDocument/2006/relationships/oleObject" Target="embeddings/oleObject17.bin"/><Relationship Id="rId203" Type="http://schemas.openxmlformats.org/officeDocument/2006/relationships/oleObject" Target="embeddings/oleObject19.bin"/><Relationship Id="rId19" Type="http://schemas.openxmlformats.org/officeDocument/2006/relationships/image" Target="media/image10.jpeg"/><Relationship Id="rId224" Type="http://schemas.openxmlformats.org/officeDocument/2006/relationships/image" Target="media/image147.emf"/><Relationship Id="rId245" Type="http://schemas.openxmlformats.org/officeDocument/2006/relationships/theme" Target="theme/theme1.xml"/><Relationship Id="rId30" Type="http://schemas.openxmlformats.org/officeDocument/2006/relationships/image" Target="media/image21.jpeg"/><Relationship Id="rId105" Type="http://schemas.openxmlformats.org/officeDocument/2006/relationships/image" Target="media/image71.png"/><Relationship Id="rId126" Type="http://schemas.openxmlformats.org/officeDocument/2006/relationships/chart" Target="charts/chart13.xml"/><Relationship Id="rId147" Type="http://schemas.openxmlformats.org/officeDocument/2006/relationships/image" Target="media/image109.emf"/><Relationship Id="rId168" Type="http://schemas.openxmlformats.org/officeDocument/2006/relationships/chart" Target="charts/chart33.xml"/><Relationship Id="rId51" Type="http://schemas.openxmlformats.org/officeDocument/2006/relationships/chart" Target="charts/chart5.xml"/><Relationship Id="rId72" Type="http://schemas.openxmlformats.org/officeDocument/2006/relationships/image" Target="media/image51.png"/><Relationship Id="rId93" Type="http://schemas.openxmlformats.org/officeDocument/2006/relationships/image" Target="media/image64.png"/><Relationship Id="rId189" Type="http://schemas.openxmlformats.org/officeDocument/2006/relationships/oleObject" Target="embeddings/oleObject12.bin"/><Relationship Id="rId3" Type="http://schemas.openxmlformats.org/officeDocument/2006/relationships/styles" Target="styles.xml"/><Relationship Id="rId214" Type="http://schemas.openxmlformats.org/officeDocument/2006/relationships/image" Target="media/image140.jpeg"/><Relationship Id="rId235" Type="http://schemas.openxmlformats.org/officeDocument/2006/relationships/hyperlink" Target="http://www.jusbrasil.com/topico/13226664/artigo-2-da-lei-n-898-de-18-de-dezembro-de-1975-de-s&#227;o-paulo" TargetMode="External"/><Relationship Id="rId116" Type="http://schemas.openxmlformats.org/officeDocument/2006/relationships/image" Target="media/image82.jpeg"/><Relationship Id="rId137" Type="http://schemas.openxmlformats.org/officeDocument/2006/relationships/image" Target="media/image99.png"/><Relationship Id="rId158" Type="http://schemas.openxmlformats.org/officeDocument/2006/relationships/chart" Target="charts/chart24.xml"/><Relationship Id="rId20" Type="http://schemas.openxmlformats.org/officeDocument/2006/relationships/image" Target="media/image11.jpeg"/><Relationship Id="rId41" Type="http://schemas.microsoft.com/office/2007/relationships/hdphoto" Target="media/hdphoto2.wdp"/><Relationship Id="rId62" Type="http://schemas.openxmlformats.org/officeDocument/2006/relationships/image" Target="media/image41.jpeg"/><Relationship Id="rId83" Type="http://schemas.openxmlformats.org/officeDocument/2006/relationships/image" Target="media/image59.jpeg"/><Relationship Id="rId179" Type="http://schemas.openxmlformats.org/officeDocument/2006/relationships/image" Target="media/image115.jpeg"/><Relationship Id="rId190" Type="http://schemas.openxmlformats.org/officeDocument/2006/relationships/image" Target="media/image124.wmf"/><Relationship Id="rId204" Type="http://schemas.openxmlformats.org/officeDocument/2006/relationships/image" Target="media/image131.wmf"/><Relationship Id="rId225" Type="http://schemas.openxmlformats.org/officeDocument/2006/relationships/image" Target="media/image148.emf"/><Relationship Id="rId106" Type="http://schemas.openxmlformats.org/officeDocument/2006/relationships/image" Target="media/image72.png"/><Relationship Id="rId127" Type="http://schemas.openxmlformats.org/officeDocument/2006/relationships/chart" Target="charts/chart14.xm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1" Type="http://schemas.openxmlformats.org/officeDocument/2006/relationships/oleObject" Target="file:///E:\CLARISSA%20Documentos\Consultorias\Rio%20Jaguari%202014\2%20Dados%20curva%20coletor%20e%20para%20para%20rodar%20similaridade.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neuzeli\Desktop\Probiota\Projetos\EIA%20Jaguari\esp&#233;cies.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neuzeli\Desktop\Probiota\Projetos\EIA%20Jaguari\Planilhas%20EIA%20RIMA%20Jaguari.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neuzeli\Desktop\Probiota\Projetos\EIA%20Jaguari\Planilhas%20EIA%20RIMA%20Jaguari.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192.168.1.2\depto\probiota\HP%20-%20Projetos\369_EIA%20-%20PRIME%20Jaguari\Recebido%20dos%20Consultores\Mastofauna\Planilhas\Curva%20Corrigida%20Paulo.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192.168.1.2\depto\probiota\HP%20-%20Projetos\369_EIA%20-%20PRIME%20Jaguari\Recebido%20dos%20Consultores\Mastofauna\Planilhas\Dados%20brutos_grandes_CP1_MD.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192.168.1.2\depto\probiota\HP%20-%20Projetos\369_EIA%20-%20PRIME%20Jaguari\Recebido%20dos%20Consultores\Mastofauna\Planilhas\Dados%20brutos_grandes_CP1_MD.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192.168.1.2\depto\probiota\HP%20-%20Projetos\369_EIA%20-%20PRIME%20Jaguari\Recebido%20dos%20Consultores\Mastofauna\Planilhas\Dados%20brutos_grandes_CP1_MD.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CLARISSA%20Documentos\Consultorias\Rio%20Jaguari%202014\2%20Dados%20curva%20coletor%20e%20para%20para%20rodar%20similaridade.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CLARISSA%20Documentos\Consultorias\Rio%20Jaguari%202014\2%20Dados%20curva%20coletor%20e%20para%20para%20rodar%20similaridade.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CLARISSA%20Documentos\Consultorias\Rio%20Jaguari%202014\2%20Dados%20curva%20coletor%20e%20para%20para%20rodar%20similaridade.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ajmj\Consultoria\Prime\EIA-RIMA%20transposi&#231;&#227;o%20Atibainha-Jaguari\Material%20recebido%208-10\Dados%20EIA-RIMA%20transposi&#231;&#227;o.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Users\Alberto\Desktop\Dados%20EIA.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C:\Users\Alberto\Desktop\Dados%20EIA.xlsx" TargetMode="External"/></Relationships>
</file>

<file path=word/charts/_rels/chart45.xml.rels><?xml version="1.0" encoding="UTF-8" standalone="yes"?>
<Relationships xmlns="http://schemas.openxmlformats.org/package/2006/relationships"><Relationship Id="rId2" Type="http://schemas.openxmlformats.org/officeDocument/2006/relationships/oleObject" Target="file:///C:\Users\Alberto\Desktop\Dados%20EIA.xlsx" TargetMode="External"/><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1" Type="http://schemas.openxmlformats.org/officeDocument/2006/relationships/oleObject" Target="file:///E:\CLARISSA%20Documentos\Consultorias\Rio%20Jaguari%202014\2%20Dados%20curva%20coletor%20e%20para%20para%20rodar%20similaridade.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CLARISSA%20Documentos\Consultorias\Rio%20Jaguari%202014\2%20Dados%20curva%20coletor%20e%20para%20para%20rodar%20similaridade.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E:\CLARISSA%20Documentos\Consultorias\Rio%20Jaguari%202014\8%20contagens%20para%20tabela.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E:\CLARISSA%20Documentos\Consultorias\Rio%20Jaguari%202014\8%20contagens%20para%20tabela.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E:\CLARISSA%20Documentos\Consultorias\Rio%20Jaguari%202014\5contagens%20para%20tabel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mn-lt"/>
              <a:ea typeface="+mn-ea"/>
              <a:cs typeface="+mn-cs"/>
            </a:defRPr>
          </a:pPr>
          <a:endParaRPr lang="pt-BR"/>
        </a:p>
      </c:txPr>
    </c:title>
    <c:autoTitleDeleted val="0"/>
    <c:plotArea>
      <c:layout/>
      <c:lineChart>
        <c:grouping val="standard"/>
        <c:varyColors val="0"/>
        <c:ser>
          <c:idx val="0"/>
          <c:order val="0"/>
          <c:tx>
            <c:strRef>
              <c:f>Plan4!$B$1</c:f>
              <c:strCache>
                <c:ptCount val="1"/>
                <c:pt idx="0">
                  <c:v>F3</c:v>
                </c:pt>
              </c:strCache>
            </c:strRef>
          </c:tx>
          <c:spPr>
            <a:ln w="6350" cap="rnd">
              <a:solidFill>
                <a:schemeClr val="accent1"/>
              </a:solidFill>
              <a:round/>
            </a:ln>
            <a:effectLst/>
          </c:spPr>
          <c:marker>
            <c:symbol val="circle"/>
            <c:size val="5"/>
            <c:spPr>
              <a:solidFill>
                <a:schemeClr val="accent1"/>
              </a:solidFill>
              <a:ln w="6350">
                <a:solidFill>
                  <a:schemeClr val="accent1"/>
                </a:solidFill>
              </a:ln>
              <a:effectLst/>
            </c:spPr>
          </c:marker>
          <c:cat>
            <c:strRef>
              <c:f>Plan4!$A$2:$A$11</c:f>
              <c:strCache>
                <c:ptCount val="10"/>
                <c:pt idx="0">
                  <c:v>15 min.</c:v>
                </c:pt>
                <c:pt idx="1">
                  <c:v>30 min.</c:v>
                </c:pt>
                <c:pt idx="2">
                  <c:v>45 min.</c:v>
                </c:pt>
                <c:pt idx="3">
                  <c:v>60 min.</c:v>
                </c:pt>
                <c:pt idx="4">
                  <c:v>75 min.</c:v>
                </c:pt>
                <c:pt idx="5">
                  <c:v>90 min.</c:v>
                </c:pt>
                <c:pt idx="6">
                  <c:v>105 min.</c:v>
                </c:pt>
                <c:pt idx="7">
                  <c:v>120 min.</c:v>
                </c:pt>
                <c:pt idx="8">
                  <c:v>135 min.</c:v>
                </c:pt>
                <c:pt idx="9">
                  <c:v>150 min.</c:v>
                </c:pt>
              </c:strCache>
            </c:strRef>
          </c:cat>
          <c:val>
            <c:numRef>
              <c:f>Plan4!$B$2:$B$11</c:f>
              <c:numCache>
                <c:formatCode>General</c:formatCode>
                <c:ptCount val="10"/>
                <c:pt idx="0">
                  <c:v>8</c:v>
                </c:pt>
                <c:pt idx="1">
                  <c:v>22</c:v>
                </c:pt>
                <c:pt idx="2">
                  <c:v>29</c:v>
                </c:pt>
                <c:pt idx="3">
                  <c:v>34</c:v>
                </c:pt>
                <c:pt idx="4">
                  <c:v>44</c:v>
                </c:pt>
                <c:pt idx="5">
                  <c:v>47</c:v>
                </c:pt>
                <c:pt idx="6">
                  <c:v>53</c:v>
                </c:pt>
                <c:pt idx="7">
                  <c:v>56</c:v>
                </c:pt>
                <c:pt idx="8">
                  <c:v>58</c:v>
                </c:pt>
                <c:pt idx="9">
                  <c:v>60</c:v>
                </c:pt>
              </c:numCache>
            </c:numRef>
          </c:val>
          <c:smooth val="0"/>
        </c:ser>
        <c:dLbls>
          <c:showLegendKey val="0"/>
          <c:showVal val="0"/>
          <c:showCatName val="0"/>
          <c:showSerName val="0"/>
          <c:showPercent val="0"/>
          <c:showBubbleSize val="0"/>
        </c:dLbls>
        <c:marker val="1"/>
        <c:smooth val="0"/>
        <c:axId val="-927665152"/>
        <c:axId val="-927662976"/>
      </c:lineChart>
      <c:catAx>
        <c:axId val="-927665152"/>
        <c:scaling>
          <c:orientation val="minMax"/>
        </c:scaling>
        <c:delete val="0"/>
        <c:axPos val="b"/>
        <c:title>
          <c:tx>
            <c:rich>
              <a:bodyPr rot="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r>
                  <a:rPr lang="pt-BR" sz="700">
                    <a:solidFill>
                      <a:sysClr val="windowText" lastClr="000000"/>
                    </a:solidFill>
                  </a:rPr>
                  <a:t>Tempo</a:t>
                </a:r>
                <a:r>
                  <a:rPr lang="pt-BR" sz="700" baseline="0">
                    <a:solidFill>
                      <a:sysClr val="windowText" lastClr="000000"/>
                    </a:solidFill>
                  </a:rPr>
                  <a:t> de amostragem</a:t>
                </a:r>
                <a:endParaRPr lang="pt-BR" sz="700">
                  <a:solidFill>
                    <a:sysClr val="windowText" lastClr="000000"/>
                  </a:solidFill>
                </a:endParaRPr>
              </a:p>
            </c:rich>
          </c:tx>
          <c:layout>
            <c:manualLayout>
              <c:xMode val="edge"/>
              <c:yMode val="edge"/>
              <c:x val="0.61815989900636514"/>
              <c:y val="0.8651970778842246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pt-BR"/>
          </a:p>
        </c:txPr>
        <c:crossAx val="-927662976"/>
        <c:crosses val="autoZero"/>
        <c:auto val="1"/>
        <c:lblAlgn val="ctr"/>
        <c:lblOffset val="100"/>
        <c:noMultiLvlLbl val="0"/>
      </c:catAx>
      <c:valAx>
        <c:axId val="-9276629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pt-BR" sz="700"/>
                  <a:t>Nº de espécies</a:t>
                </a:r>
              </a:p>
            </c:rich>
          </c:tx>
          <c:layout>
            <c:manualLayout>
              <c:xMode val="edge"/>
              <c:yMode val="edge"/>
              <c:x val="1.4847809948032772E-2"/>
              <c:y val="0.12610358705161837"/>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pt-BR"/>
          </a:p>
        </c:txPr>
        <c:crossAx val="-92766515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pt-B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cat>
            <c:strRef>
              <c:f>Plan1!$A$4:$A$13</c:f>
              <c:strCache>
                <c:ptCount val="10"/>
                <c:pt idx="0">
                  <c:v>Brachycephalidae</c:v>
                </c:pt>
                <c:pt idx="1">
                  <c:v>Bufonidae</c:v>
                </c:pt>
                <c:pt idx="2">
                  <c:v>Craugastoridae</c:v>
                </c:pt>
                <c:pt idx="3">
                  <c:v>Hylidae</c:v>
                </c:pt>
                <c:pt idx="4">
                  <c:v>Leptodactylidae</c:v>
                </c:pt>
                <c:pt idx="5">
                  <c:v>Ranidae</c:v>
                </c:pt>
                <c:pt idx="6">
                  <c:v>Teiidae</c:v>
                </c:pt>
                <c:pt idx="7">
                  <c:v>Leiosauridae</c:v>
                </c:pt>
                <c:pt idx="8">
                  <c:v>Dipsadidae</c:v>
                </c:pt>
                <c:pt idx="9">
                  <c:v>Viperidae</c:v>
                </c:pt>
              </c:strCache>
            </c:strRef>
          </c:cat>
          <c:val>
            <c:numRef>
              <c:f>Plan1!$B$4:$B$13</c:f>
              <c:numCache>
                <c:formatCode>General</c:formatCode>
                <c:ptCount val="10"/>
                <c:pt idx="0">
                  <c:v>3</c:v>
                </c:pt>
                <c:pt idx="1">
                  <c:v>2</c:v>
                </c:pt>
                <c:pt idx="2">
                  <c:v>1</c:v>
                </c:pt>
                <c:pt idx="3">
                  <c:v>9</c:v>
                </c:pt>
                <c:pt idx="4">
                  <c:v>2</c:v>
                </c:pt>
                <c:pt idx="5">
                  <c:v>1</c:v>
                </c:pt>
                <c:pt idx="6">
                  <c:v>1</c:v>
                </c:pt>
                <c:pt idx="7">
                  <c:v>1</c:v>
                </c:pt>
                <c:pt idx="8">
                  <c:v>1</c:v>
                </c:pt>
                <c:pt idx="9">
                  <c:v>1</c:v>
                </c:pt>
              </c:numCache>
            </c:numRef>
          </c:val>
        </c:ser>
        <c:dLbls>
          <c:showLegendKey val="0"/>
          <c:showVal val="0"/>
          <c:showCatName val="0"/>
          <c:showSerName val="0"/>
          <c:showPercent val="0"/>
          <c:showBubbleSize val="0"/>
        </c:dLbls>
        <c:gapWidth val="150"/>
        <c:axId val="-756927664"/>
        <c:axId val="-756926576"/>
      </c:barChart>
      <c:catAx>
        <c:axId val="-756927664"/>
        <c:scaling>
          <c:orientation val="minMax"/>
        </c:scaling>
        <c:delete val="0"/>
        <c:axPos val="b"/>
        <c:numFmt formatCode="General" sourceLinked="0"/>
        <c:majorTickMark val="out"/>
        <c:minorTickMark val="none"/>
        <c:tickLblPos val="nextTo"/>
        <c:crossAx val="-756926576"/>
        <c:crosses val="autoZero"/>
        <c:auto val="1"/>
        <c:lblAlgn val="ctr"/>
        <c:lblOffset val="100"/>
        <c:noMultiLvlLbl val="0"/>
      </c:catAx>
      <c:valAx>
        <c:axId val="-756926576"/>
        <c:scaling>
          <c:orientation val="minMax"/>
        </c:scaling>
        <c:delete val="0"/>
        <c:axPos val="l"/>
        <c:numFmt formatCode="General" sourceLinked="1"/>
        <c:majorTickMark val="out"/>
        <c:minorTickMark val="none"/>
        <c:tickLblPos val="nextTo"/>
        <c:crossAx val="-756927664"/>
        <c:crosses val="autoZero"/>
        <c:crossBetween val="between"/>
      </c:valAx>
    </c:plotArea>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cat>
            <c:strRef>
              <c:f>Plan2!$A$3:$A$7</c:f>
              <c:strCache>
                <c:ptCount val="5"/>
                <c:pt idx="0">
                  <c:v>Área 1</c:v>
                </c:pt>
                <c:pt idx="1">
                  <c:v>Área 2</c:v>
                </c:pt>
                <c:pt idx="2">
                  <c:v>Área 3</c:v>
                </c:pt>
                <c:pt idx="3">
                  <c:v>Área 4</c:v>
                </c:pt>
                <c:pt idx="4">
                  <c:v>Área 5</c:v>
                </c:pt>
              </c:strCache>
            </c:strRef>
          </c:cat>
          <c:val>
            <c:numRef>
              <c:f>Plan2!$B$3:$B$7</c:f>
              <c:numCache>
                <c:formatCode>General</c:formatCode>
                <c:ptCount val="5"/>
                <c:pt idx="0">
                  <c:v>4</c:v>
                </c:pt>
                <c:pt idx="1">
                  <c:v>6</c:v>
                </c:pt>
                <c:pt idx="2">
                  <c:v>6</c:v>
                </c:pt>
                <c:pt idx="3">
                  <c:v>10</c:v>
                </c:pt>
                <c:pt idx="4">
                  <c:v>11</c:v>
                </c:pt>
              </c:numCache>
            </c:numRef>
          </c:val>
        </c:ser>
        <c:dLbls>
          <c:showLegendKey val="0"/>
          <c:showVal val="0"/>
          <c:showCatName val="0"/>
          <c:showSerName val="0"/>
          <c:showPercent val="0"/>
          <c:showBubbleSize val="0"/>
        </c:dLbls>
        <c:gapWidth val="150"/>
        <c:axId val="-826427264"/>
        <c:axId val="-826421280"/>
      </c:barChart>
      <c:catAx>
        <c:axId val="-826427264"/>
        <c:scaling>
          <c:orientation val="minMax"/>
        </c:scaling>
        <c:delete val="0"/>
        <c:axPos val="b"/>
        <c:numFmt formatCode="General" sourceLinked="0"/>
        <c:majorTickMark val="out"/>
        <c:minorTickMark val="none"/>
        <c:tickLblPos val="nextTo"/>
        <c:crossAx val="-826421280"/>
        <c:crosses val="autoZero"/>
        <c:auto val="1"/>
        <c:lblAlgn val="ctr"/>
        <c:lblOffset val="100"/>
        <c:noMultiLvlLbl val="0"/>
      </c:catAx>
      <c:valAx>
        <c:axId val="-826421280"/>
        <c:scaling>
          <c:orientation val="minMax"/>
        </c:scaling>
        <c:delete val="0"/>
        <c:axPos val="l"/>
        <c:numFmt formatCode="General" sourceLinked="1"/>
        <c:majorTickMark val="out"/>
        <c:minorTickMark val="none"/>
        <c:tickLblPos val="nextTo"/>
        <c:crossAx val="-826427264"/>
        <c:crosses val="autoZero"/>
        <c:crossBetween val="between"/>
      </c:valAx>
    </c:plotArea>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Plan1!$C$14</c:f>
              <c:strCache>
                <c:ptCount val="1"/>
                <c:pt idx="0">
                  <c:v>intervalo de confiança</c:v>
                </c:pt>
              </c:strCache>
            </c:strRef>
          </c:tx>
          <c:spPr>
            <a:ln w="25400">
              <a:solidFill>
                <a:schemeClr val="tx1"/>
              </a:solidFill>
              <a:prstDash val="lgDash"/>
            </a:ln>
          </c:spPr>
          <c:marker>
            <c:symbol val="none"/>
          </c:marker>
          <c:val>
            <c:numRef>
              <c:f>Plan1!$C$15:$C$20</c:f>
              <c:numCache>
                <c:formatCode>General</c:formatCode>
                <c:ptCount val="6"/>
                <c:pt idx="0">
                  <c:v>4.57</c:v>
                </c:pt>
                <c:pt idx="1">
                  <c:v>8.33</c:v>
                </c:pt>
                <c:pt idx="2">
                  <c:v>11.360000000000024</c:v>
                </c:pt>
                <c:pt idx="3">
                  <c:v>13.76</c:v>
                </c:pt>
                <c:pt idx="4">
                  <c:v>15.67</c:v>
                </c:pt>
                <c:pt idx="5">
                  <c:v>17.170000000000005</c:v>
                </c:pt>
              </c:numCache>
            </c:numRef>
          </c:val>
          <c:smooth val="0"/>
        </c:ser>
        <c:ser>
          <c:idx val="1"/>
          <c:order val="1"/>
          <c:tx>
            <c:strRef>
              <c:f>Plan1!$D$14</c:f>
              <c:strCache>
                <c:ptCount val="1"/>
                <c:pt idx="0">
                  <c:v>riqueza observada</c:v>
                </c:pt>
              </c:strCache>
            </c:strRef>
          </c:tx>
          <c:spPr>
            <a:ln w="25400">
              <a:solidFill>
                <a:schemeClr val="tx1"/>
              </a:solidFill>
            </a:ln>
          </c:spPr>
          <c:marker>
            <c:symbol val="none"/>
          </c:marker>
          <c:val>
            <c:numRef>
              <c:f>Plan1!$D$15:$D$20</c:f>
              <c:numCache>
                <c:formatCode>General</c:formatCode>
                <c:ptCount val="6"/>
                <c:pt idx="0">
                  <c:v>6.67</c:v>
                </c:pt>
                <c:pt idx="1">
                  <c:v>11.53</c:v>
                </c:pt>
                <c:pt idx="2">
                  <c:v>15.15</c:v>
                </c:pt>
                <c:pt idx="3">
                  <c:v>17.93</c:v>
                </c:pt>
                <c:pt idx="4">
                  <c:v>20.170000000000005</c:v>
                </c:pt>
                <c:pt idx="5">
                  <c:v>22</c:v>
                </c:pt>
              </c:numCache>
            </c:numRef>
          </c:val>
          <c:smooth val="0"/>
        </c:ser>
        <c:ser>
          <c:idx val="2"/>
          <c:order val="2"/>
          <c:tx>
            <c:strRef>
              <c:f>Plan1!$E$14</c:f>
              <c:strCache>
                <c:ptCount val="1"/>
                <c:pt idx="0">
                  <c:v>intervalo de confiança</c:v>
                </c:pt>
              </c:strCache>
            </c:strRef>
          </c:tx>
          <c:spPr>
            <a:ln w="25400">
              <a:solidFill>
                <a:schemeClr val="tx1"/>
              </a:solidFill>
              <a:prstDash val="lgDash"/>
            </a:ln>
          </c:spPr>
          <c:marker>
            <c:symbol val="none"/>
          </c:marker>
          <c:val>
            <c:numRef>
              <c:f>Plan1!$E$15:$E$20</c:f>
              <c:numCache>
                <c:formatCode>General</c:formatCode>
                <c:ptCount val="6"/>
                <c:pt idx="0">
                  <c:v>8.77</c:v>
                </c:pt>
                <c:pt idx="1">
                  <c:v>14.739999999999998</c:v>
                </c:pt>
                <c:pt idx="2">
                  <c:v>18.939999999999987</c:v>
                </c:pt>
                <c:pt idx="3">
                  <c:v>22.110000000000031</c:v>
                </c:pt>
                <c:pt idx="4">
                  <c:v>24.66</c:v>
                </c:pt>
                <c:pt idx="5">
                  <c:v>26.830000000000005</c:v>
                </c:pt>
              </c:numCache>
            </c:numRef>
          </c:val>
          <c:smooth val="0"/>
        </c:ser>
        <c:ser>
          <c:idx val="3"/>
          <c:order val="3"/>
          <c:tx>
            <c:strRef>
              <c:f>Plan1!$F$14</c:f>
              <c:strCache>
                <c:ptCount val="1"/>
                <c:pt idx="0">
                  <c:v>riqueza estimada</c:v>
                </c:pt>
              </c:strCache>
            </c:strRef>
          </c:tx>
          <c:spPr>
            <a:ln w="25400">
              <a:solidFill>
                <a:schemeClr val="tx1"/>
              </a:solidFill>
              <a:prstDash val="sysDash"/>
            </a:ln>
          </c:spPr>
          <c:marker>
            <c:symbol val="none"/>
          </c:marker>
          <c:val>
            <c:numRef>
              <c:f>Plan1!$F$15:$F$20</c:f>
              <c:numCache>
                <c:formatCode>General</c:formatCode>
                <c:ptCount val="6"/>
                <c:pt idx="0">
                  <c:v>6.6599999999999975</c:v>
                </c:pt>
                <c:pt idx="1">
                  <c:v>16.610000000000031</c:v>
                </c:pt>
                <c:pt idx="2">
                  <c:v>22.419999999999987</c:v>
                </c:pt>
                <c:pt idx="3">
                  <c:v>26.110000000000031</c:v>
                </c:pt>
                <c:pt idx="4">
                  <c:v>28.99</c:v>
                </c:pt>
                <c:pt idx="5">
                  <c:v>31.17</c:v>
                </c:pt>
              </c:numCache>
            </c:numRef>
          </c:val>
          <c:smooth val="0"/>
        </c:ser>
        <c:dLbls>
          <c:showLegendKey val="0"/>
          <c:showVal val="0"/>
          <c:showCatName val="0"/>
          <c:showSerName val="0"/>
          <c:showPercent val="0"/>
          <c:showBubbleSize val="0"/>
        </c:dLbls>
        <c:smooth val="0"/>
        <c:axId val="-826416384"/>
        <c:axId val="-826414208"/>
      </c:lineChart>
      <c:catAx>
        <c:axId val="-826416384"/>
        <c:scaling>
          <c:orientation val="minMax"/>
        </c:scaling>
        <c:delete val="0"/>
        <c:axPos val="b"/>
        <c:majorTickMark val="out"/>
        <c:minorTickMark val="none"/>
        <c:tickLblPos val="nextTo"/>
        <c:crossAx val="-826414208"/>
        <c:crosses val="autoZero"/>
        <c:auto val="1"/>
        <c:lblAlgn val="ctr"/>
        <c:lblOffset val="100"/>
        <c:noMultiLvlLbl val="0"/>
      </c:catAx>
      <c:valAx>
        <c:axId val="-826414208"/>
        <c:scaling>
          <c:orientation val="minMax"/>
        </c:scaling>
        <c:delete val="0"/>
        <c:axPos val="l"/>
        <c:numFmt formatCode="General" sourceLinked="1"/>
        <c:majorTickMark val="out"/>
        <c:minorTickMark val="none"/>
        <c:tickLblPos val="nextTo"/>
        <c:crossAx val="-826416384"/>
        <c:crosses val="autoZero"/>
        <c:crossBetween val="between"/>
      </c:valAx>
    </c:plotArea>
    <c:legend>
      <c:legendPos val="b"/>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0033573928259017"/>
          <c:y val="5.1400554097404488E-2"/>
          <c:w val="0.8620671478565175"/>
          <c:h val="0.69702719451735207"/>
        </c:manualLayout>
      </c:layout>
      <c:scatterChart>
        <c:scatterStyle val="smoothMarker"/>
        <c:varyColors val="0"/>
        <c:ser>
          <c:idx val="0"/>
          <c:order val="0"/>
          <c:tx>
            <c:v>Riqueza Observada</c:v>
          </c:tx>
          <c:spPr>
            <a:ln>
              <a:solidFill>
                <a:schemeClr val="bg2">
                  <a:lumMod val="10000"/>
                </a:schemeClr>
              </a:solidFill>
            </a:ln>
          </c:spPr>
          <c:marker>
            <c:symbol val="none"/>
          </c:marker>
          <c:xVal>
            <c:numRef>
              <c:f>'[Curva Corrigida Paulo.xlsx]Plan2'!$A$5:$A$11</c:f>
              <c:numCache>
                <c:formatCode>General</c:formatCode>
                <c:ptCount val="7"/>
                <c:pt idx="0">
                  <c:v>0</c:v>
                </c:pt>
                <c:pt idx="1">
                  <c:v>1</c:v>
                </c:pt>
                <c:pt idx="2">
                  <c:v>2</c:v>
                </c:pt>
                <c:pt idx="3">
                  <c:v>3</c:v>
                </c:pt>
                <c:pt idx="4">
                  <c:v>4</c:v>
                </c:pt>
                <c:pt idx="5">
                  <c:v>5</c:v>
                </c:pt>
                <c:pt idx="6">
                  <c:v>6</c:v>
                </c:pt>
              </c:numCache>
            </c:numRef>
          </c:xVal>
          <c:yVal>
            <c:numRef>
              <c:f>'[Curva Corrigida Paulo.xlsx]Plan2'!$C$5:$C$11</c:f>
              <c:numCache>
                <c:formatCode>General</c:formatCode>
                <c:ptCount val="7"/>
                <c:pt idx="0">
                  <c:v>0</c:v>
                </c:pt>
                <c:pt idx="1">
                  <c:v>5.17</c:v>
                </c:pt>
                <c:pt idx="2">
                  <c:v>7.6</c:v>
                </c:pt>
                <c:pt idx="3">
                  <c:v>9</c:v>
                </c:pt>
                <c:pt idx="4">
                  <c:v>9.8700000000000028</c:v>
                </c:pt>
                <c:pt idx="5">
                  <c:v>10.5</c:v>
                </c:pt>
                <c:pt idx="6">
                  <c:v>11</c:v>
                </c:pt>
              </c:numCache>
            </c:numRef>
          </c:yVal>
          <c:smooth val="1"/>
        </c:ser>
        <c:ser>
          <c:idx val="1"/>
          <c:order val="1"/>
          <c:tx>
            <c:v>Intervado de confiança</c:v>
          </c:tx>
          <c:spPr>
            <a:ln>
              <a:solidFill>
                <a:schemeClr val="tx1"/>
              </a:solidFill>
              <a:prstDash val="dash"/>
            </a:ln>
          </c:spPr>
          <c:marker>
            <c:symbol val="none"/>
          </c:marker>
          <c:xVal>
            <c:numRef>
              <c:f>'[Curva Corrigida Paulo.xlsx]Plan2'!$A$5:$A$11</c:f>
              <c:numCache>
                <c:formatCode>General</c:formatCode>
                <c:ptCount val="7"/>
                <c:pt idx="0">
                  <c:v>0</c:v>
                </c:pt>
                <c:pt idx="1">
                  <c:v>1</c:v>
                </c:pt>
                <c:pt idx="2">
                  <c:v>2</c:v>
                </c:pt>
                <c:pt idx="3">
                  <c:v>3</c:v>
                </c:pt>
                <c:pt idx="4">
                  <c:v>4</c:v>
                </c:pt>
                <c:pt idx="5">
                  <c:v>5</c:v>
                </c:pt>
                <c:pt idx="6">
                  <c:v>6</c:v>
                </c:pt>
              </c:numCache>
            </c:numRef>
          </c:xVal>
          <c:yVal>
            <c:numRef>
              <c:f>'[Curva Corrigida Paulo.xlsx]Plan2'!$D$5:$D$11</c:f>
              <c:numCache>
                <c:formatCode>General</c:formatCode>
                <c:ptCount val="7"/>
                <c:pt idx="0">
                  <c:v>0</c:v>
                </c:pt>
                <c:pt idx="1">
                  <c:v>3.14</c:v>
                </c:pt>
                <c:pt idx="2">
                  <c:v>5.23</c:v>
                </c:pt>
                <c:pt idx="3">
                  <c:v>6.56</c:v>
                </c:pt>
                <c:pt idx="4">
                  <c:v>7.45</c:v>
                </c:pt>
                <c:pt idx="5">
                  <c:v>8.08</c:v>
                </c:pt>
                <c:pt idx="6">
                  <c:v>8.52</c:v>
                </c:pt>
              </c:numCache>
            </c:numRef>
          </c:yVal>
          <c:smooth val="1"/>
        </c:ser>
        <c:ser>
          <c:idx val="2"/>
          <c:order val="2"/>
          <c:spPr>
            <a:ln>
              <a:solidFill>
                <a:schemeClr val="tx1"/>
              </a:solidFill>
              <a:prstDash val="dash"/>
            </a:ln>
          </c:spPr>
          <c:marker>
            <c:symbol val="none"/>
          </c:marker>
          <c:xVal>
            <c:numRef>
              <c:f>'[Curva Corrigida Paulo.xlsx]Plan2'!$A$5:$A$11</c:f>
              <c:numCache>
                <c:formatCode>General</c:formatCode>
                <c:ptCount val="7"/>
                <c:pt idx="0">
                  <c:v>0</c:v>
                </c:pt>
                <c:pt idx="1">
                  <c:v>1</c:v>
                </c:pt>
                <c:pt idx="2">
                  <c:v>2</c:v>
                </c:pt>
                <c:pt idx="3">
                  <c:v>3</c:v>
                </c:pt>
                <c:pt idx="4">
                  <c:v>4</c:v>
                </c:pt>
                <c:pt idx="5">
                  <c:v>5</c:v>
                </c:pt>
                <c:pt idx="6">
                  <c:v>6</c:v>
                </c:pt>
              </c:numCache>
            </c:numRef>
          </c:xVal>
          <c:yVal>
            <c:numRef>
              <c:f>'[Curva Corrigida Paulo.xlsx]Plan2'!$E$5:$E$11</c:f>
              <c:numCache>
                <c:formatCode>General</c:formatCode>
                <c:ptCount val="7"/>
                <c:pt idx="0">
                  <c:v>0</c:v>
                </c:pt>
                <c:pt idx="1">
                  <c:v>7.1899999999999995</c:v>
                </c:pt>
                <c:pt idx="2">
                  <c:v>9.9700000000000006</c:v>
                </c:pt>
                <c:pt idx="3">
                  <c:v>11.44</c:v>
                </c:pt>
                <c:pt idx="4">
                  <c:v>12.28</c:v>
                </c:pt>
                <c:pt idx="5">
                  <c:v>12.92</c:v>
                </c:pt>
                <c:pt idx="6">
                  <c:v>13.48</c:v>
                </c:pt>
              </c:numCache>
            </c:numRef>
          </c:yVal>
          <c:smooth val="1"/>
        </c:ser>
        <c:dLbls>
          <c:showLegendKey val="0"/>
          <c:showVal val="0"/>
          <c:showCatName val="0"/>
          <c:showSerName val="0"/>
          <c:showPercent val="0"/>
          <c:showBubbleSize val="0"/>
        </c:dLbls>
        <c:axId val="-964281872"/>
        <c:axId val="-964276432"/>
      </c:scatterChart>
      <c:valAx>
        <c:axId val="-964281872"/>
        <c:scaling>
          <c:orientation val="minMax"/>
          <c:max val="6"/>
        </c:scaling>
        <c:delete val="0"/>
        <c:axPos val="b"/>
        <c:title>
          <c:tx>
            <c:rich>
              <a:bodyPr/>
              <a:lstStyle/>
              <a:p>
                <a:pPr>
                  <a:defRPr/>
                </a:pPr>
                <a:r>
                  <a:rPr lang="en-US"/>
                  <a:t>Amostras</a:t>
                </a:r>
              </a:p>
            </c:rich>
          </c:tx>
          <c:overlay val="0"/>
        </c:title>
        <c:numFmt formatCode="General" sourceLinked="1"/>
        <c:majorTickMark val="none"/>
        <c:minorTickMark val="none"/>
        <c:tickLblPos val="nextTo"/>
        <c:crossAx val="-964276432"/>
        <c:crosses val="autoZero"/>
        <c:crossBetween val="midCat"/>
      </c:valAx>
      <c:valAx>
        <c:axId val="-964276432"/>
        <c:scaling>
          <c:orientation val="minMax"/>
        </c:scaling>
        <c:delete val="0"/>
        <c:axPos val="l"/>
        <c:title>
          <c:tx>
            <c:rich>
              <a:bodyPr/>
              <a:lstStyle/>
              <a:p>
                <a:pPr>
                  <a:defRPr/>
                </a:pPr>
                <a:r>
                  <a:rPr lang="pt-BR"/>
                  <a:t>Número</a:t>
                </a:r>
                <a:r>
                  <a:rPr lang="pt-BR" baseline="0"/>
                  <a:t> de Espécies</a:t>
                </a:r>
                <a:endParaRPr lang="pt-BR"/>
              </a:p>
            </c:rich>
          </c:tx>
          <c:overlay val="0"/>
        </c:title>
        <c:numFmt formatCode="General" sourceLinked="1"/>
        <c:majorTickMark val="none"/>
        <c:minorTickMark val="none"/>
        <c:tickLblPos val="nextTo"/>
        <c:crossAx val="-964281872"/>
        <c:crosses val="autoZero"/>
        <c:crossBetween val="midCat"/>
      </c:valAx>
    </c:plotArea>
    <c:legend>
      <c:legendPos val="b"/>
      <c:legendEntry>
        <c:idx val="2"/>
        <c:delete val="1"/>
      </c:legendEntry>
      <c:overlay val="0"/>
    </c:legend>
    <c:plotVisOnly val="1"/>
    <c:dispBlanksAs val="gap"/>
    <c:showDLblsOverMax val="0"/>
  </c:chart>
  <c:spPr>
    <a:noFill/>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barChart>
        <c:barDir val="col"/>
        <c:grouping val="clustered"/>
        <c:varyColors val="0"/>
        <c:ser>
          <c:idx val="0"/>
          <c:order val="0"/>
          <c:invertIfNegative val="0"/>
          <c:dLbls>
            <c:delete val="1"/>
          </c:dLbls>
          <c:cat>
            <c:strRef>
              <c:f>dieta!$L$2:$O$2</c:f>
              <c:strCache>
                <c:ptCount val="4"/>
                <c:pt idx="0">
                  <c:v>Florestal</c:v>
                </c:pt>
                <c:pt idx="1">
                  <c:v>Aberto</c:v>
                </c:pt>
                <c:pt idx="2">
                  <c:v>Aquático</c:v>
                </c:pt>
                <c:pt idx="3">
                  <c:v>Florestal/Aberto</c:v>
                </c:pt>
              </c:strCache>
            </c:strRef>
          </c:cat>
          <c:val>
            <c:numRef>
              <c:f>dieta!$L$21:$O$21</c:f>
              <c:numCache>
                <c:formatCode>General</c:formatCode>
                <c:ptCount val="4"/>
                <c:pt idx="0">
                  <c:v>6</c:v>
                </c:pt>
                <c:pt idx="1">
                  <c:v>2</c:v>
                </c:pt>
                <c:pt idx="2">
                  <c:v>2</c:v>
                </c:pt>
                <c:pt idx="3">
                  <c:v>8</c:v>
                </c:pt>
              </c:numCache>
            </c:numRef>
          </c:val>
        </c:ser>
        <c:dLbls>
          <c:showLegendKey val="0"/>
          <c:showVal val="1"/>
          <c:showCatName val="0"/>
          <c:showSerName val="0"/>
          <c:showPercent val="0"/>
          <c:showBubbleSize val="0"/>
        </c:dLbls>
        <c:gapWidth val="75"/>
        <c:axId val="-1048608880"/>
        <c:axId val="-1048608336"/>
      </c:barChart>
      <c:catAx>
        <c:axId val="-1048608880"/>
        <c:scaling>
          <c:orientation val="minMax"/>
        </c:scaling>
        <c:delete val="0"/>
        <c:axPos val="b"/>
        <c:title>
          <c:tx>
            <c:rich>
              <a:bodyPr/>
              <a:lstStyle/>
              <a:p>
                <a:pPr>
                  <a:defRPr/>
                </a:pPr>
                <a:r>
                  <a:rPr lang="en-US"/>
                  <a:t>Habitat</a:t>
                </a:r>
              </a:p>
            </c:rich>
          </c:tx>
          <c:overlay val="0"/>
        </c:title>
        <c:numFmt formatCode="General" sourceLinked="0"/>
        <c:majorTickMark val="none"/>
        <c:minorTickMark val="none"/>
        <c:tickLblPos val="nextTo"/>
        <c:crossAx val="-1048608336"/>
        <c:crosses val="autoZero"/>
        <c:auto val="1"/>
        <c:lblAlgn val="ctr"/>
        <c:lblOffset val="100"/>
        <c:noMultiLvlLbl val="0"/>
      </c:catAx>
      <c:valAx>
        <c:axId val="-1048608336"/>
        <c:scaling>
          <c:orientation val="minMax"/>
        </c:scaling>
        <c:delete val="0"/>
        <c:axPos val="l"/>
        <c:title>
          <c:tx>
            <c:rich>
              <a:bodyPr rot="-5400000" vert="horz"/>
              <a:lstStyle/>
              <a:p>
                <a:pPr>
                  <a:defRPr/>
                </a:pPr>
                <a:r>
                  <a:rPr lang="en-US"/>
                  <a:t>N° espécies</a:t>
                </a:r>
              </a:p>
            </c:rich>
          </c:tx>
          <c:overlay val="0"/>
        </c:title>
        <c:numFmt formatCode="General" sourceLinked="1"/>
        <c:majorTickMark val="none"/>
        <c:minorTickMark val="none"/>
        <c:tickLblPos val="nextTo"/>
        <c:crossAx val="-1048608880"/>
        <c:crosses val="autoZero"/>
        <c:crossBetween val="between"/>
      </c:valAx>
      <c:spPr>
        <a:noFill/>
      </c:spPr>
    </c:plotArea>
    <c:plotVisOnly val="1"/>
    <c:dispBlanksAs val="gap"/>
    <c:showDLblsOverMax val="0"/>
  </c:chart>
  <c:spPr>
    <a:noFill/>
    <a:ln>
      <a:noFill/>
    </a:ln>
  </c:spPr>
  <c:txPr>
    <a:bodyPr/>
    <a:lstStyle/>
    <a:p>
      <a:pPr>
        <a:defRPr>
          <a:latin typeface="Arial" pitchFamily="34" charset="0"/>
          <a:cs typeface="Arial" pitchFamily="34" charset="0"/>
        </a:defRPr>
      </a:pPr>
      <a:endParaRPr lang="pt-BR"/>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col"/>
        <c:grouping val="clustered"/>
        <c:varyColors val="0"/>
        <c:ser>
          <c:idx val="0"/>
          <c:order val="0"/>
          <c:invertIfNegative val="0"/>
          <c:dLbls>
            <c:delete val="1"/>
          </c:dLbls>
          <c:cat>
            <c:strRef>
              <c:f>dieta!$P$2:$R$2</c:f>
              <c:strCache>
                <c:ptCount val="3"/>
                <c:pt idx="0">
                  <c:v>diurno</c:v>
                </c:pt>
                <c:pt idx="1">
                  <c:v>noturno</c:v>
                </c:pt>
                <c:pt idx="2">
                  <c:v>ambos</c:v>
                </c:pt>
              </c:strCache>
            </c:strRef>
          </c:cat>
          <c:val>
            <c:numRef>
              <c:f>dieta!$P$21:$R$21</c:f>
              <c:numCache>
                <c:formatCode>General</c:formatCode>
                <c:ptCount val="3"/>
                <c:pt idx="0">
                  <c:v>5</c:v>
                </c:pt>
                <c:pt idx="1">
                  <c:v>12</c:v>
                </c:pt>
                <c:pt idx="2">
                  <c:v>1</c:v>
                </c:pt>
              </c:numCache>
            </c:numRef>
          </c:val>
        </c:ser>
        <c:dLbls>
          <c:showLegendKey val="0"/>
          <c:showVal val="1"/>
          <c:showCatName val="0"/>
          <c:showSerName val="0"/>
          <c:showPercent val="0"/>
          <c:showBubbleSize val="0"/>
        </c:dLbls>
        <c:gapWidth val="75"/>
        <c:axId val="-635274912"/>
        <c:axId val="-635283072"/>
      </c:barChart>
      <c:catAx>
        <c:axId val="-635274912"/>
        <c:scaling>
          <c:orientation val="minMax"/>
        </c:scaling>
        <c:delete val="0"/>
        <c:axPos val="b"/>
        <c:title>
          <c:tx>
            <c:rich>
              <a:bodyPr/>
              <a:lstStyle/>
              <a:p>
                <a:pPr>
                  <a:defRPr/>
                </a:pPr>
                <a:r>
                  <a:rPr lang="en-US"/>
                  <a:t>Hábito</a:t>
                </a:r>
              </a:p>
            </c:rich>
          </c:tx>
          <c:overlay val="0"/>
        </c:title>
        <c:numFmt formatCode="General" sourceLinked="0"/>
        <c:majorTickMark val="none"/>
        <c:minorTickMark val="none"/>
        <c:tickLblPos val="nextTo"/>
        <c:crossAx val="-635283072"/>
        <c:crosses val="autoZero"/>
        <c:auto val="1"/>
        <c:lblAlgn val="ctr"/>
        <c:lblOffset val="100"/>
        <c:noMultiLvlLbl val="0"/>
      </c:catAx>
      <c:valAx>
        <c:axId val="-635283072"/>
        <c:scaling>
          <c:orientation val="minMax"/>
        </c:scaling>
        <c:delete val="0"/>
        <c:axPos val="l"/>
        <c:title>
          <c:tx>
            <c:rich>
              <a:bodyPr rot="-5400000" vert="horz"/>
              <a:lstStyle/>
              <a:p>
                <a:pPr>
                  <a:defRPr/>
                </a:pPr>
                <a:r>
                  <a:rPr lang="en-US"/>
                  <a:t>N° espécies</a:t>
                </a:r>
              </a:p>
            </c:rich>
          </c:tx>
          <c:overlay val="0"/>
        </c:title>
        <c:numFmt formatCode="General" sourceLinked="1"/>
        <c:majorTickMark val="none"/>
        <c:minorTickMark val="none"/>
        <c:tickLblPos val="nextTo"/>
        <c:crossAx val="-635274912"/>
        <c:crosses val="autoZero"/>
        <c:crossBetween val="between"/>
      </c:valAx>
      <c:spPr>
        <a:noFill/>
      </c:spPr>
    </c:plotArea>
    <c:plotVisOnly val="1"/>
    <c:dispBlanksAs val="gap"/>
    <c:showDLblsOverMax val="0"/>
  </c:chart>
  <c:spPr>
    <a:noFill/>
    <a:ln>
      <a:noFill/>
    </a:ln>
  </c:spPr>
  <c:txPr>
    <a:bodyPr/>
    <a:lstStyle/>
    <a:p>
      <a:pPr>
        <a:defRPr>
          <a:latin typeface="Arial" pitchFamily="34" charset="0"/>
          <a:cs typeface="Arial" pitchFamily="34" charset="0"/>
        </a:defRPr>
      </a:pPr>
      <a:endParaRPr lang="pt-BR"/>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bar"/>
        <c:grouping val="clustered"/>
        <c:varyColors val="0"/>
        <c:ser>
          <c:idx val="0"/>
          <c:order val="0"/>
          <c:invertIfNegative val="0"/>
          <c:dLbls>
            <c:delete val="1"/>
          </c:dLbls>
          <c:cat>
            <c:strRef>
              <c:f>dieta!$B$2:$K$2</c:f>
              <c:strCache>
                <c:ptCount val="10"/>
                <c:pt idx="0">
                  <c:v>ca</c:v>
                </c:pt>
                <c:pt idx="1">
                  <c:v>hb</c:v>
                </c:pt>
                <c:pt idx="2">
                  <c:v>hb/fr</c:v>
                </c:pt>
                <c:pt idx="3">
                  <c:v>in/on</c:v>
                </c:pt>
                <c:pt idx="4">
                  <c:v>ca/on</c:v>
                </c:pt>
                <c:pt idx="5">
                  <c:v>in/fr</c:v>
                </c:pt>
                <c:pt idx="6">
                  <c:v>on/fr</c:v>
                </c:pt>
                <c:pt idx="7">
                  <c:v>fr/gr</c:v>
                </c:pt>
                <c:pt idx="8">
                  <c:v>Ps</c:v>
                </c:pt>
                <c:pt idx="9">
                  <c:v>fo/fr</c:v>
                </c:pt>
              </c:strCache>
            </c:strRef>
          </c:cat>
          <c:val>
            <c:numRef>
              <c:f>dieta!$B$21:$K$21</c:f>
              <c:numCache>
                <c:formatCode>General</c:formatCode>
                <c:ptCount val="10"/>
                <c:pt idx="0">
                  <c:v>2</c:v>
                </c:pt>
                <c:pt idx="1">
                  <c:v>1</c:v>
                </c:pt>
                <c:pt idx="2">
                  <c:v>1</c:v>
                </c:pt>
                <c:pt idx="3">
                  <c:v>4</c:v>
                </c:pt>
                <c:pt idx="4">
                  <c:v>1</c:v>
                </c:pt>
                <c:pt idx="5">
                  <c:v>1</c:v>
                </c:pt>
                <c:pt idx="6">
                  <c:v>4</c:v>
                </c:pt>
                <c:pt idx="7">
                  <c:v>1</c:v>
                </c:pt>
                <c:pt idx="8">
                  <c:v>1</c:v>
                </c:pt>
                <c:pt idx="9">
                  <c:v>2</c:v>
                </c:pt>
              </c:numCache>
            </c:numRef>
          </c:val>
        </c:ser>
        <c:dLbls>
          <c:showLegendKey val="0"/>
          <c:showVal val="1"/>
          <c:showCatName val="0"/>
          <c:showSerName val="0"/>
          <c:showPercent val="0"/>
          <c:showBubbleSize val="0"/>
        </c:dLbls>
        <c:gapWidth val="75"/>
        <c:axId val="-635282528"/>
        <c:axId val="-635271648"/>
      </c:barChart>
      <c:catAx>
        <c:axId val="-635282528"/>
        <c:scaling>
          <c:orientation val="minMax"/>
        </c:scaling>
        <c:delete val="0"/>
        <c:axPos val="l"/>
        <c:title>
          <c:tx>
            <c:rich>
              <a:bodyPr rot="-5400000" vert="horz"/>
              <a:lstStyle/>
              <a:p>
                <a:pPr>
                  <a:defRPr/>
                </a:pPr>
                <a:r>
                  <a:rPr lang="en-US"/>
                  <a:t>Dieta</a:t>
                </a:r>
              </a:p>
            </c:rich>
          </c:tx>
          <c:overlay val="0"/>
        </c:title>
        <c:numFmt formatCode="General" sourceLinked="0"/>
        <c:majorTickMark val="none"/>
        <c:minorTickMark val="none"/>
        <c:tickLblPos val="nextTo"/>
        <c:crossAx val="-635271648"/>
        <c:crosses val="autoZero"/>
        <c:auto val="1"/>
        <c:lblAlgn val="ctr"/>
        <c:lblOffset val="100"/>
        <c:noMultiLvlLbl val="0"/>
      </c:catAx>
      <c:valAx>
        <c:axId val="-635271648"/>
        <c:scaling>
          <c:orientation val="minMax"/>
        </c:scaling>
        <c:delete val="0"/>
        <c:axPos val="b"/>
        <c:title>
          <c:tx>
            <c:rich>
              <a:bodyPr/>
              <a:lstStyle/>
              <a:p>
                <a:pPr>
                  <a:defRPr/>
                </a:pPr>
                <a:r>
                  <a:rPr lang="en-US"/>
                  <a:t>N° espécies</a:t>
                </a:r>
              </a:p>
            </c:rich>
          </c:tx>
          <c:overlay val="0"/>
        </c:title>
        <c:numFmt formatCode="General" sourceLinked="1"/>
        <c:majorTickMark val="none"/>
        <c:minorTickMark val="none"/>
        <c:tickLblPos val="nextTo"/>
        <c:crossAx val="-635282528"/>
        <c:crosses val="autoZero"/>
        <c:crossBetween val="between"/>
      </c:valAx>
      <c:spPr>
        <a:noFill/>
      </c:spPr>
    </c:plotArea>
    <c:plotVisOnly val="1"/>
    <c:dispBlanksAs val="gap"/>
    <c:showDLblsOverMax val="0"/>
  </c:chart>
  <c:spPr>
    <a:noFill/>
    <a:ln>
      <a:noFill/>
    </a:ln>
  </c:spPr>
  <c:txPr>
    <a:bodyPr/>
    <a:lstStyle/>
    <a:p>
      <a:pPr>
        <a:defRPr>
          <a:latin typeface="Arial" pitchFamily="34" charset="0"/>
          <a:cs typeface="Arial" pitchFamily="34" charset="0"/>
        </a:defRPr>
      </a:pPr>
      <a:endParaRPr lang="pt-BR"/>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 Fitoplâncton - AT102A - % de táxons</a:t>
            </a: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8097062579821454E-2"/>
          <c:y val="0.18097222222222337"/>
          <c:w val="0.94380587484035761"/>
          <c:h val="0.44402559055118113"/>
        </c:manualLayout>
      </c:layout>
      <c:pie3DChart>
        <c:varyColors val="1"/>
        <c:ser>
          <c:idx val="0"/>
          <c:order val="0"/>
          <c:dPt>
            <c:idx val="0"/>
            <c:bubble3D val="0"/>
            <c:spPr>
              <a:solidFill>
                <a:srgbClr val="0070C0"/>
              </a:solidFill>
              <a:ln w="25400">
                <a:solidFill>
                  <a:schemeClr val="lt1"/>
                </a:solidFill>
              </a:ln>
              <a:effectLst/>
              <a:sp3d contourW="25400">
                <a:contourClr>
                  <a:schemeClr val="lt1"/>
                </a:contourClr>
              </a:sp3d>
            </c:spPr>
          </c:dPt>
          <c:dPt>
            <c:idx val="1"/>
            <c:bubble3D val="0"/>
            <c:spPr>
              <a:solidFill>
                <a:schemeClr val="accent4">
                  <a:lumMod val="40000"/>
                  <a:lumOff val="60000"/>
                </a:schemeClr>
              </a:solidFill>
              <a:ln w="25400">
                <a:solidFill>
                  <a:schemeClr val="lt1"/>
                </a:solidFill>
              </a:ln>
              <a:effectLst/>
              <a:sp3d contourW="25400">
                <a:contourClr>
                  <a:schemeClr val="lt1"/>
                </a:contourClr>
              </a:sp3d>
            </c:spPr>
          </c:dPt>
          <c:dPt>
            <c:idx val="2"/>
            <c:bubble3D val="0"/>
            <c:spPr>
              <a:solidFill>
                <a:srgbClr val="92D050"/>
              </a:solidFill>
              <a:ln w="25400">
                <a:solidFill>
                  <a:schemeClr val="lt1"/>
                </a:solidFill>
              </a:ln>
              <a:effectLst/>
              <a:sp3d contourW="25400">
                <a:contourClr>
                  <a:schemeClr val="lt1"/>
                </a:contourClr>
              </a:sp3d>
            </c:spPr>
          </c:dPt>
          <c:dPt>
            <c:idx val="3"/>
            <c:bubble3D val="0"/>
            <c:spPr>
              <a:solidFill>
                <a:srgbClr val="FFCC00"/>
              </a:solidFill>
              <a:ln w="25400">
                <a:solidFill>
                  <a:schemeClr val="lt1"/>
                </a:solidFill>
              </a:ln>
              <a:effectLst/>
              <a:sp3d contourW="25400">
                <a:contourClr>
                  <a:schemeClr val="lt1"/>
                </a:contourClr>
              </a:sp3d>
            </c:spPr>
          </c:dPt>
          <c:dPt>
            <c:idx val="4"/>
            <c:bubble3D val="0"/>
            <c:spPr>
              <a:solidFill>
                <a:schemeClr val="accent2">
                  <a:lumMod val="75000"/>
                </a:schemeClr>
              </a:solidFill>
              <a:ln w="25400">
                <a:solidFill>
                  <a:schemeClr val="lt1"/>
                </a:solidFill>
              </a:ln>
              <a:effectLst/>
              <a:sp3d contourW="25400">
                <a:contourClr>
                  <a:schemeClr val="lt1"/>
                </a:contourClr>
              </a:sp3d>
            </c:spPr>
          </c:dPt>
          <c:dPt>
            <c:idx val="5"/>
            <c:bubble3D val="0"/>
            <c:spPr>
              <a:solidFill>
                <a:schemeClr val="accent6">
                  <a:lumMod val="40000"/>
                  <a:lumOff val="60000"/>
                </a:schemeClr>
              </a:solidFill>
              <a:ln w="25400">
                <a:solidFill>
                  <a:schemeClr val="lt1"/>
                </a:solidFill>
              </a:ln>
              <a:effectLst/>
              <a:sp3d contourW="25400">
                <a:contourClr>
                  <a:schemeClr val="lt1"/>
                </a:contourClr>
              </a:sp3d>
            </c:spPr>
          </c:dPt>
          <c:dPt>
            <c:idx val="6"/>
            <c:bubble3D val="0"/>
            <c:spPr>
              <a:solidFill>
                <a:srgbClr val="00B050"/>
              </a:solidFill>
              <a:ln w="25400">
                <a:solidFill>
                  <a:schemeClr val="lt1"/>
                </a:solidFill>
              </a:ln>
              <a:effectLst/>
              <a:sp3d contourW="25400">
                <a:contourClr>
                  <a:schemeClr val="lt1"/>
                </a:contourClr>
              </a:sp3d>
            </c:spPr>
          </c:dPt>
          <c:cat>
            <c:strRef>
              <c:f>'Fito Atibainha'!$H$4:$H$10</c:f>
              <c:strCache>
                <c:ptCount val="7"/>
                <c:pt idx="0">
                  <c:v>CYANOBACTERIA</c:v>
                </c:pt>
                <c:pt idx="1">
                  <c:v>BACILLARIOPHYCEAE (= diatomáceas)</c:v>
                </c:pt>
                <c:pt idx="2">
                  <c:v>CHLOROPHYCEAE</c:v>
                </c:pt>
                <c:pt idx="3">
                  <c:v>CHRYSOPHYCEAE</c:v>
                </c:pt>
                <c:pt idx="4">
                  <c:v>DINOPHYCEAE</c:v>
                </c:pt>
                <c:pt idx="5">
                  <c:v>EUGLENOPHYCEAE</c:v>
                </c:pt>
                <c:pt idx="6">
                  <c:v>ZYGNEMAPHYCEAE</c:v>
                </c:pt>
              </c:strCache>
            </c:strRef>
          </c:cat>
          <c:val>
            <c:numRef>
              <c:f>'Fito Atibainha'!$J$4:$J$10</c:f>
              <c:numCache>
                <c:formatCode>General</c:formatCode>
                <c:ptCount val="7"/>
                <c:pt idx="0">
                  <c:v>5</c:v>
                </c:pt>
                <c:pt idx="1">
                  <c:v>10</c:v>
                </c:pt>
                <c:pt idx="2">
                  <c:v>40</c:v>
                </c:pt>
                <c:pt idx="3">
                  <c:v>15</c:v>
                </c:pt>
                <c:pt idx="4">
                  <c:v>10</c:v>
                </c:pt>
                <c:pt idx="5">
                  <c:v>5</c:v>
                </c:pt>
                <c:pt idx="6">
                  <c:v>15</c:v>
                </c:pt>
              </c:numCache>
            </c:numRef>
          </c:val>
        </c:ser>
        <c:dLbls>
          <c:showLegendKey val="0"/>
          <c:showVal val="0"/>
          <c:showCatName val="0"/>
          <c:showSerName val="0"/>
          <c:showPercent val="0"/>
          <c:showBubbleSize val="0"/>
          <c:showLeaderLines val="0"/>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Fitoplâncton - AT 103 -  % de táxons</a:t>
            </a: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rgbClr val="0070C0"/>
              </a:solidFill>
              <a:ln w="25400">
                <a:solidFill>
                  <a:schemeClr val="lt1"/>
                </a:solidFill>
              </a:ln>
              <a:effectLst/>
              <a:sp3d contourW="25400">
                <a:contourClr>
                  <a:schemeClr val="lt1"/>
                </a:contourClr>
              </a:sp3d>
            </c:spPr>
          </c:dPt>
          <c:dPt>
            <c:idx val="1"/>
            <c:bubble3D val="0"/>
            <c:spPr>
              <a:solidFill>
                <a:schemeClr val="accent4">
                  <a:lumMod val="40000"/>
                  <a:lumOff val="60000"/>
                </a:schemeClr>
              </a:solidFill>
              <a:ln w="25400">
                <a:solidFill>
                  <a:schemeClr val="lt1"/>
                </a:solidFill>
              </a:ln>
              <a:effectLst/>
              <a:sp3d contourW="25400">
                <a:contourClr>
                  <a:schemeClr val="lt1"/>
                </a:contourClr>
              </a:sp3d>
            </c:spPr>
          </c:dPt>
          <c:dPt>
            <c:idx val="2"/>
            <c:bubble3D val="0"/>
            <c:spPr>
              <a:solidFill>
                <a:srgbClr val="92D050"/>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2">
                  <a:lumMod val="75000"/>
                </a:schemeClr>
              </a:solidFill>
              <a:ln w="25400">
                <a:solidFill>
                  <a:schemeClr val="lt1"/>
                </a:solidFill>
              </a:ln>
              <a:effectLst/>
              <a:sp3d contourW="25400">
                <a:contourClr>
                  <a:schemeClr val="lt1"/>
                </a:contourClr>
              </a:sp3d>
            </c:spPr>
          </c:dPt>
          <c:dPt>
            <c:idx val="5"/>
            <c:bubble3D val="0"/>
            <c:spPr>
              <a:solidFill>
                <a:schemeClr val="accent6">
                  <a:lumMod val="20000"/>
                  <a:lumOff val="80000"/>
                </a:schemeClr>
              </a:solidFill>
              <a:ln w="25400">
                <a:solidFill>
                  <a:schemeClr val="lt1"/>
                </a:solidFill>
              </a:ln>
              <a:effectLst/>
              <a:sp3d contourW="25400">
                <a:contourClr>
                  <a:schemeClr val="lt1"/>
                </a:contourClr>
              </a:sp3d>
            </c:spPr>
          </c:dPt>
          <c:dPt>
            <c:idx val="6"/>
            <c:bubble3D val="0"/>
            <c:spPr>
              <a:solidFill>
                <a:srgbClr val="00B050"/>
              </a:solidFill>
              <a:ln w="25400">
                <a:solidFill>
                  <a:schemeClr val="lt1"/>
                </a:solidFill>
              </a:ln>
              <a:effectLst/>
              <a:sp3d contourW="25400">
                <a:contourClr>
                  <a:schemeClr val="lt1"/>
                </a:contourClr>
              </a:sp3d>
            </c:spPr>
          </c:dPt>
          <c:cat>
            <c:strRef>
              <c:f>'Fito Atibainha'!$H$4:$H$10</c:f>
              <c:strCache>
                <c:ptCount val="7"/>
                <c:pt idx="0">
                  <c:v>CYANOBACTERIA</c:v>
                </c:pt>
                <c:pt idx="1">
                  <c:v>BACILLARIOPHYCEAE (= diatomáceas)</c:v>
                </c:pt>
                <c:pt idx="2">
                  <c:v>CHLOROPHYCEAE</c:v>
                </c:pt>
                <c:pt idx="3">
                  <c:v>CHRYSOPHYCEAE</c:v>
                </c:pt>
                <c:pt idx="4">
                  <c:v>DINOPHYCEAE</c:v>
                </c:pt>
                <c:pt idx="5">
                  <c:v>EUGLENOPHYCEAE</c:v>
                </c:pt>
                <c:pt idx="6">
                  <c:v>ZYGNEMAPHYCEAE</c:v>
                </c:pt>
              </c:strCache>
            </c:strRef>
          </c:cat>
          <c:val>
            <c:numRef>
              <c:f>'Fito Atibainha'!$J$51:$J$57</c:f>
              <c:numCache>
                <c:formatCode>General</c:formatCode>
                <c:ptCount val="7"/>
                <c:pt idx="0">
                  <c:v>9</c:v>
                </c:pt>
                <c:pt idx="1">
                  <c:v>4</c:v>
                </c:pt>
                <c:pt idx="2">
                  <c:v>35</c:v>
                </c:pt>
                <c:pt idx="3">
                  <c:v>13</c:v>
                </c:pt>
                <c:pt idx="4">
                  <c:v>13</c:v>
                </c:pt>
                <c:pt idx="5">
                  <c:v>4</c:v>
                </c:pt>
                <c:pt idx="6">
                  <c:v>17</c:v>
                </c:pt>
              </c:numCache>
            </c:numRef>
          </c:val>
        </c:ser>
        <c:dLbls>
          <c:showLegendKey val="0"/>
          <c:showVal val="0"/>
          <c:showCatName val="0"/>
          <c:showSerName val="0"/>
          <c:showPercent val="0"/>
          <c:showBubbleSize val="0"/>
          <c:showLeaderLines val="0"/>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Fitoplâncton - AT 301 -  % de táxons</a:t>
            </a: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rgbClr val="0070C0"/>
              </a:solidFill>
              <a:ln w="25400">
                <a:solidFill>
                  <a:schemeClr val="lt1"/>
                </a:solidFill>
              </a:ln>
              <a:effectLst/>
              <a:sp3d contourW="25400">
                <a:contourClr>
                  <a:schemeClr val="lt1"/>
                </a:contourClr>
              </a:sp3d>
            </c:spPr>
          </c:dPt>
          <c:dPt>
            <c:idx val="1"/>
            <c:bubble3D val="0"/>
            <c:spPr>
              <a:solidFill>
                <a:schemeClr val="accent4">
                  <a:lumMod val="40000"/>
                  <a:lumOff val="60000"/>
                </a:schemeClr>
              </a:solidFill>
              <a:ln w="25400">
                <a:solidFill>
                  <a:schemeClr val="lt1"/>
                </a:solidFill>
              </a:ln>
              <a:effectLst/>
              <a:sp3d contourW="25400">
                <a:contourClr>
                  <a:schemeClr val="lt1"/>
                </a:contourClr>
              </a:sp3d>
            </c:spPr>
          </c:dPt>
          <c:dPt>
            <c:idx val="2"/>
            <c:bubble3D val="0"/>
            <c:spPr>
              <a:solidFill>
                <a:srgbClr val="92D050"/>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rgbClr val="C00000"/>
              </a:solidFill>
              <a:ln w="25400">
                <a:solidFill>
                  <a:schemeClr val="lt1"/>
                </a:solidFill>
              </a:ln>
              <a:effectLst/>
              <a:sp3d contourW="25400">
                <a:contourClr>
                  <a:schemeClr val="lt1"/>
                </a:contourClr>
              </a:sp3d>
            </c:spPr>
          </c:dPt>
          <c:dPt>
            <c:idx val="5"/>
            <c:bubble3D val="0"/>
            <c:spPr>
              <a:solidFill>
                <a:schemeClr val="accent6">
                  <a:lumMod val="40000"/>
                  <a:lumOff val="60000"/>
                </a:schemeClr>
              </a:solidFill>
              <a:ln w="25400">
                <a:solidFill>
                  <a:schemeClr val="lt1"/>
                </a:solidFill>
              </a:ln>
              <a:effectLst/>
              <a:sp3d contourW="25400">
                <a:contourClr>
                  <a:schemeClr val="lt1"/>
                </a:contourClr>
              </a:sp3d>
            </c:spPr>
          </c:dPt>
          <c:dPt>
            <c:idx val="6"/>
            <c:bubble3D val="0"/>
            <c:spPr>
              <a:solidFill>
                <a:srgbClr val="00B050"/>
              </a:solidFill>
              <a:ln w="25400">
                <a:solidFill>
                  <a:schemeClr val="lt1"/>
                </a:solidFill>
              </a:ln>
              <a:effectLst/>
              <a:sp3d contourW="25400">
                <a:contourClr>
                  <a:schemeClr val="lt1"/>
                </a:contourClr>
              </a:sp3d>
            </c:spPr>
          </c:dPt>
          <c:cat>
            <c:strRef>
              <c:f>'Fito Atibainha'!$H$4:$H$10</c:f>
              <c:strCache>
                <c:ptCount val="7"/>
                <c:pt idx="0">
                  <c:v>CYANOBACTERIA</c:v>
                </c:pt>
                <c:pt idx="1">
                  <c:v>BACILLARIOPHYCEAE (= diatomáceas)</c:v>
                </c:pt>
                <c:pt idx="2">
                  <c:v>CHLOROPHYCEAE</c:v>
                </c:pt>
                <c:pt idx="3">
                  <c:v>CHRYSOPHYCEAE</c:v>
                </c:pt>
                <c:pt idx="4">
                  <c:v>DINOPHYCEAE</c:v>
                </c:pt>
                <c:pt idx="5">
                  <c:v>EUGLENOPHYCEAE</c:v>
                </c:pt>
                <c:pt idx="6">
                  <c:v>ZYGNEMAPHYCEAE</c:v>
                </c:pt>
              </c:strCache>
            </c:strRef>
          </c:cat>
          <c:val>
            <c:numRef>
              <c:f>'Fito Atibainha'!$J$100:$J$106</c:f>
              <c:numCache>
                <c:formatCode>General</c:formatCode>
                <c:ptCount val="7"/>
                <c:pt idx="0">
                  <c:v>0</c:v>
                </c:pt>
                <c:pt idx="1">
                  <c:v>19</c:v>
                </c:pt>
                <c:pt idx="2">
                  <c:v>38</c:v>
                </c:pt>
                <c:pt idx="3">
                  <c:v>13</c:v>
                </c:pt>
                <c:pt idx="4">
                  <c:v>13</c:v>
                </c:pt>
                <c:pt idx="5">
                  <c:v>6</c:v>
                </c:pt>
                <c:pt idx="6">
                  <c:v>13</c:v>
                </c:pt>
              </c:numCache>
            </c:numRef>
          </c:val>
        </c:ser>
        <c:dLbls>
          <c:showLegendKey val="0"/>
          <c:showVal val="0"/>
          <c:showCatName val="0"/>
          <c:showSerName val="0"/>
          <c:showPercent val="0"/>
          <c:showBubbleSize val="0"/>
          <c:showLeaderLines val="0"/>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47198309237473718"/>
          <c:y val="4.3336944745395532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mn-lt"/>
              <a:ea typeface="+mn-ea"/>
              <a:cs typeface="+mn-cs"/>
            </a:defRPr>
          </a:pPr>
          <a:endParaRPr lang="pt-BR"/>
        </a:p>
      </c:txPr>
    </c:title>
    <c:autoTitleDeleted val="0"/>
    <c:plotArea>
      <c:layout>
        <c:manualLayout>
          <c:layoutTarget val="inner"/>
          <c:xMode val="edge"/>
          <c:yMode val="edge"/>
          <c:x val="0.18400246881253945"/>
          <c:y val="0.22538851115983197"/>
          <c:w val="0.76374099912095361"/>
          <c:h val="0.49649636157343974"/>
        </c:manualLayout>
      </c:layout>
      <c:lineChart>
        <c:grouping val="standard"/>
        <c:varyColors val="0"/>
        <c:ser>
          <c:idx val="0"/>
          <c:order val="0"/>
          <c:tx>
            <c:strRef>
              <c:f>Plan4!$B$18</c:f>
              <c:strCache>
                <c:ptCount val="1"/>
                <c:pt idx="0">
                  <c:v>F8</c:v>
                </c:pt>
              </c:strCache>
            </c:strRef>
          </c:tx>
          <c:spPr>
            <a:ln w="6350" cap="rnd">
              <a:solidFill>
                <a:schemeClr val="accent1"/>
              </a:solidFill>
              <a:round/>
            </a:ln>
            <a:effectLst/>
          </c:spPr>
          <c:marker>
            <c:symbol val="circle"/>
            <c:size val="5"/>
            <c:spPr>
              <a:solidFill>
                <a:schemeClr val="accent1"/>
              </a:solidFill>
              <a:ln w="6350">
                <a:solidFill>
                  <a:schemeClr val="accent1"/>
                </a:solidFill>
              </a:ln>
              <a:effectLst/>
            </c:spPr>
          </c:marker>
          <c:cat>
            <c:strRef>
              <c:f>Plan4!$A$19:$A$30</c:f>
              <c:strCache>
                <c:ptCount val="12"/>
                <c:pt idx="0">
                  <c:v>15 min.</c:v>
                </c:pt>
                <c:pt idx="1">
                  <c:v>30 min.</c:v>
                </c:pt>
                <c:pt idx="2">
                  <c:v>45 min.</c:v>
                </c:pt>
                <c:pt idx="3">
                  <c:v>60 min.</c:v>
                </c:pt>
                <c:pt idx="4">
                  <c:v>75 min.</c:v>
                </c:pt>
                <c:pt idx="5">
                  <c:v>90 min.</c:v>
                </c:pt>
                <c:pt idx="6">
                  <c:v>105 min.</c:v>
                </c:pt>
                <c:pt idx="7">
                  <c:v>120 min.</c:v>
                </c:pt>
                <c:pt idx="8">
                  <c:v>135 min.</c:v>
                </c:pt>
                <c:pt idx="9">
                  <c:v>150 min.</c:v>
                </c:pt>
                <c:pt idx="10">
                  <c:v>165 min.</c:v>
                </c:pt>
                <c:pt idx="11">
                  <c:v>180 min.</c:v>
                </c:pt>
              </c:strCache>
            </c:strRef>
          </c:cat>
          <c:val>
            <c:numRef>
              <c:f>Plan4!$B$19:$B$30</c:f>
              <c:numCache>
                <c:formatCode>General</c:formatCode>
                <c:ptCount val="12"/>
                <c:pt idx="0">
                  <c:v>15</c:v>
                </c:pt>
                <c:pt idx="1">
                  <c:v>26</c:v>
                </c:pt>
                <c:pt idx="2">
                  <c:v>34</c:v>
                </c:pt>
                <c:pt idx="3">
                  <c:v>46</c:v>
                </c:pt>
                <c:pt idx="4">
                  <c:v>59</c:v>
                </c:pt>
                <c:pt idx="5">
                  <c:v>68</c:v>
                </c:pt>
                <c:pt idx="6">
                  <c:v>77</c:v>
                </c:pt>
                <c:pt idx="7">
                  <c:v>79</c:v>
                </c:pt>
                <c:pt idx="8">
                  <c:v>84</c:v>
                </c:pt>
                <c:pt idx="9">
                  <c:v>87</c:v>
                </c:pt>
                <c:pt idx="10">
                  <c:v>89</c:v>
                </c:pt>
                <c:pt idx="11">
                  <c:v>92</c:v>
                </c:pt>
              </c:numCache>
            </c:numRef>
          </c:val>
          <c:smooth val="0"/>
        </c:ser>
        <c:dLbls>
          <c:showLegendKey val="0"/>
          <c:showVal val="0"/>
          <c:showCatName val="0"/>
          <c:showSerName val="0"/>
          <c:showPercent val="0"/>
          <c:showBubbleSize val="0"/>
        </c:dLbls>
        <c:marker val="1"/>
        <c:smooth val="0"/>
        <c:axId val="-927657536"/>
        <c:axId val="-927659712"/>
      </c:lineChart>
      <c:catAx>
        <c:axId val="-927657536"/>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pt-BR" sz="700">
                    <a:solidFill>
                      <a:sysClr val="windowText" lastClr="000000"/>
                    </a:solidFill>
                  </a:rPr>
                  <a:t>Tempo de amostragem</a:t>
                </a:r>
              </a:p>
            </c:rich>
          </c:tx>
          <c:layout>
            <c:manualLayout>
              <c:xMode val="edge"/>
              <c:yMode val="edge"/>
              <c:x val="0.60369947818280989"/>
              <c:y val="0.8804980905014177"/>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pt-BR"/>
          </a:p>
        </c:txPr>
        <c:crossAx val="-927659712"/>
        <c:crosses val="autoZero"/>
        <c:auto val="1"/>
        <c:lblAlgn val="ctr"/>
        <c:lblOffset val="100"/>
        <c:noMultiLvlLbl val="0"/>
      </c:catAx>
      <c:valAx>
        <c:axId val="-9276597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pt-BR" sz="700"/>
                  <a:t>Nº de espécies</a:t>
                </a:r>
              </a:p>
            </c:rich>
          </c:tx>
          <c:layout>
            <c:manualLayout>
              <c:xMode val="edge"/>
              <c:yMode val="edge"/>
              <c:x val="2.8503562945368172E-2"/>
              <c:y val="0.13903936439147807"/>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pt-BR"/>
          </a:p>
        </c:txPr>
        <c:crossAx val="-92765753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pt-BR"/>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Fitoplâncton - AT 103 -org/mL</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Pt>
            <c:idx val="0"/>
            <c:invertIfNegative val="0"/>
            <c:bubble3D val="0"/>
            <c:spPr>
              <a:solidFill>
                <a:srgbClr val="00B0F0"/>
              </a:solidFill>
              <a:ln>
                <a:noFill/>
              </a:ln>
              <a:effectLst/>
              <a:sp3d/>
            </c:spPr>
          </c:dPt>
          <c:dPt>
            <c:idx val="1"/>
            <c:invertIfNegative val="0"/>
            <c:bubble3D val="0"/>
            <c:spPr>
              <a:solidFill>
                <a:schemeClr val="accent4">
                  <a:lumMod val="40000"/>
                  <a:lumOff val="60000"/>
                </a:schemeClr>
              </a:solidFill>
              <a:ln>
                <a:noFill/>
              </a:ln>
              <a:effectLst/>
              <a:sp3d/>
            </c:spPr>
          </c:dPt>
          <c:dPt>
            <c:idx val="2"/>
            <c:invertIfNegative val="0"/>
            <c:bubble3D val="0"/>
            <c:spPr>
              <a:solidFill>
                <a:srgbClr val="92D050"/>
              </a:solidFill>
              <a:ln>
                <a:noFill/>
              </a:ln>
              <a:effectLst/>
              <a:sp3d/>
            </c:spPr>
          </c:dPt>
          <c:dPt>
            <c:idx val="3"/>
            <c:invertIfNegative val="0"/>
            <c:bubble3D val="0"/>
            <c:spPr>
              <a:solidFill>
                <a:srgbClr val="FFCC00"/>
              </a:solidFill>
              <a:ln>
                <a:noFill/>
              </a:ln>
              <a:effectLst/>
              <a:sp3d/>
            </c:spPr>
          </c:dPt>
          <c:dPt>
            <c:idx val="4"/>
            <c:invertIfNegative val="0"/>
            <c:bubble3D val="0"/>
            <c:spPr>
              <a:solidFill>
                <a:schemeClr val="accent2"/>
              </a:solidFill>
              <a:ln>
                <a:noFill/>
              </a:ln>
              <a:effectLst/>
              <a:sp3d/>
            </c:spPr>
          </c:dPt>
          <c:dPt>
            <c:idx val="5"/>
            <c:invertIfNegative val="0"/>
            <c:bubble3D val="0"/>
            <c:spPr>
              <a:solidFill>
                <a:schemeClr val="accent6">
                  <a:lumMod val="40000"/>
                  <a:lumOff val="60000"/>
                </a:schemeClr>
              </a:solidFill>
              <a:ln>
                <a:noFill/>
              </a:ln>
              <a:effectLst/>
              <a:sp3d/>
            </c:spPr>
          </c:dPt>
          <c:dPt>
            <c:idx val="6"/>
            <c:invertIfNegative val="0"/>
            <c:bubble3D val="0"/>
            <c:spPr>
              <a:solidFill>
                <a:srgbClr val="00B050"/>
              </a:solidFill>
              <a:ln>
                <a:noFill/>
              </a:ln>
              <a:effectLst/>
              <a:sp3d/>
            </c:spPr>
          </c:dPt>
          <c:cat>
            <c:strRef>
              <c:f>'Fito Atibainha'!$H$4:$H$10</c:f>
              <c:strCache>
                <c:ptCount val="7"/>
                <c:pt idx="0">
                  <c:v>CYANOBACTERIA</c:v>
                </c:pt>
                <c:pt idx="1">
                  <c:v>BACILLARIOPHYCEAE (= diatomáceas)</c:v>
                </c:pt>
                <c:pt idx="2">
                  <c:v>CHLOROPHYCEAE</c:v>
                </c:pt>
                <c:pt idx="3">
                  <c:v>CHRYSOPHYCEAE</c:v>
                </c:pt>
                <c:pt idx="4">
                  <c:v>DINOPHYCEAE</c:v>
                </c:pt>
                <c:pt idx="5">
                  <c:v>EUGLENOPHYCEAE</c:v>
                </c:pt>
                <c:pt idx="6">
                  <c:v>ZYGNEMAPHYCEAE</c:v>
                </c:pt>
              </c:strCache>
            </c:strRef>
          </c:cat>
          <c:val>
            <c:numRef>
              <c:f>'Fito Atibainha'!$K$51:$K$57</c:f>
              <c:numCache>
                <c:formatCode>General</c:formatCode>
                <c:ptCount val="7"/>
                <c:pt idx="0">
                  <c:v>32</c:v>
                </c:pt>
                <c:pt idx="1">
                  <c:v>21</c:v>
                </c:pt>
                <c:pt idx="2">
                  <c:v>202</c:v>
                </c:pt>
                <c:pt idx="3">
                  <c:v>149</c:v>
                </c:pt>
                <c:pt idx="4">
                  <c:v>96</c:v>
                </c:pt>
                <c:pt idx="5">
                  <c:v>32</c:v>
                </c:pt>
                <c:pt idx="6">
                  <c:v>21</c:v>
                </c:pt>
              </c:numCache>
            </c:numRef>
          </c:val>
        </c:ser>
        <c:dLbls>
          <c:showLegendKey val="0"/>
          <c:showVal val="0"/>
          <c:showCatName val="0"/>
          <c:showSerName val="0"/>
          <c:showPercent val="0"/>
          <c:showBubbleSize val="0"/>
        </c:dLbls>
        <c:gapWidth val="150"/>
        <c:shape val="box"/>
        <c:axId val="-815961120"/>
        <c:axId val="-815963840"/>
        <c:axId val="0"/>
      </c:bar3DChart>
      <c:catAx>
        <c:axId val="-81596112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815963840"/>
        <c:crosses val="autoZero"/>
        <c:auto val="1"/>
        <c:lblAlgn val="ctr"/>
        <c:lblOffset val="100"/>
        <c:noMultiLvlLbl val="0"/>
      </c:catAx>
      <c:valAx>
        <c:axId val="-815963840"/>
        <c:scaling>
          <c:orientation val="minMax"/>
          <c:max val="3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8159611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Fitoplâncton - AT 102 A - org/mL</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Pt>
            <c:idx val="0"/>
            <c:invertIfNegative val="0"/>
            <c:bubble3D val="0"/>
            <c:spPr>
              <a:solidFill>
                <a:srgbClr val="00B0F0"/>
              </a:solidFill>
              <a:ln>
                <a:noFill/>
              </a:ln>
              <a:effectLst/>
              <a:sp3d/>
            </c:spPr>
          </c:dPt>
          <c:dPt>
            <c:idx val="1"/>
            <c:invertIfNegative val="0"/>
            <c:bubble3D val="0"/>
            <c:spPr>
              <a:solidFill>
                <a:schemeClr val="accent4">
                  <a:lumMod val="40000"/>
                  <a:lumOff val="60000"/>
                </a:schemeClr>
              </a:solidFill>
              <a:ln>
                <a:noFill/>
              </a:ln>
              <a:effectLst/>
              <a:sp3d/>
            </c:spPr>
          </c:dPt>
          <c:dPt>
            <c:idx val="2"/>
            <c:invertIfNegative val="0"/>
            <c:bubble3D val="0"/>
            <c:spPr>
              <a:solidFill>
                <a:srgbClr val="92D050"/>
              </a:solidFill>
              <a:ln>
                <a:noFill/>
              </a:ln>
              <a:effectLst/>
              <a:sp3d/>
            </c:spPr>
          </c:dPt>
          <c:dPt>
            <c:idx val="3"/>
            <c:invertIfNegative val="0"/>
            <c:bubble3D val="0"/>
            <c:spPr>
              <a:solidFill>
                <a:srgbClr val="FFCC00"/>
              </a:solidFill>
              <a:ln>
                <a:noFill/>
              </a:ln>
              <a:effectLst/>
              <a:sp3d/>
            </c:spPr>
          </c:dPt>
          <c:dPt>
            <c:idx val="4"/>
            <c:invertIfNegative val="0"/>
            <c:bubble3D val="0"/>
            <c:spPr>
              <a:solidFill>
                <a:schemeClr val="accent2"/>
              </a:solidFill>
              <a:ln>
                <a:noFill/>
              </a:ln>
              <a:effectLst/>
              <a:sp3d/>
            </c:spPr>
          </c:dPt>
          <c:dPt>
            <c:idx val="5"/>
            <c:invertIfNegative val="0"/>
            <c:bubble3D val="0"/>
            <c:spPr>
              <a:solidFill>
                <a:schemeClr val="accent6">
                  <a:lumMod val="40000"/>
                  <a:lumOff val="60000"/>
                </a:schemeClr>
              </a:solidFill>
              <a:ln>
                <a:noFill/>
              </a:ln>
              <a:effectLst/>
              <a:sp3d/>
            </c:spPr>
          </c:dPt>
          <c:dPt>
            <c:idx val="6"/>
            <c:invertIfNegative val="0"/>
            <c:bubble3D val="0"/>
            <c:spPr>
              <a:solidFill>
                <a:srgbClr val="00B050"/>
              </a:solidFill>
              <a:ln>
                <a:noFill/>
              </a:ln>
              <a:effectLst/>
              <a:sp3d/>
            </c:spPr>
          </c:dPt>
          <c:cat>
            <c:strRef>
              <c:f>'Fito Atibainha'!$H$4:$H$10</c:f>
              <c:strCache>
                <c:ptCount val="7"/>
                <c:pt idx="0">
                  <c:v>CYANOBACTERIA</c:v>
                </c:pt>
                <c:pt idx="1">
                  <c:v>BACILLARIOPHYCEAE (= diatomáceas)</c:v>
                </c:pt>
                <c:pt idx="2">
                  <c:v>CHLOROPHYCEAE</c:v>
                </c:pt>
                <c:pt idx="3">
                  <c:v>CHRYSOPHYCEAE</c:v>
                </c:pt>
                <c:pt idx="4">
                  <c:v>DINOPHYCEAE</c:v>
                </c:pt>
                <c:pt idx="5">
                  <c:v>EUGLENOPHYCEAE</c:v>
                </c:pt>
                <c:pt idx="6">
                  <c:v>ZYGNEMAPHYCEAE</c:v>
                </c:pt>
              </c:strCache>
            </c:strRef>
          </c:cat>
          <c:val>
            <c:numRef>
              <c:f>'Fito Atibainha'!$K$4:$K$10</c:f>
              <c:numCache>
                <c:formatCode>General</c:formatCode>
                <c:ptCount val="7"/>
                <c:pt idx="0">
                  <c:v>21</c:v>
                </c:pt>
                <c:pt idx="1">
                  <c:v>11</c:v>
                </c:pt>
                <c:pt idx="2">
                  <c:v>171</c:v>
                </c:pt>
                <c:pt idx="3">
                  <c:v>148</c:v>
                </c:pt>
                <c:pt idx="4">
                  <c:v>266</c:v>
                </c:pt>
                <c:pt idx="5">
                  <c:v>32</c:v>
                </c:pt>
                <c:pt idx="6">
                  <c:v>64</c:v>
                </c:pt>
              </c:numCache>
            </c:numRef>
          </c:val>
        </c:ser>
        <c:dLbls>
          <c:showLegendKey val="0"/>
          <c:showVal val="0"/>
          <c:showCatName val="0"/>
          <c:showSerName val="0"/>
          <c:showPercent val="0"/>
          <c:showBubbleSize val="0"/>
        </c:dLbls>
        <c:gapWidth val="150"/>
        <c:shape val="box"/>
        <c:axId val="-817874656"/>
        <c:axId val="-564941808"/>
        <c:axId val="0"/>
      </c:bar3DChart>
      <c:catAx>
        <c:axId val="-81787465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564941808"/>
        <c:crosses val="autoZero"/>
        <c:auto val="1"/>
        <c:lblAlgn val="ctr"/>
        <c:lblOffset val="100"/>
        <c:noMultiLvlLbl val="0"/>
      </c:catAx>
      <c:valAx>
        <c:axId val="-5649418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8178746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Fitoplâncton - AT 301 - org/mL</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rgbClr val="0070C0"/>
            </a:solidFill>
            <a:ln>
              <a:noFill/>
            </a:ln>
            <a:effectLst/>
            <a:sp3d/>
          </c:spPr>
          <c:invertIfNegative val="0"/>
          <c:dPt>
            <c:idx val="1"/>
            <c:invertIfNegative val="0"/>
            <c:bubble3D val="0"/>
            <c:spPr>
              <a:solidFill>
                <a:schemeClr val="accent4">
                  <a:lumMod val="40000"/>
                  <a:lumOff val="60000"/>
                </a:schemeClr>
              </a:solidFill>
              <a:ln>
                <a:noFill/>
              </a:ln>
              <a:effectLst/>
              <a:sp3d/>
            </c:spPr>
          </c:dPt>
          <c:dPt>
            <c:idx val="2"/>
            <c:invertIfNegative val="0"/>
            <c:bubble3D val="0"/>
            <c:spPr>
              <a:solidFill>
                <a:srgbClr val="92D050"/>
              </a:solidFill>
              <a:ln>
                <a:noFill/>
              </a:ln>
              <a:effectLst/>
              <a:sp3d/>
            </c:spPr>
          </c:dPt>
          <c:dPt>
            <c:idx val="3"/>
            <c:invertIfNegative val="0"/>
            <c:bubble3D val="0"/>
            <c:spPr>
              <a:solidFill>
                <a:srgbClr val="FFCC00"/>
              </a:solidFill>
              <a:ln>
                <a:noFill/>
              </a:ln>
              <a:effectLst/>
              <a:sp3d/>
            </c:spPr>
          </c:dPt>
          <c:dPt>
            <c:idx val="4"/>
            <c:invertIfNegative val="0"/>
            <c:bubble3D val="0"/>
            <c:spPr>
              <a:solidFill>
                <a:schemeClr val="accent2">
                  <a:lumMod val="75000"/>
                </a:schemeClr>
              </a:solidFill>
              <a:ln>
                <a:noFill/>
              </a:ln>
              <a:effectLst/>
              <a:sp3d/>
            </c:spPr>
          </c:dPt>
          <c:dPt>
            <c:idx val="5"/>
            <c:invertIfNegative val="0"/>
            <c:bubble3D val="0"/>
            <c:spPr>
              <a:solidFill>
                <a:schemeClr val="accent6">
                  <a:lumMod val="20000"/>
                  <a:lumOff val="80000"/>
                </a:schemeClr>
              </a:solidFill>
              <a:ln>
                <a:noFill/>
              </a:ln>
              <a:effectLst/>
              <a:sp3d/>
            </c:spPr>
          </c:dPt>
          <c:dPt>
            <c:idx val="6"/>
            <c:invertIfNegative val="0"/>
            <c:bubble3D val="0"/>
            <c:spPr>
              <a:solidFill>
                <a:srgbClr val="00B050"/>
              </a:solidFill>
              <a:ln>
                <a:noFill/>
              </a:ln>
              <a:effectLst/>
              <a:sp3d/>
            </c:spPr>
          </c:dPt>
          <c:cat>
            <c:strRef>
              <c:f>'Fito Atibainha'!$H$4:$H$10</c:f>
              <c:strCache>
                <c:ptCount val="7"/>
                <c:pt idx="0">
                  <c:v>CYANOBACTERIA</c:v>
                </c:pt>
                <c:pt idx="1">
                  <c:v>BACILLARIOPHYCEAE (= diatomáceas)</c:v>
                </c:pt>
                <c:pt idx="2">
                  <c:v>CHLOROPHYCEAE</c:v>
                </c:pt>
                <c:pt idx="3">
                  <c:v>CHRYSOPHYCEAE</c:v>
                </c:pt>
                <c:pt idx="4">
                  <c:v>DINOPHYCEAE</c:v>
                </c:pt>
                <c:pt idx="5">
                  <c:v>EUGLENOPHYCEAE</c:v>
                </c:pt>
                <c:pt idx="6">
                  <c:v>ZYGNEMAPHYCEAE</c:v>
                </c:pt>
              </c:strCache>
            </c:strRef>
          </c:cat>
          <c:val>
            <c:numRef>
              <c:f>'Fito Atibainha'!$K$100:$K$106</c:f>
              <c:numCache>
                <c:formatCode>General</c:formatCode>
                <c:ptCount val="7"/>
                <c:pt idx="0">
                  <c:v>0</c:v>
                </c:pt>
                <c:pt idx="1">
                  <c:v>74</c:v>
                </c:pt>
                <c:pt idx="2">
                  <c:v>42</c:v>
                </c:pt>
                <c:pt idx="3">
                  <c:v>127</c:v>
                </c:pt>
                <c:pt idx="4">
                  <c:v>32</c:v>
                </c:pt>
                <c:pt idx="5">
                  <c:v>64</c:v>
                </c:pt>
                <c:pt idx="6">
                  <c:v>11</c:v>
                </c:pt>
              </c:numCache>
            </c:numRef>
          </c:val>
        </c:ser>
        <c:dLbls>
          <c:showLegendKey val="0"/>
          <c:showVal val="0"/>
          <c:showCatName val="0"/>
          <c:showSerName val="0"/>
          <c:showPercent val="0"/>
          <c:showBubbleSize val="0"/>
        </c:dLbls>
        <c:gapWidth val="150"/>
        <c:shape val="box"/>
        <c:axId val="-564938000"/>
        <c:axId val="-564942896"/>
        <c:axId val="0"/>
      </c:bar3DChart>
      <c:catAx>
        <c:axId val="-56493800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564942896"/>
        <c:crosses val="autoZero"/>
        <c:auto val="1"/>
        <c:lblAlgn val="ctr"/>
        <c:lblOffset val="100"/>
        <c:noMultiLvlLbl val="0"/>
      </c:catAx>
      <c:valAx>
        <c:axId val="-564942896"/>
        <c:scaling>
          <c:orientation val="minMax"/>
          <c:max val="3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5649380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Zooplâncton - AT102A - % de táxons </a:t>
            </a: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dPt>
          <c:dPt>
            <c:idx val="1"/>
            <c:bubble3D val="0"/>
            <c:spPr>
              <a:solidFill>
                <a:srgbClr val="C00000"/>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cat>
            <c:strRef>
              <c:f>'Zoo Atibainha'!$H$4:$H$7</c:f>
              <c:strCache>
                <c:ptCount val="4"/>
                <c:pt idx="0">
                  <c:v>ROTIFERA</c:v>
                </c:pt>
                <c:pt idx="1">
                  <c:v>CLADOCERA</c:v>
                </c:pt>
                <c:pt idx="2">
                  <c:v>COPEPODA CYCLOPOIDA</c:v>
                </c:pt>
                <c:pt idx="3">
                  <c:v>COPEPODA CALANOIDA</c:v>
                </c:pt>
              </c:strCache>
            </c:strRef>
          </c:cat>
          <c:val>
            <c:numRef>
              <c:f>'Zoo Atibainha'!$J$4:$J$7</c:f>
              <c:numCache>
                <c:formatCode>General</c:formatCode>
                <c:ptCount val="4"/>
                <c:pt idx="0">
                  <c:v>66.7</c:v>
                </c:pt>
                <c:pt idx="1">
                  <c:v>22.2</c:v>
                </c:pt>
                <c:pt idx="2">
                  <c:v>11.1</c:v>
                </c:pt>
                <c:pt idx="3">
                  <c:v>0</c:v>
                </c:pt>
              </c:numCache>
            </c:numRef>
          </c:val>
        </c:ser>
        <c:dLbls>
          <c:showLegendKey val="0"/>
          <c:showVal val="0"/>
          <c:showCatName val="0"/>
          <c:showSerName val="0"/>
          <c:showPercent val="0"/>
          <c:showBubbleSize val="0"/>
          <c:showLeaderLines val="0"/>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Zooplâncton - AT103 - % de táxons </a:t>
            </a: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dPt>
          <c:dPt>
            <c:idx val="1"/>
            <c:bubble3D val="0"/>
            <c:spPr>
              <a:solidFill>
                <a:srgbClr val="C00000"/>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cat>
            <c:strRef>
              <c:f>'Zoo Atibainha'!$H$4:$H$7</c:f>
              <c:strCache>
                <c:ptCount val="4"/>
                <c:pt idx="0">
                  <c:v>ROTIFERA</c:v>
                </c:pt>
                <c:pt idx="1">
                  <c:v>CLADOCERA</c:v>
                </c:pt>
                <c:pt idx="2">
                  <c:v>COPEPODA CYCLOPOIDA</c:v>
                </c:pt>
                <c:pt idx="3">
                  <c:v>COPEPODA CALANOIDA</c:v>
                </c:pt>
              </c:strCache>
            </c:strRef>
          </c:cat>
          <c:val>
            <c:numRef>
              <c:f>'Zoo Atibainha'!$J$46:$J$49</c:f>
              <c:numCache>
                <c:formatCode>General</c:formatCode>
                <c:ptCount val="4"/>
                <c:pt idx="0">
                  <c:v>46.2</c:v>
                </c:pt>
                <c:pt idx="1">
                  <c:v>38.5</c:v>
                </c:pt>
                <c:pt idx="2">
                  <c:v>7.7</c:v>
                </c:pt>
                <c:pt idx="3">
                  <c:v>7.7</c:v>
                </c:pt>
              </c:numCache>
            </c:numRef>
          </c:val>
        </c:ser>
        <c:dLbls>
          <c:showLegendKey val="0"/>
          <c:showVal val="0"/>
          <c:showCatName val="0"/>
          <c:showSerName val="0"/>
          <c:showPercent val="0"/>
          <c:showBubbleSize val="0"/>
          <c:showLeaderLines val="0"/>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Zooplâncton - AT301 - % de táxons </a:t>
            </a: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dPt>
          <c:dPt>
            <c:idx val="1"/>
            <c:bubble3D val="0"/>
            <c:spPr>
              <a:solidFill>
                <a:srgbClr val="C00000"/>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cat>
            <c:strRef>
              <c:f>'Zoo Atibainha'!$H$4:$H$7</c:f>
              <c:strCache>
                <c:ptCount val="4"/>
                <c:pt idx="0">
                  <c:v>ROTIFERA</c:v>
                </c:pt>
                <c:pt idx="1">
                  <c:v>CLADOCERA</c:v>
                </c:pt>
                <c:pt idx="2">
                  <c:v>COPEPODA CYCLOPOIDA</c:v>
                </c:pt>
                <c:pt idx="3">
                  <c:v>COPEPODA CALANOIDA</c:v>
                </c:pt>
              </c:strCache>
            </c:strRef>
          </c:cat>
          <c:val>
            <c:numRef>
              <c:f>'Zoo Atibainha'!$J$82:$J$85</c:f>
              <c:numCache>
                <c:formatCode>General</c:formatCode>
                <c:ptCount val="4"/>
                <c:pt idx="0">
                  <c:v>66.7</c:v>
                </c:pt>
                <c:pt idx="1">
                  <c:v>16.7</c:v>
                </c:pt>
                <c:pt idx="2">
                  <c:v>16.7</c:v>
                </c:pt>
                <c:pt idx="3">
                  <c:v>0</c:v>
                </c:pt>
              </c:numCache>
            </c:numRef>
          </c:val>
        </c:ser>
        <c:dLbls>
          <c:showLegendKey val="0"/>
          <c:showVal val="0"/>
          <c:showCatName val="0"/>
          <c:showSerName val="0"/>
          <c:showPercent val="0"/>
          <c:showBubbleSize val="0"/>
          <c:showLeaderLines val="0"/>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Zooplâncton - AT103 - densidade(org/mL)</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Pt>
            <c:idx val="1"/>
            <c:invertIfNegative val="0"/>
            <c:bubble3D val="0"/>
            <c:spPr>
              <a:solidFill>
                <a:srgbClr val="C00000"/>
              </a:solidFill>
              <a:ln>
                <a:noFill/>
              </a:ln>
              <a:effectLst/>
              <a:sp3d/>
            </c:spPr>
          </c:dPt>
          <c:dPt>
            <c:idx val="2"/>
            <c:invertIfNegative val="0"/>
            <c:bubble3D val="0"/>
            <c:spPr>
              <a:solidFill>
                <a:schemeClr val="bg1">
                  <a:lumMod val="65000"/>
                </a:schemeClr>
              </a:solidFill>
              <a:ln>
                <a:noFill/>
              </a:ln>
              <a:effectLst/>
              <a:sp3d/>
            </c:spPr>
          </c:dPt>
          <c:dPt>
            <c:idx val="3"/>
            <c:invertIfNegative val="0"/>
            <c:bubble3D val="0"/>
            <c:spPr>
              <a:solidFill>
                <a:srgbClr val="FFC000"/>
              </a:solidFill>
              <a:ln>
                <a:noFill/>
              </a:ln>
              <a:effectLst/>
              <a:sp3d/>
            </c:spPr>
          </c:dPt>
          <c:cat>
            <c:strRef>
              <c:f>'Zoo Atibainha'!$H$4:$H$7</c:f>
              <c:strCache>
                <c:ptCount val="4"/>
                <c:pt idx="0">
                  <c:v>ROTIFERA</c:v>
                </c:pt>
                <c:pt idx="1">
                  <c:v>CLADOCERA</c:v>
                </c:pt>
                <c:pt idx="2">
                  <c:v>COPEPODA CYCLOPOIDA</c:v>
                </c:pt>
                <c:pt idx="3">
                  <c:v>COPEPODA CALANOIDA</c:v>
                </c:pt>
              </c:strCache>
            </c:strRef>
          </c:cat>
          <c:val>
            <c:numRef>
              <c:f>'Zoo Atibainha'!$K$46:$K$49</c:f>
              <c:numCache>
                <c:formatCode>#,##0</c:formatCode>
                <c:ptCount val="4"/>
                <c:pt idx="0">
                  <c:v>5387</c:v>
                </c:pt>
                <c:pt idx="1">
                  <c:v>3947</c:v>
                </c:pt>
                <c:pt idx="2">
                  <c:v>7467</c:v>
                </c:pt>
                <c:pt idx="3" formatCode="General">
                  <c:v>480</c:v>
                </c:pt>
              </c:numCache>
            </c:numRef>
          </c:val>
        </c:ser>
        <c:dLbls>
          <c:showLegendKey val="0"/>
          <c:showVal val="0"/>
          <c:showCatName val="0"/>
          <c:showSerName val="0"/>
          <c:showPercent val="0"/>
          <c:showBubbleSize val="0"/>
        </c:dLbls>
        <c:gapWidth val="150"/>
        <c:shape val="box"/>
        <c:axId val="-564943984"/>
        <c:axId val="-820120960"/>
        <c:axId val="0"/>
      </c:bar3DChart>
      <c:catAx>
        <c:axId val="-5649439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820120960"/>
        <c:crosses val="autoZero"/>
        <c:auto val="1"/>
        <c:lblAlgn val="ctr"/>
        <c:lblOffset val="100"/>
        <c:noMultiLvlLbl val="0"/>
      </c:catAx>
      <c:valAx>
        <c:axId val="-820120960"/>
        <c:scaling>
          <c:logBase val="10"/>
          <c:orientation val="minMax"/>
          <c:max val="1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5649439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Zooplâncton - AT102A - densidade(org/mL)</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Pt>
            <c:idx val="1"/>
            <c:invertIfNegative val="0"/>
            <c:bubble3D val="0"/>
            <c:spPr>
              <a:solidFill>
                <a:srgbClr val="C00000"/>
              </a:solidFill>
              <a:ln>
                <a:noFill/>
              </a:ln>
              <a:effectLst/>
              <a:sp3d/>
            </c:spPr>
          </c:dPt>
          <c:dPt>
            <c:idx val="2"/>
            <c:invertIfNegative val="0"/>
            <c:bubble3D val="0"/>
            <c:spPr>
              <a:solidFill>
                <a:schemeClr val="bg1">
                  <a:lumMod val="65000"/>
                </a:schemeClr>
              </a:solidFill>
              <a:ln>
                <a:noFill/>
              </a:ln>
              <a:effectLst/>
              <a:sp3d/>
            </c:spPr>
          </c:dPt>
          <c:dPt>
            <c:idx val="3"/>
            <c:invertIfNegative val="0"/>
            <c:bubble3D val="0"/>
            <c:spPr>
              <a:solidFill>
                <a:srgbClr val="FFC000"/>
              </a:solidFill>
              <a:ln>
                <a:noFill/>
              </a:ln>
              <a:effectLst/>
              <a:sp3d/>
            </c:spPr>
          </c:dPt>
          <c:cat>
            <c:strRef>
              <c:f>'Zoo Atibainha'!$H$4:$H$7</c:f>
              <c:strCache>
                <c:ptCount val="4"/>
                <c:pt idx="0">
                  <c:v>ROTIFERA</c:v>
                </c:pt>
                <c:pt idx="1">
                  <c:v>CLADOCERA</c:v>
                </c:pt>
                <c:pt idx="2">
                  <c:v>COPEPODA CYCLOPOIDA</c:v>
                </c:pt>
                <c:pt idx="3">
                  <c:v>COPEPODA CALANOIDA</c:v>
                </c:pt>
              </c:strCache>
            </c:strRef>
          </c:cat>
          <c:val>
            <c:numRef>
              <c:f>'Zoo Atibainha'!$K$4:$K$7</c:f>
              <c:numCache>
                <c:formatCode>General</c:formatCode>
                <c:ptCount val="4"/>
                <c:pt idx="0" formatCode="#,##0">
                  <c:v>1920</c:v>
                </c:pt>
                <c:pt idx="1">
                  <c:v>107</c:v>
                </c:pt>
                <c:pt idx="2">
                  <c:v>533</c:v>
                </c:pt>
                <c:pt idx="3">
                  <c:v>0</c:v>
                </c:pt>
              </c:numCache>
            </c:numRef>
          </c:val>
        </c:ser>
        <c:dLbls>
          <c:showLegendKey val="0"/>
          <c:showVal val="0"/>
          <c:showCatName val="0"/>
          <c:showSerName val="0"/>
          <c:showPercent val="0"/>
          <c:showBubbleSize val="0"/>
        </c:dLbls>
        <c:gapWidth val="150"/>
        <c:shape val="box"/>
        <c:axId val="-820122048"/>
        <c:axId val="-820125312"/>
        <c:axId val="0"/>
      </c:bar3DChart>
      <c:catAx>
        <c:axId val="-8201220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820125312"/>
        <c:crosses val="autoZero"/>
        <c:auto val="1"/>
        <c:lblAlgn val="ctr"/>
        <c:lblOffset val="100"/>
        <c:noMultiLvlLbl val="0"/>
      </c:catAx>
      <c:valAx>
        <c:axId val="-820125312"/>
        <c:scaling>
          <c:logBase val="10"/>
          <c:orientation val="minMax"/>
          <c:max val="1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8201220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Zooplâncton - AT301 - densidade(org/mL)</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Pt>
            <c:idx val="1"/>
            <c:invertIfNegative val="0"/>
            <c:bubble3D val="0"/>
            <c:spPr>
              <a:solidFill>
                <a:srgbClr val="C00000"/>
              </a:solidFill>
              <a:ln>
                <a:noFill/>
              </a:ln>
              <a:effectLst/>
              <a:sp3d/>
            </c:spPr>
          </c:dPt>
          <c:dPt>
            <c:idx val="2"/>
            <c:invertIfNegative val="0"/>
            <c:bubble3D val="0"/>
            <c:spPr>
              <a:solidFill>
                <a:schemeClr val="bg1">
                  <a:lumMod val="65000"/>
                </a:schemeClr>
              </a:solidFill>
              <a:ln>
                <a:noFill/>
              </a:ln>
              <a:effectLst/>
              <a:sp3d/>
            </c:spPr>
          </c:dPt>
          <c:dPt>
            <c:idx val="3"/>
            <c:invertIfNegative val="0"/>
            <c:bubble3D val="0"/>
            <c:spPr>
              <a:solidFill>
                <a:srgbClr val="FFC000"/>
              </a:solidFill>
              <a:ln>
                <a:noFill/>
              </a:ln>
              <a:effectLst/>
              <a:sp3d/>
            </c:spPr>
          </c:dPt>
          <c:cat>
            <c:strRef>
              <c:f>'Zoo Atibainha'!$H$4:$H$7</c:f>
              <c:strCache>
                <c:ptCount val="4"/>
                <c:pt idx="0">
                  <c:v>ROTIFERA</c:v>
                </c:pt>
                <c:pt idx="1">
                  <c:v>CLADOCERA</c:v>
                </c:pt>
                <c:pt idx="2">
                  <c:v>COPEPODA CYCLOPOIDA</c:v>
                </c:pt>
                <c:pt idx="3">
                  <c:v>COPEPODA CALANOIDA</c:v>
                </c:pt>
              </c:strCache>
            </c:strRef>
          </c:cat>
          <c:val>
            <c:numRef>
              <c:f>'Zoo Atibainha'!$K$82:$K$85</c:f>
              <c:numCache>
                <c:formatCode>General</c:formatCode>
                <c:ptCount val="4"/>
                <c:pt idx="0">
                  <c:v>347</c:v>
                </c:pt>
                <c:pt idx="1">
                  <c:v>0</c:v>
                </c:pt>
                <c:pt idx="2">
                  <c:v>507</c:v>
                </c:pt>
                <c:pt idx="3">
                  <c:v>0</c:v>
                </c:pt>
              </c:numCache>
            </c:numRef>
          </c:val>
        </c:ser>
        <c:dLbls>
          <c:showLegendKey val="0"/>
          <c:showVal val="0"/>
          <c:showCatName val="0"/>
          <c:showSerName val="0"/>
          <c:showPercent val="0"/>
          <c:showBubbleSize val="0"/>
        </c:dLbls>
        <c:gapWidth val="150"/>
        <c:shape val="box"/>
        <c:axId val="-820123136"/>
        <c:axId val="-820119872"/>
        <c:axId val="0"/>
      </c:bar3DChart>
      <c:catAx>
        <c:axId val="-82012313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820119872"/>
        <c:crosses val="autoZero"/>
        <c:auto val="1"/>
        <c:lblAlgn val="ctr"/>
        <c:lblOffset val="100"/>
        <c:noMultiLvlLbl val="0"/>
      </c:catAx>
      <c:valAx>
        <c:axId val="-820119872"/>
        <c:scaling>
          <c:logBase val="10"/>
          <c:orientation val="minMax"/>
          <c:max val="100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8201231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Fitoplâncton -IG 101 - % táxons</a:t>
            </a: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4">
                  <a:lumMod val="40000"/>
                  <a:lumOff val="60000"/>
                </a:schemeClr>
              </a:solidFill>
              <a:ln w="25400">
                <a:solidFill>
                  <a:schemeClr val="lt1"/>
                </a:solidFill>
              </a:ln>
              <a:effectLst/>
              <a:sp3d contourW="25400">
                <a:contourClr>
                  <a:schemeClr val="lt1"/>
                </a:contourClr>
              </a:sp3d>
            </c:spPr>
          </c:dPt>
          <c:dPt>
            <c:idx val="2"/>
            <c:bubble3D val="0"/>
            <c:spPr>
              <a:solidFill>
                <a:srgbClr val="92D050"/>
              </a:solidFill>
              <a:ln w="25400">
                <a:solidFill>
                  <a:schemeClr val="lt1"/>
                </a:solidFill>
              </a:ln>
              <a:effectLst/>
              <a:sp3d contourW="25400">
                <a:contourClr>
                  <a:schemeClr val="lt1"/>
                </a:contourClr>
              </a:sp3d>
            </c:spPr>
          </c:dPt>
          <c:dPt>
            <c:idx val="3"/>
            <c:bubble3D val="0"/>
            <c:spPr>
              <a:solidFill>
                <a:srgbClr val="FFC000"/>
              </a:solidFill>
              <a:ln w="25400">
                <a:solidFill>
                  <a:schemeClr val="lt1"/>
                </a:solidFill>
              </a:ln>
              <a:effectLst/>
              <a:sp3d contourW="25400">
                <a:contourClr>
                  <a:schemeClr val="lt1"/>
                </a:contourClr>
              </a:sp3d>
            </c:spPr>
          </c:dPt>
          <c:dPt>
            <c:idx val="4"/>
            <c:bubble3D val="0"/>
            <c:spPr>
              <a:solidFill>
                <a:srgbClr val="C00000"/>
              </a:solidFill>
              <a:ln w="25400">
                <a:solidFill>
                  <a:schemeClr val="lt1"/>
                </a:solidFill>
              </a:ln>
              <a:effectLst/>
              <a:sp3d contourW="25400">
                <a:contourClr>
                  <a:schemeClr val="lt1"/>
                </a:contourClr>
              </a:sp3d>
            </c:spPr>
          </c:dPt>
          <c:dPt>
            <c:idx val="5"/>
            <c:bubble3D val="0"/>
            <c:spPr>
              <a:solidFill>
                <a:schemeClr val="accent6">
                  <a:lumMod val="20000"/>
                  <a:lumOff val="80000"/>
                </a:schemeClr>
              </a:solidFill>
              <a:ln w="25400">
                <a:solidFill>
                  <a:schemeClr val="lt1"/>
                </a:solidFill>
              </a:ln>
              <a:effectLst/>
              <a:sp3d contourW="25400">
                <a:contourClr>
                  <a:schemeClr val="lt1"/>
                </a:contourClr>
              </a:sp3d>
            </c:spPr>
          </c:dPt>
          <c:dPt>
            <c:idx val="6"/>
            <c:bubble3D val="0"/>
            <c:spPr>
              <a:solidFill>
                <a:srgbClr val="00B050"/>
              </a:solidFill>
              <a:ln w="25400">
                <a:solidFill>
                  <a:schemeClr val="lt1"/>
                </a:solidFill>
              </a:ln>
              <a:effectLst/>
              <a:sp3d contourW="25400">
                <a:contourClr>
                  <a:schemeClr val="lt1"/>
                </a:contourClr>
              </a:sp3d>
            </c:spPr>
          </c:dPt>
          <c:cat>
            <c:strRef>
              <c:f>'Fito-Jaguari-CESP'!$H$4:$H$10</c:f>
              <c:strCache>
                <c:ptCount val="7"/>
                <c:pt idx="0">
                  <c:v>CYANOBACTERIA</c:v>
                </c:pt>
                <c:pt idx="1">
                  <c:v>BACILLARIOPHYCEAE (= diatomáceas)</c:v>
                </c:pt>
                <c:pt idx="2">
                  <c:v>CHLOROPHYCEAE</c:v>
                </c:pt>
                <c:pt idx="3">
                  <c:v>CHRYSOPHYCEAE</c:v>
                </c:pt>
                <c:pt idx="4">
                  <c:v>DINOPHYCEAE</c:v>
                </c:pt>
                <c:pt idx="5">
                  <c:v>EUGLENOPHYCEAE</c:v>
                </c:pt>
                <c:pt idx="6">
                  <c:v>ZYGNEMAPHYCEAE</c:v>
                </c:pt>
              </c:strCache>
            </c:strRef>
          </c:cat>
          <c:val>
            <c:numRef>
              <c:f>'Fito-Jaguari-CESP'!$J$4:$J$10</c:f>
              <c:numCache>
                <c:formatCode>General</c:formatCode>
                <c:ptCount val="7"/>
                <c:pt idx="0">
                  <c:v>0</c:v>
                </c:pt>
                <c:pt idx="1">
                  <c:v>0</c:v>
                </c:pt>
                <c:pt idx="2">
                  <c:v>50</c:v>
                </c:pt>
                <c:pt idx="3">
                  <c:v>0</c:v>
                </c:pt>
                <c:pt idx="4">
                  <c:v>25</c:v>
                </c:pt>
                <c:pt idx="5">
                  <c:v>25</c:v>
                </c:pt>
                <c:pt idx="6">
                  <c:v>0</c:v>
                </c:pt>
              </c:numCache>
            </c:numRef>
          </c:val>
        </c:ser>
        <c:ser>
          <c:idx val="1"/>
          <c:order val="1"/>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Pt>
            <c:idx val="6"/>
            <c:bubble3D val="0"/>
            <c:spPr>
              <a:solidFill>
                <a:schemeClr val="accent1">
                  <a:lumMod val="60000"/>
                </a:schemeClr>
              </a:solidFill>
              <a:ln w="25400">
                <a:solidFill>
                  <a:schemeClr val="lt1"/>
                </a:solidFill>
              </a:ln>
              <a:effectLst/>
              <a:sp3d contourW="25400">
                <a:contourClr>
                  <a:schemeClr val="lt1"/>
                </a:contourClr>
              </a:sp3d>
            </c:spPr>
          </c:dPt>
          <c:cat>
            <c:strRef>
              <c:f>'Fito-Jaguari-CESP'!$H$4:$H$10</c:f>
              <c:strCache>
                <c:ptCount val="7"/>
                <c:pt idx="0">
                  <c:v>CYANOBACTERIA</c:v>
                </c:pt>
                <c:pt idx="1">
                  <c:v>BACILLARIOPHYCEAE (= diatomáceas)</c:v>
                </c:pt>
                <c:pt idx="2">
                  <c:v>CHLOROPHYCEAE</c:v>
                </c:pt>
                <c:pt idx="3">
                  <c:v>CHRYSOPHYCEAE</c:v>
                </c:pt>
                <c:pt idx="4">
                  <c:v>DINOPHYCEAE</c:v>
                </c:pt>
                <c:pt idx="5">
                  <c:v>EUGLENOPHYCEAE</c:v>
                </c:pt>
                <c:pt idx="6">
                  <c:v>ZYGNEMAPHYCEAE</c:v>
                </c:pt>
              </c:strCache>
            </c:strRef>
          </c:cat>
          <c:val>
            <c:numRef>
              <c:f>'Fito-Jaguari-CESP'!$J$4:$J$10</c:f>
              <c:numCache>
                <c:formatCode>General</c:formatCode>
                <c:ptCount val="7"/>
                <c:pt idx="0">
                  <c:v>0</c:v>
                </c:pt>
                <c:pt idx="1">
                  <c:v>0</c:v>
                </c:pt>
                <c:pt idx="2">
                  <c:v>50</c:v>
                </c:pt>
                <c:pt idx="3">
                  <c:v>0</c:v>
                </c:pt>
                <c:pt idx="4">
                  <c:v>25</c:v>
                </c:pt>
                <c:pt idx="5">
                  <c:v>25</c:v>
                </c:pt>
                <c:pt idx="6">
                  <c:v>0</c:v>
                </c:pt>
              </c:numCache>
            </c:numRef>
          </c:val>
        </c:ser>
        <c:ser>
          <c:idx val="2"/>
          <c:order val="2"/>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Pt>
            <c:idx val="6"/>
            <c:bubble3D val="0"/>
            <c:spPr>
              <a:solidFill>
                <a:schemeClr val="accent1">
                  <a:lumMod val="60000"/>
                </a:schemeClr>
              </a:solidFill>
              <a:ln w="25400">
                <a:solidFill>
                  <a:schemeClr val="lt1"/>
                </a:solidFill>
              </a:ln>
              <a:effectLst/>
              <a:sp3d contourW="25400">
                <a:contourClr>
                  <a:schemeClr val="lt1"/>
                </a:contourClr>
              </a:sp3d>
            </c:spPr>
          </c:dPt>
          <c:cat>
            <c:strRef>
              <c:f>'Fito-Jaguari-CESP'!$H$4:$H$10</c:f>
              <c:strCache>
                <c:ptCount val="7"/>
                <c:pt idx="0">
                  <c:v>CYANOBACTERIA</c:v>
                </c:pt>
                <c:pt idx="1">
                  <c:v>BACILLARIOPHYCEAE (= diatomáceas)</c:v>
                </c:pt>
                <c:pt idx="2">
                  <c:v>CHLOROPHYCEAE</c:v>
                </c:pt>
                <c:pt idx="3">
                  <c:v>CHRYSOPHYCEAE</c:v>
                </c:pt>
                <c:pt idx="4">
                  <c:v>DINOPHYCEAE</c:v>
                </c:pt>
                <c:pt idx="5">
                  <c:v>EUGLENOPHYCEAE</c:v>
                </c:pt>
                <c:pt idx="6">
                  <c:v>ZYGNEMAPHYCEAE</c:v>
                </c:pt>
              </c:strCache>
            </c:strRef>
          </c:cat>
          <c:val>
            <c:numRef>
              <c:f>'Fito-Jaguari-CESP'!$K$4:$K$10</c:f>
              <c:numCache>
                <c:formatCode>General</c:formatCode>
                <c:ptCount val="7"/>
                <c:pt idx="0">
                  <c:v>0</c:v>
                </c:pt>
                <c:pt idx="1">
                  <c:v>0</c:v>
                </c:pt>
                <c:pt idx="2">
                  <c:v>11</c:v>
                </c:pt>
                <c:pt idx="3">
                  <c:v>0</c:v>
                </c:pt>
                <c:pt idx="4">
                  <c:v>21</c:v>
                </c:pt>
                <c:pt idx="5">
                  <c:v>21</c:v>
                </c:pt>
                <c:pt idx="6">
                  <c:v>0</c:v>
                </c:pt>
              </c:numCache>
            </c:numRef>
          </c:val>
        </c:ser>
        <c:ser>
          <c:idx val="3"/>
          <c:order val="3"/>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Pt>
            <c:idx val="6"/>
            <c:bubble3D val="0"/>
            <c:spPr>
              <a:solidFill>
                <a:schemeClr val="accent1">
                  <a:lumMod val="60000"/>
                </a:schemeClr>
              </a:solidFill>
              <a:ln w="25400">
                <a:solidFill>
                  <a:schemeClr val="lt1"/>
                </a:solidFill>
              </a:ln>
              <a:effectLst/>
              <a:sp3d contourW="25400">
                <a:contourClr>
                  <a:schemeClr val="lt1"/>
                </a:contourClr>
              </a:sp3d>
            </c:spPr>
          </c:dPt>
          <c:cat>
            <c:strRef>
              <c:f>'Fito-Jaguari-CESP'!$H$4:$H$10</c:f>
              <c:strCache>
                <c:ptCount val="7"/>
                <c:pt idx="0">
                  <c:v>CYANOBACTERIA</c:v>
                </c:pt>
                <c:pt idx="1">
                  <c:v>BACILLARIOPHYCEAE (= diatomáceas)</c:v>
                </c:pt>
                <c:pt idx="2">
                  <c:v>CHLOROPHYCEAE</c:v>
                </c:pt>
                <c:pt idx="3">
                  <c:v>CHRYSOPHYCEAE</c:v>
                </c:pt>
                <c:pt idx="4">
                  <c:v>DINOPHYCEAE</c:v>
                </c:pt>
                <c:pt idx="5">
                  <c:v>EUGLENOPHYCEAE</c:v>
                </c:pt>
                <c:pt idx="6">
                  <c:v>ZYGNEMAPHYCEAE</c:v>
                </c:pt>
              </c:strCache>
            </c:strRef>
          </c:cat>
          <c:val>
            <c:numRef>
              <c:f>'Fito-Jaguari-CESP'!$L$4:$L$10</c:f>
              <c:numCache>
                <c:formatCode>General</c:formatCode>
                <c:ptCount val="7"/>
                <c:pt idx="0">
                  <c:v>0</c:v>
                </c:pt>
                <c:pt idx="1">
                  <c:v>0</c:v>
                </c:pt>
                <c:pt idx="2">
                  <c:v>21</c:v>
                </c:pt>
                <c:pt idx="3">
                  <c:v>0</c:v>
                </c:pt>
                <c:pt idx="4">
                  <c:v>40</c:v>
                </c:pt>
                <c:pt idx="5">
                  <c:v>40</c:v>
                </c:pt>
                <c:pt idx="6">
                  <c:v>0</c:v>
                </c:pt>
              </c:numCache>
            </c:numRef>
          </c:val>
        </c:ser>
        <c:dLbls>
          <c:showLegendKey val="0"/>
          <c:showVal val="0"/>
          <c:showCatName val="0"/>
          <c:showSerName val="0"/>
          <c:showPercent val="0"/>
          <c:showBubbleSize val="0"/>
          <c:showLeaderLines val="0"/>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mn-lt"/>
              <a:ea typeface="+mn-ea"/>
              <a:cs typeface="+mn-cs"/>
            </a:defRPr>
          </a:pPr>
          <a:endParaRPr lang="pt-BR"/>
        </a:p>
      </c:txPr>
    </c:title>
    <c:autoTitleDeleted val="0"/>
    <c:plotArea>
      <c:layout/>
      <c:lineChart>
        <c:grouping val="standard"/>
        <c:varyColors val="0"/>
        <c:ser>
          <c:idx val="0"/>
          <c:order val="0"/>
          <c:tx>
            <c:strRef>
              <c:f>Plan4!$B$34</c:f>
              <c:strCache>
                <c:ptCount val="1"/>
                <c:pt idx="0">
                  <c:v>F24</c:v>
                </c:pt>
              </c:strCache>
            </c:strRef>
          </c:tx>
          <c:spPr>
            <a:ln w="6350" cap="rnd">
              <a:solidFill>
                <a:schemeClr val="accent1"/>
              </a:solidFill>
              <a:round/>
            </a:ln>
            <a:effectLst/>
          </c:spPr>
          <c:marker>
            <c:symbol val="circle"/>
            <c:size val="5"/>
            <c:spPr>
              <a:solidFill>
                <a:schemeClr val="accent1"/>
              </a:solidFill>
              <a:ln w="6350">
                <a:solidFill>
                  <a:schemeClr val="accent1"/>
                </a:solidFill>
              </a:ln>
              <a:effectLst/>
            </c:spPr>
          </c:marker>
          <c:cat>
            <c:strRef>
              <c:f>Plan4!$A$35:$A$46</c:f>
              <c:strCache>
                <c:ptCount val="12"/>
                <c:pt idx="0">
                  <c:v>15 min.</c:v>
                </c:pt>
                <c:pt idx="1">
                  <c:v>30 min.</c:v>
                </c:pt>
                <c:pt idx="2">
                  <c:v>45 min.</c:v>
                </c:pt>
                <c:pt idx="3">
                  <c:v>60 min.</c:v>
                </c:pt>
                <c:pt idx="4">
                  <c:v>75 min.</c:v>
                </c:pt>
                <c:pt idx="5">
                  <c:v>90 min.</c:v>
                </c:pt>
                <c:pt idx="6">
                  <c:v>105 min.</c:v>
                </c:pt>
                <c:pt idx="7">
                  <c:v>120 min.</c:v>
                </c:pt>
                <c:pt idx="8">
                  <c:v>135 min.</c:v>
                </c:pt>
                <c:pt idx="9">
                  <c:v>150 min.</c:v>
                </c:pt>
                <c:pt idx="10">
                  <c:v>165 min.</c:v>
                </c:pt>
                <c:pt idx="11">
                  <c:v>180 min.</c:v>
                </c:pt>
              </c:strCache>
            </c:strRef>
          </c:cat>
          <c:val>
            <c:numRef>
              <c:f>Plan4!$B$35:$B$46</c:f>
              <c:numCache>
                <c:formatCode>General</c:formatCode>
                <c:ptCount val="12"/>
                <c:pt idx="0">
                  <c:v>7</c:v>
                </c:pt>
                <c:pt idx="1">
                  <c:v>17</c:v>
                </c:pt>
                <c:pt idx="2">
                  <c:v>28</c:v>
                </c:pt>
                <c:pt idx="3">
                  <c:v>32</c:v>
                </c:pt>
                <c:pt idx="4">
                  <c:v>37</c:v>
                </c:pt>
                <c:pt idx="5">
                  <c:v>40</c:v>
                </c:pt>
                <c:pt idx="6">
                  <c:v>48</c:v>
                </c:pt>
                <c:pt idx="7">
                  <c:v>52</c:v>
                </c:pt>
                <c:pt idx="8">
                  <c:v>55</c:v>
                </c:pt>
                <c:pt idx="9">
                  <c:v>58</c:v>
                </c:pt>
                <c:pt idx="10">
                  <c:v>60</c:v>
                </c:pt>
                <c:pt idx="11">
                  <c:v>61</c:v>
                </c:pt>
              </c:numCache>
            </c:numRef>
          </c:val>
          <c:smooth val="0"/>
        </c:ser>
        <c:dLbls>
          <c:showLegendKey val="0"/>
          <c:showVal val="0"/>
          <c:showCatName val="0"/>
          <c:showSerName val="0"/>
          <c:showPercent val="0"/>
          <c:showBubbleSize val="0"/>
        </c:dLbls>
        <c:marker val="1"/>
        <c:smooth val="0"/>
        <c:axId val="-927653184"/>
        <c:axId val="-927664064"/>
      </c:lineChart>
      <c:catAx>
        <c:axId val="-927653184"/>
        <c:scaling>
          <c:orientation val="minMax"/>
        </c:scaling>
        <c:delete val="0"/>
        <c:axPos val="b"/>
        <c:title>
          <c:tx>
            <c:rich>
              <a:bodyPr rot="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r>
                  <a:rPr lang="pt-BR" sz="700">
                    <a:solidFill>
                      <a:sysClr val="windowText" lastClr="000000"/>
                    </a:solidFill>
                  </a:rPr>
                  <a:t>Tempo de amostragem</a:t>
                </a:r>
              </a:p>
            </c:rich>
          </c:tx>
          <c:layout>
            <c:manualLayout>
              <c:xMode val="edge"/>
              <c:yMode val="edge"/>
              <c:x val="0.64053317360366069"/>
              <c:y val="0.88326750539807819"/>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pt-BR"/>
          </a:p>
        </c:txPr>
        <c:crossAx val="-927664064"/>
        <c:crosses val="autoZero"/>
        <c:auto val="1"/>
        <c:lblAlgn val="ctr"/>
        <c:lblOffset val="100"/>
        <c:noMultiLvlLbl val="0"/>
      </c:catAx>
      <c:valAx>
        <c:axId val="-927664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r>
                  <a:rPr lang="pt-BR" sz="700">
                    <a:solidFill>
                      <a:sysClr val="windowText" lastClr="000000"/>
                    </a:solidFill>
                  </a:rPr>
                  <a:t>Nº de espécies</a:t>
                </a:r>
              </a:p>
            </c:rich>
          </c:tx>
          <c:layout>
            <c:manualLayout>
              <c:xMode val="edge"/>
              <c:yMode val="edge"/>
              <c:x val="2.4073182474723447E-2"/>
              <c:y val="0.15305656510490714"/>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pt-BR"/>
          </a:p>
        </c:txPr>
        <c:crossAx val="-927653184"/>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600"/>
      </a:pPr>
      <a:endParaRPr lang="pt-BR"/>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Fitoplâncton -IG 101A - % táxons</a:t>
            </a: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rgbClr val="0070C0"/>
              </a:solidFill>
              <a:ln w="25400">
                <a:solidFill>
                  <a:schemeClr val="lt1"/>
                </a:solidFill>
              </a:ln>
              <a:effectLst/>
              <a:sp3d contourW="25400">
                <a:contourClr>
                  <a:schemeClr val="lt1"/>
                </a:contourClr>
              </a:sp3d>
            </c:spPr>
          </c:dPt>
          <c:dPt>
            <c:idx val="1"/>
            <c:bubble3D val="0"/>
            <c:spPr>
              <a:solidFill>
                <a:schemeClr val="accent4">
                  <a:lumMod val="40000"/>
                  <a:lumOff val="60000"/>
                </a:schemeClr>
              </a:solidFill>
              <a:ln w="25400">
                <a:solidFill>
                  <a:schemeClr val="lt1"/>
                </a:solidFill>
              </a:ln>
              <a:effectLst/>
              <a:sp3d contourW="25400">
                <a:contourClr>
                  <a:schemeClr val="lt1"/>
                </a:contourClr>
              </a:sp3d>
            </c:spPr>
          </c:dPt>
          <c:dPt>
            <c:idx val="2"/>
            <c:bubble3D val="0"/>
            <c:spPr>
              <a:solidFill>
                <a:srgbClr val="92D050"/>
              </a:solidFill>
              <a:ln w="25400">
                <a:solidFill>
                  <a:schemeClr val="lt1"/>
                </a:solidFill>
              </a:ln>
              <a:effectLst/>
              <a:sp3d contourW="25400">
                <a:contourClr>
                  <a:schemeClr val="lt1"/>
                </a:contourClr>
              </a:sp3d>
            </c:spPr>
          </c:dPt>
          <c:dPt>
            <c:idx val="3"/>
            <c:bubble3D val="0"/>
            <c:spPr>
              <a:solidFill>
                <a:srgbClr val="FFC000"/>
              </a:solidFill>
              <a:ln w="25400">
                <a:solidFill>
                  <a:schemeClr val="lt1"/>
                </a:solidFill>
              </a:ln>
              <a:effectLst/>
              <a:sp3d contourW="25400">
                <a:contourClr>
                  <a:schemeClr val="lt1"/>
                </a:contourClr>
              </a:sp3d>
            </c:spPr>
          </c:dPt>
          <c:dPt>
            <c:idx val="4"/>
            <c:bubble3D val="0"/>
            <c:spPr>
              <a:solidFill>
                <a:schemeClr val="accent2">
                  <a:lumMod val="60000"/>
                  <a:lumOff val="40000"/>
                </a:schemeClr>
              </a:solidFill>
              <a:ln w="25400">
                <a:solidFill>
                  <a:schemeClr val="lt1"/>
                </a:solidFill>
              </a:ln>
              <a:effectLst/>
              <a:sp3d contourW="25400">
                <a:contourClr>
                  <a:schemeClr val="lt1"/>
                </a:contourClr>
              </a:sp3d>
            </c:spPr>
          </c:dPt>
          <c:dPt>
            <c:idx val="5"/>
            <c:bubble3D val="0"/>
            <c:spPr>
              <a:solidFill>
                <a:srgbClr val="C00000"/>
              </a:solidFill>
              <a:ln w="25400">
                <a:solidFill>
                  <a:schemeClr val="lt1"/>
                </a:solidFill>
              </a:ln>
              <a:effectLst/>
              <a:sp3d contourW="25400">
                <a:contourClr>
                  <a:schemeClr val="lt1"/>
                </a:contourClr>
              </a:sp3d>
            </c:spPr>
          </c:dPt>
          <c:dPt>
            <c:idx val="6"/>
            <c:bubble3D val="0"/>
            <c:spPr>
              <a:solidFill>
                <a:schemeClr val="accent6">
                  <a:lumMod val="20000"/>
                  <a:lumOff val="80000"/>
                </a:schemeClr>
              </a:solidFill>
              <a:ln w="25400">
                <a:solidFill>
                  <a:schemeClr val="lt1"/>
                </a:solidFill>
              </a:ln>
              <a:effectLst/>
              <a:sp3d contourW="25400">
                <a:contourClr>
                  <a:schemeClr val="lt1"/>
                </a:contourClr>
              </a:sp3d>
            </c:spPr>
          </c:dPt>
          <c:dPt>
            <c:idx val="7"/>
            <c:bubble3D val="0"/>
            <c:spPr>
              <a:solidFill>
                <a:srgbClr val="00B050"/>
              </a:solidFill>
              <a:ln w="25400">
                <a:solidFill>
                  <a:schemeClr val="lt1"/>
                </a:solidFill>
              </a:ln>
              <a:effectLst/>
              <a:sp3d contourW="25400">
                <a:contourClr>
                  <a:schemeClr val="lt1"/>
                </a:contourClr>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'Fito-Jaguari-CESP'!$J$22:$J$29</c:f>
              <c:numCache>
                <c:formatCode>General</c:formatCode>
                <c:ptCount val="8"/>
                <c:pt idx="0">
                  <c:v>11</c:v>
                </c:pt>
                <c:pt idx="1">
                  <c:v>11</c:v>
                </c:pt>
                <c:pt idx="2">
                  <c:v>22</c:v>
                </c:pt>
                <c:pt idx="3">
                  <c:v>11</c:v>
                </c:pt>
                <c:pt idx="4">
                  <c:v>11</c:v>
                </c:pt>
                <c:pt idx="5">
                  <c:v>22</c:v>
                </c:pt>
                <c:pt idx="6">
                  <c:v>11</c:v>
                </c:pt>
                <c:pt idx="7">
                  <c:v>0</c:v>
                </c:pt>
              </c:numCache>
            </c:numRef>
          </c:val>
        </c:ser>
        <c:ser>
          <c:idx val="1"/>
          <c:order val="1"/>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4">
                  <a:lumMod val="40000"/>
                  <a:lumOff val="60000"/>
                </a:schemeClr>
              </a:solidFill>
              <a:ln w="25400">
                <a:solidFill>
                  <a:schemeClr val="lt1"/>
                </a:solidFill>
              </a:ln>
              <a:effectLst/>
              <a:sp3d contourW="25400">
                <a:contourClr>
                  <a:schemeClr val="lt1"/>
                </a:contourClr>
              </a:sp3d>
            </c:spPr>
          </c:dPt>
          <c:dPt>
            <c:idx val="2"/>
            <c:bubble3D val="0"/>
            <c:spPr>
              <a:solidFill>
                <a:srgbClr val="92D050"/>
              </a:solidFill>
              <a:ln w="25400">
                <a:solidFill>
                  <a:schemeClr val="lt1"/>
                </a:solidFill>
              </a:ln>
              <a:effectLst/>
              <a:sp3d contourW="25400">
                <a:contourClr>
                  <a:schemeClr val="lt1"/>
                </a:contourClr>
              </a:sp3d>
            </c:spPr>
          </c:dPt>
          <c:dPt>
            <c:idx val="3"/>
            <c:bubble3D val="0"/>
            <c:spPr>
              <a:solidFill>
                <a:srgbClr val="FFC000"/>
              </a:solidFill>
              <a:ln w="25400">
                <a:solidFill>
                  <a:schemeClr val="lt1"/>
                </a:solidFill>
              </a:ln>
              <a:effectLst/>
              <a:sp3d contourW="25400">
                <a:contourClr>
                  <a:schemeClr val="lt1"/>
                </a:contourClr>
              </a:sp3d>
            </c:spPr>
          </c:dPt>
          <c:dPt>
            <c:idx val="4"/>
            <c:bubble3D val="0"/>
            <c:spPr>
              <a:solidFill>
                <a:srgbClr val="C00000"/>
              </a:solidFill>
              <a:ln w="25400">
                <a:solidFill>
                  <a:schemeClr val="lt1"/>
                </a:solidFill>
              </a:ln>
              <a:effectLst/>
              <a:sp3d contourW="25400">
                <a:contourClr>
                  <a:schemeClr val="lt1"/>
                </a:contourClr>
              </a:sp3d>
            </c:spPr>
          </c:dPt>
          <c:dPt>
            <c:idx val="5"/>
            <c:bubble3D val="0"/>
            <c:spPr>
              <a:solidFill>
                <a:schemeClr val="accent6">
                  <a:lumMod val="20000"/>
                  <a:lumOff val="80000"/>
                </a:schemeClr>
              </a:solidFill>
              <a:ln w="25400">
                <a:solidFill>
                  <a:schemeClr val="lt1"/>
                </a:solidFill>
              </a:ln>
              <a:effectLst/>
              <a:sp3d contourW="25400">
                <a:contourClr>
                  <a:schemeClr val="lt1"/>
                </a:contourClr>
              </a:sp3d>
            </c:spPr>
          </c:dPt>
          <c:dPt>
            <c:idx val="6"/>
            <c:bubble3D val="0"/>
            <c:spPr>
              <a:solidFill>
                <a:srgbClr val="00B050"/>
              </a:solidFill>
              <a:ln w="25400">
                <a:solidFill>
                  <a:schemeClr val="lt1"/>
                </a:solidFill>
              </a:ln>
              <a:effectLst/>
              <a:sp3d contourW="25400">
                <a:contourClr>
                  <a:schemeClr val="lt1"/>
                </a:contourClr>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'Fito-Jaguari-CESP'!$J$4:$J$10</c:f>
              <c:numCache>
                <c:formatCode>General</c:formatCode>
                <c:ptCount val="7"/>
                <c:pt idx="0">
                  <c:v>0</c:v>
                </c:pt>
                <c:pt idx="1">
                  <c:v>0</c:v>
                </c:pt>
                <c:pt idx="2">
                  <c:v>50</c:v>
                </c:pt>
                <c:pt idx="3">
                  <c:v>0</c:v>
                </c:pt>
                <c:pt idx="4">
                  <c:v>25</c:v>
                </c:pt>
                <c:pt idx="5">
                  <c:v>25</c:v>
                </c:pt>
                <c:pt idx="6">
                  <c:v>0</c:v>
                </c:pt>
              </c:numCache>
            </c:numRef>
          </c:val>
        </c:ser>
        <c:ser>
          <c:idx val="2"/>
          <c:order val="2"/>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Pt>
            <c:idx val="6"/>
            <c:bubble3D val="0"/>
            <c:spPr>
              <a:solidFill>
                <a:schemeClr val="accent1">
                  <a:lumMod val="60000"/>
                </a:schemeClr>
              </a:solidFill>
              <a:ln w="25400">
                <a:solidFill>
                  <a:schemeClr val="lt1"/>
                </a:solidFill>
              </a:ln>
              <a:effectLst/>
              <a:sp3d contourW="25400">
                <a:contourClr>
                  <a:schemeClr val="lt1"/>
                </a:contourClr>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'Fito-Jaguari-CESP'!$K$4:$K$10</c:f>
              <c:numCache>
                <c:formatCode>General</c:formatCode>
                <c:ptCount val="7"/>
                <c:pt idx="0">
                  <c:v>0</c:v>
                </c:pt>
                <c:pt idx="1">
                  <c:v>0</c:v>
                </c:pt>
                <c:pt idx="2">
                  <c:v>11</c:v>
                </c:pt>
                <c:pt idx="3">
                  <c:v>0</c:v>
                </c:pt>
                <c:pt idx="4">
                  <c:v>21</c:v>
                </c:pt>
                <c:pt idx="5">
                  <c:v>21</c:v>
                </c:pt>
                <c:pt idx="6">
                  <c:v>0</c:v>
                </c:pt>
              </c:numCache>
            </c:numRef>
          </c:val>
        </c:ser>
        <c:ser>
          <c:idx val="3"/>
          <c:order val="3"/>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Pt>
            <c:idx val="6"/>
            <c:bubble3D val="0"/>
            <c:spPr>
              <a:solidFill>
                <a:schemeClr val="accent1">
                  <a:lumMod val="60000"/>
                </a:schemeClr>
              </a:solidFill>
              <a:ln w="25400">
                <a:solidFill>
                  <a:schemeClr val="lt1"/>
                </a:solidFill>
              </a:ln>
              <a:effectLst/>
              <a:sp3d contourW="25400">
                <a:contourClr>
                  <a:schemeClr val="lt1"/>
                </a:contourClr>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'Fito-Jaguari-CESP'!$L$4:$L$10</c:f>
              <c:numCache>
                <c:formatCode>General</c:formatCode>
                <c:ptCount val="7"/>
                <c:pt idx="0">
                  <c:v>0</c:v>
                </c:pt>
                <c:pt idx="1">
                  <c:v>0</c:v>
                </c:pt>
                <c:pt idx="2">
                  <c:v>21</c:v>
                </c:pt>
                <c:pt idx="3">
                  <c:v>0</c:v>
                </c:pt>
                <c:pt idx="4">
                  <c:v>40</c:v>
                </c:pt>
                <c:pt idx="5">
                  <c:v>40</c:v>
                </c:pt>
                <c:pt idx="6">
                  <c:v>0</c:v>
                </c:pt>
              </c:numCache>
            </c:numRef>
          </c:val>
        </c:ser>
        <c:dLbls>
          <c:showLegendKey val="0"/>
          <c:showVal val="0"/>
          <c:showCatName val="0"/>
          <c:showSerName val="0"/>
          <c:showPercent val="0"/>
          <c:showBubbleSize val="0"/>
          <c:showLeaderLines val="0"/>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Fitoplâncton -IG 102 - % táxons</a:t>
            </a: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rgbClr val="0070C0"/>
              </a:solidFill>
              <a:ln w="25400">
                <a:solidFill>
                  <a:schemeClr val="lt1"/>
                </a:solidFill>
              </a:ln>
              <a:effectLst/>
              <a:sp3d contourW="25400">
                <a:contourClr>
                  <a:schemeClr val="lt1"/>
                </a:contourClr>
              </a:sp3d>
            </c:spPr>
          </c:dPt>
          <c:dPt>
            <c:idx val="1"/>
            <c:bubble3D val="0"/>
            <c:spPr>
              <a:solidFill>
                <a:schemeClr val="accent4">
                  <a:lumMod val="40000"/>
                  <a:lumOff val="60000"/>
                </a:schemeClr>
              </a:solidFill>
              <a:ln w="25400">
                <a:solidFill>
                  <a:schemeClr val="lt1"/>
                </a:solidFill>
              </a:ln>
              <a:effectLst/>
              <a:sp3d contourW="25400">
                <a:contourClr>
                  <a:schemeClr val="lt1"/>
                </a:contourClr>
              </a:sp3d>
            </c:spPr>
          </c:dPt>
          <c:dPt>
            <c:idx val="2"/>
            <c:bubble3D val="0"/>
            <c:spPr>
              <a:solidFill>
                <a:srgbClr val="92D050"/>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2">
                  <a:lumMod val="60000"/>
                  <a:lumOff val="40000"/>
                </a:schemeClr>
              </a:solidFill>
              <a:ln w="25400">
                <a:solidFill>
                  <a:schemeClr val="lt1"/>
                </a:solidFill>
              </a:ln>
              <a:effectLst/>
              <a:sp3d contourW="25400">
                <a:contourClr>
                  <a:schemeClr val="lt1"/>
                </a:contourClr>
              </a:sp3d>
            </c:spPr>
          </c:dPt>
          <c:dPt>
            <c:idx val="5"/>
            <c:bubble3D val="0"/>
            <c:spPr>
              <a:solidFill>
                <a:srgbClr val="C00000"/>
              </a:solidFill>
              <a:ln w="25400">
                <a:solidFill>
                  <a:schemeClr val="lt1"/>
                </a:solidFill>
              </a:ln>
              <a:effectLst/>
              <a:sp3d contourW="25400">
                <a:contourClr>
                  <a:schemeClr val="lt1"/>
                </a:contourClr>
              </a:sp3d>
            </c:spPr>
          </c:dPt>
          <c:dPt>
            <c:idx val="6"/>
            <c:bubble3D val="0"/>
            <c:spPr>
              <a:solidFill>
                <a:schemeClr val="accent6">
                  <a:lumMod val="20000"/>
                  <a:lumOff val="80000"/>
                </a:schemeClr>
              </a:solidFill>
              <a:ln w="25400">
                <a:solidFill>
                  <a:schemeClr val="lt1"/>
                </a:solidFill>
              </a:ln>
              <a:effectLst/>
              <a:sp3d contourW="25400">
                <a:contourClr>
                  <a:schemeClr val="lt1"/>
                </a:contourClr>
              </a:sp3d>
            </c:spPr>
          </c:dPt>
          <c:dPt>
            <c:idx val="7"/>
            <c:bubble3D val="0"/>
            <c:spPr>
              <a:solidFill>
                <a:srgbClr val="00B050"/>
              </a:solidFill>
              <a:ln w="25400">
                <a:solidFill>
                  <a:schemeClr val="lt1"/>
                </a:solidFill>
              </a:ln>
              <a:effectLst/>
              <a:sp3d contourW="25400">
                <a:contourClr>
                  <a:schemeClr val="lt1"/>
                </a:contourClr>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'Fito-Jaguari-CESP'!$J$57:$J$64</c:f>
              <c:numCache>
                <c:formatCode>General</c:formatCode>
                <c:ptCount val="8"/>
                <c:pt idx="0">
                  <c:v>0</c:v>
                </c:pt>
                <c:pt idx="1">
                  <c:v>0</c:v>
                </c:pt>
                <c:pt idx="2">
                  <c:v>25</c:v>
                </c:pt>
                <c:pt idx="3">
                  <c:v>25</c:v>
                </c:pt>
                <c:pt idx="4">
                  <c:v>25</c:v>
                </c:pt>
                <c:pt idx="5">
                  <c:v>25</c:v>
                </c:pt>
                <c:pt idx="6">
                  <c:v>0</c:v>
                </c:pt>
                <c:pt idx="7">
                  <c:v>0</c:v>
                </c:pt>
              </c:numCache>
            </c:numRef>
          </c:val>
        </c:ser>
        <c:ser>
          <c:idx val="1"/>
          <c:order val="1"/>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4">
                  <a:lumMod val="40000"/>
                  <a:lumOff val="60000"/>
                </a:schemeClr>
              </a:solidFill>
              <a:ln w="25400">
                <a:solidFill>
                  <a:schemeClr val="lt1"/>
                </a:solidFill>
              </a:ln>
              <a:effectLst/>
              <a:sp3d contourW="25400">
                <a:contourClr>
                  <a:schemeClr val="lt1"/>
                </a:contourClr>
              </a:sp3d>
            </c:spPr>
          </c:dPt>
          <c:dPt>
            <c:idx val="2"/>
            <c:bubble3D val="0"/>
            <c:spPr>
              <a:solidFill>
                <a:srgbClr val="92D050"/>
              </a:solidFill>
              <a:ln w="25400">
                <a:solidFill>
                  <a:schemeClr val="lt1"/>
                </a:solidFill>
              </a:ln>
              <a:effectLst/>
              <a:sp3d contourW="25400">
                <a:contourClr>
                  <a:schemeClr val="lt1"/>
                </a:contourClr>
              </a:sp3d>
            </c:spPr>
          </c:dPt>
          <c:dPt>
            <c:idx val="3"/>
            <c:bubble3D val="0"/>
            <c:spPr>
              <a:solidFill>
                <a:srgbClr val="FFC000"/>
              </a:solidFill>
              <a:ln w="25400">
                <a:solidFill>
                  <a:schemeClr val="lt1"/>
                </a:solidFill>
              </a:ln>
              <a:effectLst/>
              <a:sp3d contourW="25400">
                <a:contourClr>
                  <a:schemeClr val="lt1"/>
                </a:contourClr>
              </a:sp3d>
            </c:spPr>
          </c:dPt>
          <c:dPt>
            <c:idx val="4"/>
            <c:bubble3D val="0"/>
            <c:spPr>
              <a:solidFill>
                <a:srgbClr val="C00000"/>
              </a:solidFill>
              <a:ln w="25400">
                <a:solidFill>
                  <a:schemeClr val="lt1"/>
                </a:solidFill>
              </a:ln>
              <a:effectLst/>
              <a:sp3d contourW="25400">
                <a:contourClr>
                  <a:schemeClr val="lt1"/>
                </a:contourClr>
              </a:sp3d>
            </c:spPr>
          </c:dPt>
          <c:dPt>
            <c:idx val="5"/>
            <c:bubble3D val="0"/>
            <c:spPr>
              <a:solidFill>
                <a:schemeClr val="accent6">
                  <a:lumMod val="20000"/>
                  <a:lumOff val="80000"/>
                </a:schemeClr>
              </a:solidFill>
              <a:ln w="25400">
                <a:solidFill>
                  <a:schemeClr val="lt1"/>
                </a:solidFill>
              </a:ln>
              <a:effectLst/>
              <a:sp3d contourW="25400">
                <a:contourClr>
                  <a:schemeClr val="lt1"/>
                </a:contourClr>
              </a:sp3d>
            </c:spPr>
          </c:dPt>
          <c:dPt>
            <c:idx val="6"/>
            <c:bubble3D val="0"/>
            <c:spPr>
              <a:solidFill>
                <a:srgbClr val="00B050"/>
              </a:solidFill>
              <a:ln w="25400">
                <a:solidFill>
                  <a:schemeClr val="lt1"/>
                </a:solidFill>
              </a:ln>
              <a:effectLst/>
              <a:sp3d contourW="25400">
                <a:contourClr>
                  <a:schemeClr val="lt1"/>
                </a:contourClr>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'Fito-Jaguari-CESP'!$J$4:$J$10</c:f>
              <c:numCache>
                <c:formatCode>General</c:formatCode>
                <c:ptCount val="7"/>
                <c:pt idx="0">
                  <c:v>0</c:v>
                </c:pt>
                <c:pt idx="1">
                  <c:v>0</c:v>
                </c:pt>
                <c:pt idx="2">
                  <c:v>50</c:v>
                </c:pt>
                <c:pt idx="3">
                  <c:v>0</c:v>
                </c:pt>
                <c:pt idx="4">
                  <c:v>25</c:v>
                </c:pt>
                <c:pt idx="5">
                  <c:v>25</c:v>
                </c:pt>
                <c:pt idx="6">
                  <c:v>0</c:v>
                </c:pt>
              </c:numCache>
            </c:numRef>
          </c:val>
        </c:ser>
        <c:ser>
          <c:idx val="2"/>
          <c:order val="2"/>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Pt>
            <c:idx val="6"/>
            <c:bubble3D val="0"/>
            <c:spPr>
              <a:solidFill>
                <a:schemeClr val="accent1">
                  <a:lumMod val="60000"/>
                </a:schemeClr>
              </a:solidFill>
              <a:ln w="25400">
                <a:solidFill>
                  <a:schemeClr val="lt1"/>
                </a:solidFill>
              </a:ln>
              <a:effectLst/>
              <a:sp3d contourW="25400">
                <a:contourClr>
                  <a:schemeClr val="lt1"/>
                </a:contourClr>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'Fito-Jaguari-CESP'!$K$4:$K$10</c:f>
              <c:numCache>
                <c:formatCode>General</c:formatCode>
                <c:ptCount val="7"/>
                <c:pt idx="0">
                  <c:v>0</c:v>
                </c:pt>
                <c:pt idx="1">
                  <c:v>0</c:v>
                </c:pt>
                <c:pt idx="2">
                  <c:v>11</c:v>
                </c:pt>
                <c:pt idx="3">
                  <c:v>0</c:v>
                </c:pt>
                <c:pt idx="4">
                  <c:v>21</c:v>
                </c:pt>
                <c:pt idx="5">
                  <c:v>21</c:v>
                </c:pt>
                <c:pt idx="6">
                  <c:v>0</c:v>
                </c:pt>
              </c:numCache>
            </c:numRef>
          </c:val>
        </c:ser>
        <c:ser>
          <c:idx val="3"/>
          <c:order val="3"/>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Pt>
            <c:idx val="6"/>
            <c:bubble3D val="0"/>
            <c:spPr>
              <a:solidFill>
                <a:schemeClr val="accent1">
                  <a:lumMod val="60000"/>
                </a:schemeClr>
              </a:solidFill>
              <a:ln w="25400">
                <a:solidFill>
                  <a:schemeClr val="lt1"/>
                </a:solidFill>
              </a:ln>
              <a:effectLst/>
              <a:sp3d contourW="25400">
                <a:contourClr>
                  <a:schemeClr val="lt1"/>
                </a:contourClr>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'Fito-Jaguari-CESP'!$L$4:$L$10</c:f>
              <c:numCache>
                <c:formatCode>General</c:formatCode>
                <c:ptCount val="7"/>
                <c:pt idx="0">
                  <c:v>0</c:v>
                </c:pt>
                <c:pt idx="1">
                  <c:v>0</c:v>
                </c:pt>
                <c:pt idx="2">
                  <c:v>21</c:v>
                </c:pt>
                <c:pt idx="3">
                  <c:v>0</c:v>
                </c:pt>
                <c:pt idx="4">
                  <c:v>40</c:v>
                </c:pt>
                <c:pt idx="5">
                  <c:v>40</c:v>
                </c:pt>
                <c:pt idx="6">
                  <c:v>0</c:v>
                </c:pt>
              </c:numCache>
            </c:numRef>
          </c:val>
        </c:ser>
        <c:dLbls>
          <c:showLegendKey val="0"/>
          <c:showVal val="0"/>
          <c:showCatName val="0"/>
          <c:showSerName val="0"/>
          <c:showPercent val="0"/>
          <c:showBubbleSize val="0"/>
          <c:showLeaderLines val="0"/>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Fitoplâncton -IG 103 - % táxons</a:t>
            </a: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rgbClr val="0070C0"/>
              </a:solidFill>
              <a:ln w="25400">
                <a:solidFill>
                  <a:schemeClr val="lt1"/>
                </a:solidFill>
              </a:ln>
              <a:effectLst/>
              <a:sp3d contourW="25400">
                <a:contourClr>
                  <a:schemeClr val="lt1"/>
                </a:contourClr>
              </a:sp3d>
            </c:spPr>
          </c:dPt>
          <c:dPt>
            <c:idx val="1"/>
            <c:bubble3D val="0"/>
            <c:spPr>
              <a:solidFill>
                <a:schemeClr val="accent4">
                  <a:lumMod val="40000"/>
                  <a:lumOff val="60000"/>
                </a:schemeClr>
              </a:solidFill>
              <a:ln w="25400">
                <a:solidFill>
                  <a:schemeClr val="lt1"/>
                </a:solidFill>
              </a:ln>
              <a:effectLst/>
              <a:sp3d contourW="25400">
                <a:contourClr>
                  <a:schemeClr val="lt1"/>
                </a:contourClr>
              </a:sp3d>
            </c:spPr>
          </c:dPt>
          <c:dPt>
            <c:idx val="2"/>
            <c:bubble3D val="0"/>
            <c:spPr>
              <a:solidFill>
                <a:srgbClr val="92D050"/>
              </a:solidFill>
              <a:ln w="25400">
                <a:solidFill>
                  <a:schemeClr val="lt1"/>
                </a:solidFill>
              </a:ln>
              <a:effectLst/>
              <a:sp3d contourW="25400">
                <a:contourClr>
                  <a:schemeClr val="lt1"/>
                </a:contourClr>
              </a:sp3d>
            </c:spPr>
          </c:dPt>
          <c:dPt>
            <c:idx val="3"/>
            <c:bubble3D val="0"/>
            <c:spPr>
              <a:solidFill>
                <a:srgbClr val="FFC000"/>
              </a:solidFill>
              <a:ln w="25400">
                <a:solidFill>
                  <a:schemeClr val="lt1"/>
                </a:solidFill>
              </a:ln>
              <a:effectLst/>
              <a:sp3d contourW="25400">
                <a:contourClr>
                  <a:schemeClr val="lt1"/>
                </a:contourClr>
              </a:sp3d>
            </c:spPr>
          </c:dPt>
          <c:dPt>
            <c:idx val="4"/>
            <c:bubble3D val="0"/>
            <c:spPr>
              <a:solidFill>
                <a:schemeClr val="accent2">
                  <a:lumMod val="40000"/>
                  <a:lumOff val="60000"/>
                </a:schemeClr>
              </a:solidFill>
              <a:ln w="25400">
                <a:solidFill>
                  <a:schemeClr val="lt1"/>
                </a:solidFill>
              </a:ln>
              <a:effectLst/>
              <a:sp3d contourW="25400">
                <a:contourClr>
                  <a:schemeClr val="lt1"/>
                </a:contourClr>
              </a:sp3d>
            </c:spPr>
          </c:dPt>
          <c:dPt>
            <c:idx val="5"/>
            <c:bubble3D val="0"/>
            <c:spPr>
              <a:solidFill>
                <a:srgbClr val="C00000"/>
              </a:solidFill>
              <a:ln w="25400">
                <a:solidFill>
                  <a:schemeClr val="lt1"/>
                </a:solidFill>
              </a:ln>
              <a:effectLst/>
              <a:sp3d contourW="25400">
                <a:contourClr>
                  <a:schemeClr val="lt1"/>
                </a:contourClr>
              </a:sp3d>
            </c:spPr>
          </c:dPt>
          <c:dPt>
            <c:idx val="6"/>
            <c:bubble3D val="0"/>
            <c:spPr>
              <a:solidFill>
                <a:schemeClr val="accent6">
                  <a:lumMod val="40000"/>
                  <a:lumOff val="60000"/>
                </a:schemeClr>
              </a:solidFill>
              <a:ln w="25400">
                <a:solidFill>
                  <a:schemeClr val="lt1"/>
                </a:solidFill>
              </a:ln>
              <a:effectLst/>
              <a:sp3d contourW="25400">
                <a:contourClr>
                  <a:schemeClr val="lt1"/>
                </a:contourClr>
              </a:sp3d>
            </c:spPr>
          </c:dPt>
          <c:dPt>
            <c:idx val="7"/>
            <c:bubble3D val="0"/>
            <c:spPr>
              <a:solidFill>
                <a:srgbClr val="00B050"/>
              </a:solidFill>
              <a:ln w="25400">
                <a:solidFill>
                  <a:schemeClr val="lt1"/>
                </a:solidFill>
              </a:ln>
              <a:effectLst/>
              <a:sp3d contourW="25400">
                <a:contourClr>
                  <a:schemeClr val="lt1"/>
                </a:contourClr>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'Fito-Jaguari-CESP'!$J$78:$J$85</c:f>
              <c:numCache>
                <c:formatCode>General</c:formatCode>
                <c:ptCount val="8"/>
                <c:pt idx="0">
                  <c:v>25</c:v>
                </c:pt>
                <c:pt idx="1">
                  <c:v>13</c:v>
                </c:pt>
                <c:pt idx="2">
                  <c:v>13</c:v>
                </c:pt>
                <c:pt idx="3">
                  <c:v>0</c:v>
                </c:pt>
                <c:pt idx="4">
                  <c:v>0</c:v>
                </c:pt>
                <c:pt idx="5">
                  <c:v>25</c:v>
                </c:pt>
                <c:pt idx="6">
                  <c:v>13</c:v>
                </c:pt>
                <c:pt idx="7">
                  <c:v>13</c:v>
                </c:pt>
              </c:numCache>
            </c:numRef>
          </c:val>
        </c:ser>
        <c:ser>
          <c:idx val="1"/>
          <c:order val="1"/>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4">
                  <a:lumMod val="40000"/>
                  <a:lumOff val="60000"/>
                </a:schemeClr>
              </a:solidFill>
              <a:ln w="25400">
                <a:solidFill>
                  <a:schemeClr val="lt1"/>
                </a:solidFill>
              </a:ln>
              <a:effectLst/>
              <a:sp3d contourW="25400">
                <a:contourClr>
                  <a:schemeClr val="lt1"/>
                </a:contourClr>
              </a:sp3d>
            </c:spPr>
          </c:dPt>
          <c:dPt>
            <c:idx val="2"/>
            <c:bubble3D val="0"/>
            <c:spPr>
              <a:solidFill>
                <a:srgbClr val="92D050"/>
              </a:solidFill>
              <a:ln w="25400">
                <a:solidFill>
                  <a:schemeClr val="lt1"/>
                </a:solidFill>
              </a:ln>
              <a:effectLst/>
              <a:sp3d contourW="25400">
                <a:contourClr>
                  <a:schemeClr val="lt1"/>
                </a:contourClr>
              </a:sp3d>
            </c:spPr>
          </c:dPt>
          <c:dPt>
            <c:idx val="3"/>
            <c:bubble3D val="0"/>
            <c:spPr>
              <a:solidFill>
                <a:srgbClr val="FFC000"/>
              </a:solidFill>
              <a:ln w="25400">
                <a:solidFill>
                  <a:schemeClr val="lt1"/>
                </a:solidFill>
              </a:ln>
              <a:effectLst/>
              <a:sp3d contourW="25400">
                <a:contourClr>
                  <a:schemeClr val="lt1"/>
                </a:contourClr>
              </a:sp3d>
            </c:spPr>
          </c:dPt>
          <c:dPt>
            <c:idx val="4"/>
            <c:bubble3D val="0"/>
            <c:spPr>
              <a:solidFill>
                <a:srgbClr val="C00000"/>
              </a:solidFill>
              <a:ln w="25400">
                <a:solidFill>
                  <a:schemeClr val="lt1"/>
                </a:solidFill>
              </a:ln>
              <a:effectLst/>
              <a:sp3d contourW="25400">
                <a:contourClr>
                  <a:schemeClr val="lt1"/>
                </a:contourClr>
              </a:sp3d>
            </c:spPr>
          </c:dPt>
          <c:dPt>
            <c:idx val="5"/>
            <c:bubble3D val="0"/>
            <c:spPr>
              <a:solidFill>
                <a:schemeClr val="accent6">
                  <a:lumMod val="20000"/>
                  <a:lumOff val="80000"/>
                </a:schemeClr>
              </a:solidFill>
              <a:ln w="25400">
                <a:solidFill>
                  <a:schemeClr val="lt1"/>
                </a:solidFill>
              </a:ln>
              <a:effectLst/>
              <a:sp3d contourW="25400">
                <a:contourClr>
                  <a:schemeClr val="lt1"/>
                </a:contourClr>
              </a:sp3d>
            </c:spPr>
          </c:dPt>
          <c:dPt>
            <c:idx val="6"/>
            <c:bubble3D val="0"/>
            <c:spPr>
              <a:solidFill>
                <a:srgbClr val="00B050"/>
              </a:solidFill>
              <a:ln w="25400">
                <a:solidFill>
                  <a:schemeClr val="lt1"/>
                </a:solidFill>
              </a:ln>
              <a:effectLst/>
              <a:sp3d contourW="25400">
                <a:contourClr>
                  <a:schemeClr val="lt1"/>
                </a:contourClr>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'Fito-Jaguari-CESP'!$J$4:$J$10</c:f>
              <c:numCache>
                <c:formatCode>General</c:formatCode>
                <c:ptCount val="7"/>
                <c:pt idx="0">
                  <c:v>0</c:v>
                </c:pt>
                <c:pt idx="1">
                  <c:v>0</c:v>
                </c:pt>
                <c:pt idx="2">
                  <c:v>50</c:v>
                </c:pt>
                <c:pt idx="3">
                  <c:v>0</c:v>
                </c:pt>
                <c:pt idx="4">
                  <c:v>25</c:v>
                </c:pt>
                <c:pt idx="5">
                  <c:v>25</c:v>
                </c:pt>
                <c:pt idx="6">
                  <c:v>0</c:v>
                </c:pt>
              </c:numCache>
            </c:numRef>
          </c:val>
        </c:ser>
        <c:ser>
          <c:idx val="2"/>
          <c:order val="2"/>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Pt>
            <c:idx val="6"/>
            <c:bubble3D val="0"/>
            <c:spPr>
              <a:solidFill>
                <a:schemeClr val="accent1">
                  <a:lumMod val="60000"/>
                </a:schemeClr>
              </a:solidFill>
              <a:ln w="25400">
                <a:solidFill>
                  <a:schemeClr val="lt1"/>
                </a:solidFill>
              </a:ln>
              <a:effectLst/>
              <a:sp3d contourW="25400">
                <a:contourClr>
                  <a:schemeClr val="lt1"/>
                </a:contourClr>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'Fito-Jaguari-CESP'!$K$4:$K$10</c:f>
              <c:numCache>
                <c:formatCode>General</c:formatCode>
                <c:ptCount val="7"/>
                <c:pt idx="0">
                  <c:v>0</c:v>
                </c:pt>
                <c:pt idx="1">
                  <c:v>0</c:v>
                </c:pt>
                <c:pt idx="2">
                  <c:v>11</c:v>
                </c:pt>
                <c:pt idx="3">
                  <c:v>0</c:v>
                </c:pt>
                <c:pt idx="4">
                  <c:v>21</c:v>
                </c:pt>
                <c:pt idx="5">
                  <c:v>21</c:v>
                </c:pt>
                <c:pt idx="6">
                  <c:v>0</c:v>
                </c:pt>
              </c:numCache>
            </c:numRef>
          </c:val>
        </c:ser>
        <c:ser>
          <c:idx val="3"/>
          <c:order val="3"/>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Pt>
            <c:idx val="6"/>
            <c:bubble3D val="0"/>
            <c:spPr>
              <a:solidFill>
                <a:schemeClr val="accent1">
                  <a:lumMod val="60000"/>
                </a:schemeClr>
              </a:solidFill>
              <a:ln w="25400">
                <a:solidFill>
                  <a:schemeClr val="lt1"/>
                </a:solidFill>
              </a:ln>
              <a:effectLst/>
              <a:sp3d contourW="25400">
                <a:contourClr>
                  <a:schemeClr val="lt1"/>
                </a:contourClr>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'Fito-Jaguari-CESP'!$L$4:$L$10</c:f>
              <c:numCache>
                <c:formatCode>General</c:formatCode>
                <c:ptCount val="7"/>
                <c:pt idx="0">
                  <c:v>0</c:v>
                </c:pt>
                <c:pt idx="1">
                  <c:v>0</c:v>
                </c:pt>
                <c:pt idx="2">
                  <c:v>21</c:v>
                </c:pt>
                <c:pt idx="3">
                  <c:v>0</c:v>
                </c:pt>
                <c:pt idx="4">
                  <c:v>40</c:v>
                </c:pt>
                <c:pt idx="5">
                  <c:v>40</c:v>
                </c:pt>
                <c:pt idx="6">
                  <c:v>0</c:v>
                </c:pt>
              </c:numCache>
            </c:numRef>
          </c:val>
        </c:ser>
        <c:dLbls>
          <c:showLegendKey val="0"/>
          <c:showVal val="0"/>
          <c:showCatName val="0"/>
          <c:showSerName val="0"/>
          <c:showPercent val="0"/>
          <c:showBubbleSize val="0"/>
          <c:showLeaderLines val="0"/>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Fitoplâncton -IG 104 - % táxons</a:t>
            </a: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rgbClr val="0070C0"/>
              </a:solidFill>
              <a:ln w="25400">
                <a:solidFill>
                  <a:schemeClr val="lt1"/>
                </a:solidFill>
              </a:ln>
              <a:effectLst/>
              <a:sp3d contourW="25400">
                <a:contourClr>
                  <a:schemeClr val="lt1"/>
                </a:contourClr>
              </a:sp3d>
            </c:spPr>
          </c:dPt>
          <c:dPt>
            <c:idx val="1"/>
            <c:bubble3D val="0"/>
            <c:spPr>
              <a:solidFill>
                <a:schemeClr val="accent4">
                  <a:lumMod val="40000"/>
                  <a:lumOff val="60000"/>
                </a:schemeClr>
              </a:solidFill>
              <a:ln w="25400">
                <a:solidFill>
                  <a:schemeClr val="lt1"/>
                </a:solidFill>
              </a:ln>
              <a:effectLst/>
              <a:sp3d contourW="25400">
                <a:contourClr>
                  <a:schemeClr val="lt1"/>
                </a:contourClr>
              </a:sp3d>
            </c:spPr>
          </c:dPt>
          <c:dPt>
            <c:idx val="2"/>
            <c:bubble3D val="0"/>
            <c:spPr>
              <a:solidFill>
                <a:srgbClr val="92D050"/>
              </a:solidFill>
              <a:ln w="25400">
                <a:solidFill>
                  <a:schemeClr val="lt1"/>
                </a:solidFill>
              </a:ln>
              <a:effectLst/>
              <a:sp3d contourW="25400">
                <a:contourClr>
                  <a:schemeClr val="lt1"/>
                </a:contourClr>
              </a:sp3d>
            </c:spPr>
          </c:dPt>
          <c:dPt>
            <c:idx val="3"/>
            <c:bubble3D val="0"/>
            <c:spPr>
              <a:solidFill>
                <a:srgbClr val="FFC000"/>
              </a:solidFill>
              <a:ln w="25400">
                <a:solidFill>
                  <a:schemeClr val="lt1"/>
                </a:solidFill>
              </a:ln>
              <a:effectLst/>
              <a:sp3d contourW="25400">
                <a:contourClr>
                  <a:schemeClr val="lt1"/>
                </a:contourClr>
              </a:sp3d>
            </c:spPr>
          </c:dPt>
          <c:dPt>
            <c:idx val="4"/>
            <c:bubble3D val="0"/>
            <c:spPr>
              <a:solidFill>
                <a:schemeClr val="accent2">
                  <a:lumMod val="40000"/>
                  <a:lumOff val="60000"/>
                </a:schemeClr>
              </a:solidFill>
              <a:ln w="25400">
                <a:solidFill>
                  <a:schemeClr val="lt1"/>
                </a:solidFill>
              </a:ln>
              <a:effectLst/>
              <a:sp3d contourW="25400">
                <a:contourClr>
                  <a:schemeClr val="lt1"/>
                </a:contourClr>
              </a:sp3d>
            </c:spPr>
          </c:dPt>
          <c:dPt>
            <c:idx val="5"/>
            <c:bubble3D val="0"/>
            <c:spPr>
              <a:solidFill>
                <a:srgbClr val="C00000"/>
              </a:solidFill>
              <a:ln w="25400">
                <a:solidFill>
                  <a:schemeClr val="lt1"/>
                </a:solidFill>
              </a:ln>
              <a:effectLst/>
              <a:sp3d contourW="25400">
                <a:contourClr>
                  <a:schemeClr val="lt1"/>
                </a:contourClr>
              </a:sp3d>
            </c:spPr>
          </c:dPt>
          <c:dPt>
            <c:idx val="6"/>
            <c:bubble3D val="0"/>
            <c:spPr>
              <a:solidFill>
                <a:schemeClr val="accent6">
                  <a:lumMod val="40000"/>
                  <a:lumOff val="60000"/>
                </a:schemeClr>
              </a:solidFill>
              <a:ln w="25400">
                <a:solidFill>
                  <a:schemeClr val="lt1"/>
                </a:solidFill>
              </a:ln>
              <a:effectLst/>
              <a:sp3d contourW="25400">
                <a:contourClr>
                  <a:schemeClr val="lt1"/>
                </a:contourClr>
              </a:sp3d>
            </c:spPr>
          </c:dPt>
          <c:dPt>
            <c:idx val="7"/>
            <c:bubble3D val="0"/>
            <c:spPr>
              <a:solidFill>
                <a:srgbClr val="00B050"/>
              </a:solidFill>
              <a:ln w="25400">
                <a:solidFill>
                  <a:schemeClr val="lt1"/>
                </a:solidFill>
              </a:ln>
              <a:effectLst/>
              <a:sp3d contourW="25400">
                <a:contourClr>
                  <a:schemeClr val="lt1"/>
                </a:contourClr>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'Fito-Jaguari-CESP'!$J$109:$J$116</c:f>
              <c:numCache>
                <c:formatCode>General</c:formatCode>
                <c:ptCount val="8"/>
                <c:pt idx="0">
                  <c:v>20</c:v>
                </c:pt>
                <c:pt idx="1">
                  <c:v>0</c:v>
                </c:pt>
                <c:pt idx="2">
                  <c:v>20</c:v>
                </c:pt>
                <c:pt idx="3">
                  <c:v>0</c:v>
                </c:pt>
                <c:pt idx="4">
                  <c:v>0</c:v>
                </c:pt>
                <c:pt idx="5">
                  <c:v>40</c:v>
                </c:pt>
                <c:pt idx="6">
                  <c:v>20</c:v>
                </c:pt>
                <c:pt idx="7">
                  <c:v>0</c:v>
                </c:pt>
              </c:numCache>
            </c:numRef>
          </c:val>
        </c:ser>
        <c:ser>
          <c:idx val="1"/>
          <c:order val="1"/>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4">
                  <a:lumMod val="40000"/>
                  <a:lumOff val="60000"/>
                </a:schemeClr>
              </a:solidFill>
              <a:ln w="25400">
                <a:solidFill>
                  <a:schemeClr val="lt1"/>
                </a:solidFill>
              </a:ln>
              <a:effectLst/>
              <a:sp3d contourW="25400">
                <a:contourClr>
                  <a:schemeClr val="lt1"/>
                </a:contourClr>
              </a:sp3d>
            </c:spPr>
          </c:dPt>
          <c:dPt>
            <c:idx val="2"/>
            <c:bubble3D val="0"/>
            <c:spPr>
              <a:solidFill>
                <a:srgbClr val="92D050"/>
              </a:solidFill>
              <a:ln w="25400">
                <a:solidFill>
                  <a:schemeClr val="lt1"/>
                </a:solidFill>
              </a:ln>
              <a:effectLst/>
              <a:sp3d contourW="25400">
                <a:contourClr>
                  <a:schemeClr val="lt1"/>
                </a:contourClr>
              </a:sp3d>
            </c:spPr>
          </c:dPt>
          <c:dPt>
            <c:idx val="3"/>
            <c:bubble3D val="0"/>
            <c:spPr>
              <a:solidFill>
                <a:srgbClr val="FFC000"/>
              </a:solidFill>
              <a:ln w="25400">
                <a:solidFill>
                  <a:schemeClr val="lt1"/>
                </a:solidFill>
              </a:ln>
              <a:effectLst/>
              <a:sp3d contourW="25400">
                <a:contourClr>
                  <a:schemeClr val="lt1"/>
                </a:contourClr>
              </a:sp3d>
            </c:spPr>
          </c:dPt>
          <c:dPt>
            <c:idx val="4"/>
            <c:bubble3D val="0"/>
            <c:spPr>
              <a:solidFill>
                <a:srgbClr val="C00000"/>
              </a:solidFill>
              <a:ln w="25400">
                <a:solidFill>
                  <a:schemeClr val="lt1"/>
                </a:solidFill>
              </a:ln>
              <a:effectLst/>
              <a:sp3d contourW="25400">
                <a:contourClr>
                  <a:schemeClr val="lt1"/>
                </a:contourClr>
              </a:sp3d>
            </c:spPr>
          </c:dPt>
          <c:dPt>
            <c:idx val="5"/>
            <c:bubble3D val="0"/>
            <c:spPr>
              <a:solidFill>
                <a:schemeClr val="accent6">
                  <a:lumMod val="20000"/>
                  <a:lumOff val="80000"/>
                </a:schemeClr>
              </a:solidFill>
              <a:ln w="25400">
                <a:solidFill>
                  <a:schemeClr val="lt1"/>
                </a:solidFill>
              </a:ln>
              <a:effectLst/>
              <a:sp3d contourW="25400">
                <a:contourClr>
                  <a:schemeClr val="lt1"/>
                </a:contourClr>
              </a:sp3d>
            </c:spPr>
          </c:dPt>
          <c:dPt>
            <c:idx val="6"/>
            <c:bubble3D val="0"/>
            <c:spPr>
              <a:solidFill>
                <a:srgbClr val="00B050"/>
              </a:solidFill>
              <a:ln w="25400">
                <a:solidFill>
                  <a:schemeClr val="lt1"/>
                </a:solidFill>
              </a:ln>
              <a:effectLst/>
              <a:sp3d contourW="25400">
                <a:contourClr>
                  <a:schemeClr val="lt1"/>
                </a:contourClr>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'Fito-Jaguari-CESP'!$J$4:$J$10</c:f>
              <c:numCache>
                <c:formatCode>General</c:formatCode>
                <c:ptCount val="7"/>
                <c:pt idx="0">
                  <c:v>0</c:v>
                </c:pt>
                <c:pt idx="1">
                  <c:v>0</c:v>
                </c:pt>
                <c:pt idx="2">
                  <c:v>50</c:v>
                </c:pt>
                <c:pt idx="3">
                  <c:v>0</c:v>
                </c:pt>
                <c:pt idx="4">
                  <c:v>25</c:v>
                </c:pt>
                <c:pt idx="5">
                  <c:v>25</c:v>
                </c:pt>
                <c:pt idx="6">
                  <c:v>0</c:v>
                </c:pt>
              </c:numCache>
            </c:numRef>
          </c:val>
        </c:ser>
        <c:ser>
          <c:idx val="2"/>
          <c:order val="2"/>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Pt>
            <c:idx val="6"/>
            <c:bubble3D val="0"/>
            <c:spPr>
              <a:solidFill>
                <a:schemeClr val="accent1">
                  <a:lumMod val="60000"/>
                </a:schemeClr>
              </a:solidFill>
              <a:ln w="25400">
                <a:solidFill>
                  <a:schemeClr val="lt1"/>
                </a:solidFill>
              </a:ln>
              <a:effectLst/>
              <a:sp3d contourW="25400">
                <a:contourClr>
                  <a:schemeClr val="lt1"/>
                </a:contourClr>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'Fito-Jaguari-CESP'!$K$4:$K$10</c:f>
              <c:numCache>
                <c:formatCode>General</c:formatCode>
                <c:ptCount val="7"/>
                <c:pt idx="0">
                  <c:v>0</c:v>
                </c:pt>
                <c:pt idx="1">
                  <c:v>0</c:v>
                </c:pt>
                <c:pt idx="2">
                  <c:v>11</c:v>
                </c:pt>
                <c:pt idx="3">
                  <c:v>0</c:v>
                </c:pt>
                <c:pt idx="4">
                  <c:v>21</c:v>
                </c:pt>
                <c:pt idx="5">
                  <c:v>21</c:v>
                </c:pt>
                <c:pt idx="6">
                  <c:v>0</c:v>
                </c:pt>
              </c:numCache>
            </c:numRef>
          </c:val>
        </c:ser>
        <c:ser>
          <c:idx val="3"/>
          <c:order val="3"/>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Pt>
            <c:idx val="6"/>
            <c:bubble3D val="0"/>
            <c:spPr>
              <a:solidFill>
                <a:schemeClr val="accent1">
                  <a:lumMod val="60000"/>
                </a:schemeClr>
              </a:solidFill>
              <a:ln w="25400">
                <a:solidFill>
                  <a:schemeClr val="lt1"/>
                </a:solidFill>
              </a:ln>
              <a:effectLst/>
              <a:sp3d contourW="25400">
                <a:contourClr>
                  <a:schemeClr val="lt1"/>
                </a:contourClr>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'Fito-Jaguari-CESP'!$L$4:$L$10</c:f>
              <c:numCache>
                <c:formatCode>General</c:formatCode>
                <c:ptCount val="7"/>
                <c:pt idx="0">
                  <c:v>0</c:v>
                </c:pt>
                <c:pt idx="1">
                  <c:v>0</c:v>
                </c:pt>
                <c:pt idx="2">
                  <c:v>21</c:v>
                </c:pt>
                <c:pt idx="3">
                  <c:v>0</c:v>
                </c:pt>
                <c:pt idx="4">
                  <c:v>40</c:v>
                </c:pt>
                <c:pt idx="5">
                  <c:v>40</c:v>
                </c:pt>
                <c:pt idx="6">
                  <c:v>0</c:v>
                </c:pt>
              </c:numCache>
            </c:numRef>
          </c:val>
        </c:ser>
        <c:dLbls>
          <c:showLegendKey val="0"/>
          <c:showVal val="0"/>
          <c:showCatName val="0"/>
          <c:showSerName val="0"/>
          <c:showPercent val="0"/>
          <c:showBubbleSize val="0"/>
          <c:showLeaderLines val="0"/>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Fitoplâncton - IG 102 - org/mL </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Pt>
            <c:idx val="0"/>
            <c:invertIfNegative val="0"/>
            <c:bubble3D val="0"/>
            <c:spPr>
              <a:solidFill>
                <a:srgbClr val="0070C0"/>
              </a:solidFill>
              <a:ln>
                <a:noFill/>
              </a:ln>
              <a:effectLst/>
              <a:sp3d/>
            </c:spPr>
          </c:dPt>
          <c:dPt>
            <c:idx val="1"/>
            <c:invertIfNegative val="0"/>
            <c:bubble3D val="0"/>
            <c:spPr>
              <a:solidFill>
                <a:schemeClr val="accent4">
                  <a:lumMod val="40000"/>
                  <a:lumOff val="60000"/>
                </a:schemeClr>
              </a:solidFill>
              <a:ln>
                <a:noFill/>
              </a:ln>
              <a:effectLst/>
              <a:sp3d/>
            </c:spPr>
          </c:dPt>
          <c:dPt>
            <c:idx val="2"/>
            <c:invertIfNegative val="0"/>
            <c:bubble3D val="0"/>
            <c:spPr>
              <a:solidFill>
                <a:srgbClr val="92D050"/>
              </a:solidFill>
              <a:ln>
                <a:noFill/>
              </a:ln>
              <a:effectLst/>
              <a:sp3d/>
            </c:spPr>
          </c:dPt>
          <c:dPt>
            <c:idx val="3"/>
            <c:invertIfNegative val="0"/>
            <c:bubble3D val="0"/>
            <c:spPr>
              <a:solidFill>
                <a:srgbClr val="FFC000"/>
              </a:solidFill>
              <a:ln>
                <a:noFill/>
              </a:ln>
              <a:effectLst/>
              <a:sp3d/>
            </c:spPr>
          </c:dPt>
          <c:dPt>
            <c:idx val="4"/>
            <c:invertIfNegative val="0"/>
            <c:bubble3D val="0"/>
            <c:spPr>
              <a:solidFill>
                <a:schemeClr val="accent2">
                  <a:lumMod val="60000"/>
                  <a:lumOff val="40000"/>
                </a:schemeClr>
              </a:solidFill>
              <a:ln>
                <a:noFill/>
              </a:ln>
              <a:effectLst/>
              <a:sp3d/>
            </c:spPr>
          </c:dPt>
          <c:dPt>
            <c:idx val="5"/>
            <c:invertIfNegative val="0"/>
            <c:bubble3D val="0"/>
            <c:spPr>
              <a:solidFill>
                <a:srgbClr val="C00000"/>
              </a:solidFill>
              <a:ln>
                <a:noFill/>
              </a:ln>
              <a:effectLst/>
              <a:sp3d/>
            </c:spPr>
          </c:dPt>
          <c:dPt>
            <c:idx val="6"/>
            <c:invertIfNegative val="0"/>
            <c:bubble3D val="0"/>
            <c:spPr>
              <a:solidFill>
                <a:schemeClr val="accent6">
                  <a:lumMod val="40000"/>
                  <a:lumOff val="60000"/>
                </a:schemeClr>
              </a:solidFill>
              <a:ln>
                <a:noFill/>
              </a:ln>
              <a:effectLst/>
              <a:sp3d/>
            </c:spPr>
          </c:dPt>
          <c:dPt>
            <c:idx val="7"/>
            <c:invertIfNegative val="0"/>
            <c:bubble3D val="0"/>
            <c:spPr>
              <a:solidFill>
                <a:srgbClr val="00B050"/>
              </a:solidFill>
              <a:ln>
                <a:noFill/>
              </a:ln>
              <a:effectLst/>
              <a:sp3d/>
            </c:spPr>
          </c:dPt>
          <c:cat>
            <c:strRef>
              <c:f>'Fito-Jaguari-CESP'!$H$57:$H$64</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'Fito-Jaguari-CESP'!$K$57:$K$64</c:f>
              <c:numCache>
                <c:formatCode>General</c:formatCode>
                <c:ptCount val="8"/>
                <c:pt idx="0">
                  <c:v>0</c:v>
                </c:pt>
                <c:pt idx="1">
                  <c:v>0</c:v>
                </c:pt>
                <c:pt idx="2">
                  <c:v>0</c:v>
                </c:pt>
                <c:pt idx="3">
                  <c:v>0</c:v>
                </c:pt>
                <c:pt idx="4">
                  <c:v>21</c:v>
                </c:pt>
                <c:pt idx="5" formatCode="#,##0">
                  <c:v>1127</c:v>
                </c:pt>
                <c:pt idx="6">
                  <c:v>0</c:v>
                </c:pt>
                <c:pt idx="7">
                  <c:v>0</c:v>
                </c:pt>
              </c:numCache>
            </c:numRef>
          </c:val>
        </c:ser>
        <c:dLbls>
          <c:showLegendKey val="0"/>
          <c:showVal val="0"/>
          <c:showCatName val="0"/>
          <c:showSerName val="0"/>
          <c:showPercent val="0"/>
          <c:showBubbleSize val="0"/>
        </c:dLbls>
        <c:gapWidth val="150"/>
        <c:shape val="box"/>
        <c:axId val="-760792528"/>
        <c:axId val="-760791440"/>
        <c:axId val="0"/>
      </c:bar3DChart>
      <c:catAx>
        <c:axId val="-7607925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760791440"/>
        <c:crosses val="autoZero"/>
        <c:auto val="1"/>
        <c:lblAlgn val="ctr"/>
        <c:lblOffset val="100"/>
        <c:noMultiLvlLbl val="0"/>
      </c:catAx>
      <c:valAx>
        <c:axId val="-760791440"/>
        <c:scaling>
          <c:orientation val="minMax"/>
          <c:max val="12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7607925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Fitoplâncton - IG 101 - org/mL </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Pt>
            <c:idx val="0"/>
            <c:invertIfNegative val="0"/>
            <c:bubble3D val="0"/>
            <c:spPr>
              <a:solidFill>
                <a:srgbClr val="0070C0"/>
              </a:solidFill>
              <a:ln>
                <a:noFill/>
              </a:ln>
              <a:effectLst/>
              <a:sp3d/>
            </c:spPr>
          </c:dPt>
          <c:dPt>
            <c:idx val="1"/>
            <c:invertIfNegative val="0"/>
            <c:bubble3D val="0"/>
            <c:spPr>
              <a:solidFill>
                <a:schemeClr val="accent4">
                  <a:lumMod val="40000"/>
                  <a:lumOff val="60000"/>
                </a:schemeClr>
              </a:solidFill>
              <a:ln>
                <a:noFill/>
              </a:ln>
              <a:effectLst/>
              <a:sp3d/>
            </c:spPr>
          </c:dPt>
          <c:dPt>
            <c:idx val="2"/>
            <c:invertIfNegative val="0"/>
            <c:bubble3D val="0"/>
            <c:spPr>
              <a:solidFill>
                <a:srgbClr val="92D050"/>
              </a:solidFill>
              <a:ln>
                <a:noFill/>
              </a:ln>
              <a:effectLst/>
              <a:sp3d/>
            </c:spPr>
          </c:dPt>
          <c:dPt>
            <c:idx val="4"/>
            <c:invertIfNegative val="0"/>
            <c:bubble3D val="0"/>
            <c:spPr>
              <a:solidFill>
                <a:srgbClr val="C00000"/>
              </a:solidFill>
              <a:ln>
                <a:noFill/>
              </a:ln>
              <a:effectLst/>
              <a:sp3d/>
            </c:spPr>
          </c:dPt>
          <c:dPt>
            <c:idx val="5"/>
            <c:invertIfNegative val="0"/>
            <c:bubble3D val="0"/>
            <c:spPr>
              <a:solidFill>
                <a:schemeClr val="accent6">
                  <a:lumMod val="40000"/>
                  <a:lumOff val="60000"/>
                </a:schemeClr>
              </a:solidFill>
              <a:ln>
                <a:noFill/>
              </a:ln>
              <a:effectLst/>
              <a:sp3d/>
            </c:spPr>
          </c:dPt>
          <c:dPt>
            <c:idx val="6"/>
            <c:invertIfNegative val="0"/>
            <c:bubble3D val="0"/>
            <c:spPr>
              <a:solidFill>
                <a:srgbClr val="00B050"/>
              </a:solidFill>
              <a:ln>
                <a:noFill/>
              </a:ln>
              <a:effectLst/>
              <a:sp3d/>
            </c:spPr>
          </c:dPt>
          <c:cat>
            <c:strRef>
              <c:f>'Fito-Jaguari-CESP'!$H$4:$H$10</c:f>
              <c:strCache>
                <c:ptCount val="7"/>
                <c:pt idx="0">
                  <c:v>CYANOBACTERIA</c:v>
                </c:pt>
                <c:pt idx="1">
                  <c:v>BACILLARIOPHYCEAE (= diatomáceas)</c:v>
                </c:pt>
                <c:pt idx="2">
                  <c:v>CHLOROPHYCEAE</c:v>
                </c:pt>
                <c:pt idx="3">
                  <c:v>CHRYSOPHYCEAE</c:v>
                </c:pt>
                <c:pt idx="4">
                  <c:v>DINOPHYCEAE</c:v>
                </c:pt>
                <c:pt idx="5">
                  <c:v>EUGLENOPHYCEAE</c:v>
                </c:pt>
                <c:pt idx="6">
                  <c:v>ZYGNEMAPHYCEAE</c:v>
                </c:pt>
              </c:strCache>
            </c:strRef>
          </c:cat>
          <c:val>
            <c:numRef>
              <c:f>'Fito-Jaguari-CESP'!$K$4:$K$10</c:f>
              <c:numCache>
                <c:formatCode>General</c:formatCode>
                <c:ptCount val="7"/>
                <c:pt idx="0">
                  <c:v>0</c:v>
                </c:pt>
                <c:pt idx="1">
                  <c:v>0</c:v>
                </c:pt>
                <c:pt idx="2">
                  <c:v>11</c:v>
                </c:pt>
                <c:pt idx="3">
                  <c:v>0</c:v>
                </c:pt>
                <c:pt idx="4">
                  <c:v>21</c:v>
                </c:pt>
                <c:pt idx="5">
                  <c:v>21</c:v>
                </c:pt>
                <c:pt idx="6">
                  <c:v>0</c:v>
                </c:pt>
              </c:numCache>
            </c:numRef>
          </c:val>
        </c:ser>
        <c:dLbls>
          <c:showLegendKey val="0"/>
          <c:showVal val="0"/>
          <c:showCatName val="0"/>
          <c:showSerName val="0"/>
          <c:showPercent val="0"/>
          <c:showBubbleSize val="0"/>
        </c:dLbls>
        <c:gapWidth val="150"/>
        <c:shape val="box"/>
        <c:axId val="-760790352"/>
        <c:axId val="-760789264"/>
        <c:axId val="0"/>
      </c:bar3DChart>
      <c:catAx>
        <c:axId val="-76079035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760789264"/>
        <c:crosses val="autoZero"/>
        <c:auto val="1"/>
        <c:lblAlgn val="ctr"/>
        <c:lblOffset val="100"/>
        <c:noMultiLvlLbl val="0"/>
      </c:catAx>
      <c:valAx>
        <c:axId val="-760789264"/>
        <c:scaling>
          <c:orientation val="minMax"/>
          <c:max val="12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7607903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Fitoplâncton - IG 101A - org/mL </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Pt>
            <c:idx val="0"/>
            <c:invertIfNegative val="0"/>
            <c:bubble3D val="0"/>
            <c:spPr>
              <a:solidFill>
                <a:srgbClr val="0070C0"/>
              </a:solidFill>
              <a:ln>
                <a:noFill/>
              </a:ln>
              <a:effectLst/>
              <a:sp3d/>
            </c:spPr>
          </c:dPt>
          <c:dPt>
            <c:idx val="1"/>
            <c:invertIfNegative val="0"/>
            <c:bubble3D val="0"/>
            <c:spPr>
              <a:solidFill>
                <a:schemeClr val="accent4">
                  <a:lumMod val="40000"/>
                  <a:lumOff val="60000"/>
                </a:schemeClr>
              </a:solidFill>
              <a:ln>
                <a:noFill/>
              </a:ln>
              <a:effectLst/>
              <a:sp3d/>
            </c:spPr>
          </c:dPt>
          <c:dPt>
            <c:idx val="2"/>
            <c:invertIfNegative val="0"/>
            <c:bubble3D val="0"/>
            <c:spPr>
              <a:solidFill>
                <a:srgbClr val="92D050"/>
              </a:solidFill>
              <a:ln>
                <a:noFill/>
              </a:ln>
              <a:effectLst/>
              <a:sp3d/>
            </c:spPr>
          </c:dPt>
          <c:dPt>
            <c:idx val="3"/>
            <c:invertIfNegative val="0"/>
            <c:bubble3D val="0"/>
            <c:spPr>
              <a:solidFill>
                <a:srgbClr val="FFC000"/>
              </a:solidFill>
              <a:ln>
                <a:noFill/>
              </a:ln>
              <a:effectLst/>
              <a:sp3d/>
            </c:spPr>
          </c:dPt>
          <c:dPt>
            <c:idx val="4"/>
            <c:invertIfNegative val="0"/>
            <c:bubble3D val="0"/>
            <c:spPr>
              <a:solidFill>
                <a:schemeClr val="accent2">
                  <a:lumMod val="60000"/>
                  <a:lumOff val="40000"/>
                </a:schemeClr>
              </a:solidFill>
              <a:ln>
                <a:noFill/>
              </a:ln>
              <a:effectLst/>
              <a:sp3d/>
            </c:spPr>
          </c:dPt>
          <c:dPt>
            <c:idx val="5"/>
            <c:invertIfNegative val="0"/>
            <c:bubble3D val="0"/>
            <c:spPr>
              <a:solidFill>
                <a:srgbClr val="C00000"/>
              </a:solidFill>
              <a:ln>
                <a:noFill/>
              </a:ln>
              <a:effectLst/>
              <a:sp3d/>
            </c:spPr>
          </c:dPt>
          <c:dPt>
            <c:idx val="6"/>
            <c:invertIfNegative val="0"/>
            <c:bubble3D val="0"/>
            <c:spPr>
              <a:solidFill>
                <a:schemeClr val="accent6">
                  <a:lumMod val="20000"/>
                  <a:lumOff val="80000"/>
                </a:schemeClr>
              </a:solidFill>
              <a:ln>
                <a:noFill/>
              </a:ln>
              <a:effectLst/>
              <a:sp3d/>
            </c:spPr>
          </c:dPt>
          <c:dPt>
            <c:idx val="7"/>
            <c:invertIfNegative val="0"/>
            <c:bubble3D val="0"/>
            <c:spPr>
              <a:solidFill>
                <a:srgbClr val="00B050"/>
              </a:solidFill>
              <a:ln>
                <a:noFill/>
              </a:ln>
              <a:effectLst/>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'Fito-Jaguari-CESP'!$K$22:$K$29</c:f>
              <c:numCache>
                <c:formatCode>General</c:formatCode>
                <c:ptCount val="8"/>
                <c:pt idx="0">
                  <c:v>0</c:v>
                </c:pt>
                <c:pt idx="1">
                  <c:v>11</c:v>
                </c:pt>
                <c:pt idx="2">
                  <c:v>0</c:v>
                </c:pt>
                <c:pt idx="3">
                  <c:v>21</c:v>
                </c:pt>
                <c:pt idx="4">
                  <c:v>106</c:v>
                </c:pt>
                <c:pt idx="5">
                  <c:v>223</c:v>
                </c:pt>
                <c:pt idx="6">
                  <c:v>11</c:v>
                </c:pt>
                <c:pt idx="7">
                  <c:v>0</c:v>
                </c:pt>
              </c:numCache>
            </c:numRef>
          </c:val>
        </c:ser>
        <c:dLbls>
          <c:showLegendKey val="0"/>
          <c:showVal val="0"/>
          <c:showCatName val="0"/>
          <c:showSerName val="0"/>
          <c:showPercent val="0"/>
          <c:showBubbleSize val="0"/>
        </c:dLbls>
        <c:gapWidth val="150"/>
        <c:shape val="box"/>
        <c:axId val="-640261232"/>
        <c:axId val="-640262864"/>
        <c:axId val="0"/>
      </c:bar3DChart>
      <c:catAx>
        <c:axId val="-64026123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640262864"/>
        <c:crosses val="autoZero"/>
        <c:auto val="1"/>
        <c:lblAlgn val="ctr"/>
        <c:lblOffset val="100"/>
        <c:noMultiLvlLbl val="0"/>
      </c:catAx>
      <c:valAx>
        <c:axId val="-640262864"/>
        <c:scaling>
          <c:orientation val="minMax"/>
          <c:max val="12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6402612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Fitoplâncton - IG 103 - org/mL </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Pt>
            <c:idx val="0"/>
            <c:invertIfNegative val="0"/>
            <c:bubble3D val="0"/>
            <c:spPr>
              <a:solidFill>
                <a:srgbClr val="0070C0"/>
              </a:solidFill>
              <a:ln>
                <a:noFill/>
              </a:ln>
              <a:effectLst/>
              <a:sp3d/>
            </c:spPr>
          </c:dPt>
          <c:dPt>
            <c:idx val="1"/>
            <c:invertIfNegative val="0"/>
            <c:bubble3D val="0"/>
            <c:spPr>
              <a:solidFill>
                <a:schemeClr val="accent4">
                  <a:lumMod val="40000"/>
                  <a:lumOff val="60000"/>
                </a:schemeClr>
              </a:solidFill>
              <a:ln>
                <a:noFill/>
              </a:ln>
              <a:effectLst/>
              <a:sp3d/>
            </c:spPr>
          </c:dPt>
          <c:dPt>
            <c:idx val="2"/>
            <c:invertIfNegative val="0"/>
            <c:bubble3D val="0"/>
            <c:spPr>
              <a:solidFill>
                <a:srgbClr val="92D050"/>
              </a:solidFill>
              <a:ln>
                <a:noFill/>
              </a:ln>
              <a:effectLst/>
              <a:sp3d/>
            </c:spPr>
          </c:dPt>
          <c:dPt>
            <c:idx val="3"/>
            <c:invertIfNegative val="0"/>
            <c:bubble3D val="0"/>
            <c:spPr>
              <a:solidFill>
                <a:srgbClr val="FFC000"/>
              </a:solidFill>
              <a:ln>
                <a:noFill/>
              </a:ln>
              <a:effectLst/>
              <a:sp3d/>
            </c:spPr>
          </c:dPt>
          <c:dPt>
            <c:idx val="4"/>
            <c:invertIfNegative val="0"/>
            <c:bubble3D val="0"/>
            <c:spPr>
              <a:solidFill>
                <a:schemeClr val="accent2">
                  <a:lumMod val="40000"/>
                  <a:lumOff val="60000"/>
                </a:schemeClr>
              </a:solidFill>
              <a:ln>
                <a:noFill/>
              </a:ln>
              <a:effectLst/>
              <a:sp3d/>
            </c:spPr>
          </c:dPt>
          <c:dPt>
            <c:idx val="5"/>
            <c:invertIfNegative val="0"/>
            <c:bubble3D val="0"/>
            <c:spPr>
              <a:solidFill>
                <a:srgbClr val="C00000"/>
              </a:solidFill>
              <a:ln>
                <a:noFill/>
              </a:ln>
              <a:effectLst/>
              <a:sp3d/>
            </c:spPr>
          </c:dPt>
          <c:dPt>
            <c:idx val="6"/>
            <c:invertIfNegative val="0"/>
            <c:bubble3D val="0"/>
            <c:spPr>
              <a:solidFill>
                <a:schemeClr val="accent6">
                  <a:lumMod val="40000"/>
                  <a:lumOff val="60000"/>
                </a:schemeClr>
              </a:solidFill>
              <a:ln>
                <a:noFill/>
              </a:ln>
              <a:effectLst/>
              <a:sp3d/>
            </c:spPr>
          </c:dPt>
          <c:dPt>
            <c:idx val="7"/>
            <c:invertIfNegative val="0"/>
            <c:bubble3D val="0"/>
            <c:spPr>
              <a:solidFill>
                <a:srgbClr val="00B050"/>
              </a:solidFill>
              <a:ln>
                <a:noFill/>
              </a:ln>
              <a:effectLst/>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'Fito-Jaguari-CESP'!$K$78:$K$85</c:f>
              <c:numCache>
                <c:formatCode>General</c:formatCode>
                <c:ptCount val="8"/>
                <c:pt idx="0">
                  <c:v>287</c:v>
                </c:pt>
                <c:pt idx="1">
                  <c:v>0</c:v>
                </c:pt>
                <c:pt idx="2">
                  <c:v>0</c:v>
                </c:pt>
                <c:pt idx="3">
                  <c:v>0</c:v>
                </c:pt>
                <c:pt idx="4">
                  <c:v>0</c:v>
                </c:pt>
                <c:pt idx="5">
                  <c:v>11</c:v>
                </c:pt>
                <c:pt idx="6">
                  <c:v>32</c:v>
                </c:pt>
                <c:pt idx="7">
                  <c:v>0</c:v>
                </c:pt>
              </c:numCache>
            </c:numRef>
          </c:val>
        </c:ser>
        <c:dLbls>
          <c:showLegendKey val="0"/>
          <c:showVal val="0"/>
          <c:showCatName val="0"/>
          <c:showSerName val="0"/>
          <c:showPercent val="0"/>
          <c:showBubbleSize val="0"/>
        </c:dLbls>
        <c:gapWidth val="150"/>
        <c:shape val="box"/>
        <c:axId val="-640262320"/>
        <c:axId val="-640260688"/>
        <c:axId val="0"/>
      </c:bar3DChart>
      <c:catAx>
        <c:axId val="-64026232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640260688"/>
        <c:crosses val="autoZero"/>
        <c:auto val="1"/>
        <c:lblAlgn val="ctr"/>
        <c:lblOffset val="100"/>
        <c:noMultiLvlLbl val="0"/>
      </c:catAx>
      <c:valAx>
        <c:axId val="-640260688"/>
        <c:scaling>
          <c:orientation val="minMax"/>
          <c:max val="12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6402623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Fitoplâncton - IG 104 - org/mL </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Pt>
            <c:idx val="0"/>
            <c:invertIfNegative val="0"/>
            <c:bubble3D val="0"/>
            <c:spPr>
              <a:solidFill>
                <a:srgbClr val="0070C0"/>
              </a:solidFill>
              <a:ln>
                <a:noFill/>
              </a:ln>
              <a:effectLst/>
              <a:sp3d/>
            </c:spPr>
          </c:dPt>
          <c:dPt>
            <c:idx val="1"/>
            <c:invertIfNegative val="0"/>
            <c:bubble3D val="0"/>
            <c:spPr>
              <a:solidFill>
                <a:schemeClr val="accent4">
                  <a:lumMod val="40000"/>
                  <a:lumOff val="60000"/>
                </a:schemeClr>
              </a:solidFill>
              <a:ln>
                <a:noFill/>
              </a:ln>
              <a:effectLst/>
              <a:sp3d/>
            </c:spPr>
          </c:dPt>
          <c:dPt>
            <c:idx val="2"/>
            <c:invertIfNegative val="0"/>
            <c:bubble3D val="0"/>
            <c:spPr>
              <a:solidFill>
                <a:srgbClr val="92D050"/>
              </a:solidFill>
              <a:ln>
                <a:noFill/>
              </a:ln>
              <a:effectLst/>
              <a:sp3d/>
            </c:spPr>
          </c:dPt>
          <c:dPt>
            <c:idx val="3"/>
            <c:invertIfNegative val="0"/>
            <c:bubble3D val="0"/>
            <c:spPr>
              <a:solidFill>
                <a:srgbClr val="FFC000"/>
              </a:solidFill>
              <a:ln>
                <a:noFill/>
              </a:ln>
              <a:effectLst/>
              <a:sp3d/>
            </c:spPr>
          </c:dPt>
          <c:dPt>
            <c:idx val="4"/>
            <c:invertIfNegative val="0"/>
            <c:bubble3D val="0"/>
            <c:spPr>
              <a:solidFill>
                <a:schemeClr val="accent2">
                  <a:lumMod val="40000"/>
                  <a:lumOff val="60000"/>
                </a:schemeClr>
              </a:solidFill>
              <a:ln>
                <a:noFill/>
              </a:ln>
              <a:effectLst/>
              <a:sp3d/>
            </c:spPr>
          </c:dPt>
          <c:dPt>
            <c:idx val="5"/>
            <c:invertIfNegative val="0"/>
            <c:bubble3D val="0"/>
            <c:spPr>
              <a:solidFill>
                <a:srgbClr val="C00000"/>
              </a:solidFill>
              <a:ln>
                <a:noFill/>
              </a:ln>
              <a:effectLst/>
              <a:sp3d/>
            </c:spPr>
          </c:dPt>
          <c:dPt>
            <c:idx val="6"/>
            <c:invertIfNegative val="0"/>
            <c:bubble3D val="0"/>
            <c:spPr>
              <a:solidFill>
                <a:schemeClr val="accent6">
                  <a:lumMod val="40000"/>
                  <a:lumOff val="60000"/>
                </a:schemeClr>
              </a:solidFill>
              <a:ln>
                <a:noFill/>
              </a:ln>
              <a:effectLst/>
              <a:sp3d/>
            </c:spPr>
          </c:dPt>
          <c:dPt>
            <c:idx val="7"/>
            <c:invertIfNegative val="0"/>
            <c:bubble3D val="0"/>
            <c:spPr>
              <a:solidFill>
                <a:srgbClr val="00B050"/>
              </a:solidFill>
              <a:ln>
                <a:noFill/>
              </a:ln>
              <a:effectLst/>
              <a:sp3d/>
            </c:spPr>
          </c:dPt>
          <c:cat>
            <c:strRef>
              <c:f>'Fito-Jaguari-CESP'!$H$22:$H$29</c:f>
              <c:strCache>
                <c:ptCount val="8"/>
                <c:pt idx="0">
                  <c:v>CYANOBACTERIA</c:v>
                </c:pt>
                <c:pt idx="1">
                  <c:v>BACILLARIOPHYCEAE (= diatomáceas)</c:v>
                </c:pt>
                <c:pt idx="2">
                  <c:v>CHLOROPHYCEAE</c:v>
                </c:pt>
                <c:pt idx="3">
                  <c:v>CHRYSOPHYCEAE</c:v>
                </c:pt>
                <c:pt idx="4">
                  <c:v>CRYPTOPHYCEAE</c:v>
                </c:pt>
                <c:pt idx="5">
                  <c:v>DINOPHYCEAE</c:v>
                </c:pt>
                <c:pt idx="6">
                  <c:v>EUGLENOPHYCEAE</c:v>
                </c:pt>
                <c:pt idx="7">
                  <c:v>ZYGNEMAPHYCEAE</c:v>
                </c:pt>
              </c:strCache>
            </c:strRef>
          </c:cat>
          <c:val>
            <c:numRef>
              <c:f>'Fito-Jaguari-CESP'!$K$109:$K$116</c:f>
              <c:numCache>
                <c:formatCode>General</c:formatCode>
                <c:ptCount val="8"/>
                <c:pt idx="0">
                  <c:v>191</c:v>
                </c:pt>
                <c:pt idx="1">
                  <c:v>0</c:v>
                </c:pt>
                <c:pt idx="2">
                  <c:v>21</c:v>
                </c:pt>
                <c:pt idx="3">
                  <c:v>0</c:v>
                </c:pt>
                <c:pt idx="4">
                  <c:v>0</c:v>
                </c:pt>
                <c:pt idx="5">
                  <c:v>0</c:v>
                </c:pt>
                <c:pt idx="6">
                  <c:v>21</c:v>
                </c:pt>
                <c:pt idx="7">
                  <c:v>0</c:v>
                </c:pt>
              </c:numCache>
            </c:numRef>
          </c:val>
        </c:ser>
        <c:dLbls>
          <c:showLegendKey val="0"/>
          <c:showVal val="0"/>
          <c:showCatName val="0"/>
          <c:showSerName val="0"/>
          <c:showPercent val="0"/>
          <c:showBubbleSize val="0"/>
        </c:dLbls>
        <c:gapWidth val="150"/>
        <c:shape val="box"/>
        <c:axId val="-640266128"/>
        <c:axId val="-640265584"/>
        <c:axId val="0"/>
      </c:bar3DChart>
      <c:catAx>
        <c:axId val="-6402661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640265584"/>
        <c:crosses val="autoZero"/>
        <c:auto val="1"/>
        <c:lblAlgn val="ctr"/>
        <c:lblOffset val="100"/>
        <c:noMultiLvlLbl val="0"/>
      </c:catAx>
      <c:valAx>
        <c:axId val="-640265584"/>
        <c:scaling>
          <c:orientation val="minMax"/>
          <c:max val="12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6402661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Zooplâncton - IG 101 -</a:t>
            </a:r>
            <a:r>
              <a:rPr lang="pt-BR" baseline="0"/>
              <a:t> %  táxons</a:t>
            </a:r>
            <a:endParaRPr lang="pt-B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dPt>
          <c:dPt>
            <c:idx val="1"/>
            <c:bubble3D val="0"/>
            <c:spPr>
              <a:solidFill>
                <a:srgbClr val="C00000"/>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rgbClr val="FFC000"/>
              </a:solidFill>
              <a:ln w="25400">
                <a:solidFill>
                  <a:schemeClr val="lt1"/>
                </a:solidFill>
              </a:ln>
              <a:effectLst/>
              <a:sp3d contourW="25400">
                <a:contourClr>
                  <a:schemeClr val="lt1"/>
                </a:contourClr>
              </a:sp3d>
            </c:spPr>
          </c:dPt>
          <c:dPt>
            <c:idx val="4"/>
            <c:bubble3D val="0"/>
            <c:spPr>
              <a:solidFill>
                <a:srgbClr val="FFFF00"/>
              </a:solidFill>
              <a:ln w="25400">
                <a:solidFill>
                  <a:schemeClr val="lt1"/>
                </a:solidFill>
              </a:ln>
              <a:effectLst/>
              <a:sp3d contourW="25400">
                <a:contourClr>
                  <a:schemeClr val="lt1"/>
                </a:contourClr>
              </a:sp3d>
            </c:spPr>
          </c:dPt>
          <c:cat>
            <c:strRef>
              <c:f>'Zoo - Jaguari-CESP'!$G$4:$G$8</c:f>
              <c:strCache>
                <c:ptCount val="5"/>
                <c:pt idx="0">
                  <c:v>ROTIFERA</c:v>
                </c:pt>
                <c:pt idx="1">
                  <c:v>CLADOCERA</c:v>
                </c:pt>
                <c:pt idx="2">
                  <c:v>COPEPODA CYCLOPOIDA</c:v>
                </c:pt>
                <c:pt idx="3">
                  <c:v>COPEPODA CALANOIDA</c:v>
                </c:pt>
                <c:pt idx="4">
                  <c:v>OUTROS INVERTEBRADOS</c:v>
                </c:pt>
              </c:strCache>
            </c:strRef>
          </c:cat>
          <c:val>
            <c:numRef>
              <c:f>'Zoo - Jaguari-CESP'!$I$4:$I$8</c:f>
              <c:numCache>
                <c:formatCode>General</c:formatCode>
                <c:ptCount val="5"/>
                <c:pt idx="0">
                  <c:v>33.300000000000004</c:v>
                </c:pt>
                <c:pt idx="1">
                  <c:v>33.300000000000004</c:v>
                </c:pt>
                <c:pt idx="2">
                  <c:v>16.7</c:v>
                </c:pt>
                <c:pt idx="3">
                  <c:v>16.7</c:v>
                </c:pt>
                <c:pt idx="4">
                  <c:v>0</c:v>
                </c:pt>
              </c:numCache>
            </c:numRef>
          </c:val>
        </c:ser>
        <c:dLbls>
          <c:showLegendKey val="0"/>
          <c:showVal val="0"/>
          <c:showCatName val="0"/>
          <c:showSerName val="0"/>
          <c:showPercent val="0"/>
          <c:showBubbleSize val="0"/>
          <c:showLeaderLines val="0"/>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mn-lt"/>
              <a:ea typeface="+mn-ea"/>
              <a:cs typeface="+mn-cs"/>
            </a:defRPr>
          </a:pPr>
          <a:endParaRPr lang="pt-BR"/>
        </a:p>
      </c:txPr>
    </c:title>
    <c:autoTitleDeleted val="0"/>
    <c:plotArea>
      <c:layout/>
      <c:lineChart>
        <c:grouping val="standard"/>
        <c:varyColors val="0"/>
        <c:ser>
          <c:idx val="0"/>
          <c:order val="0"/>
          <c:tx>
            <c:strRef>
              <c:f>Plan4!$B$50</c:f>
              <c:strCache>
                <c:ptCount val="1"/>
                <c:pt idx="0">
                  <c:v>F28</c:v>
                </c:pt>
              </c:strCache>
            </c:strRef>
          </c:tx>
          <c:spPr>
            <a:ln w="6350" cap="rnd">
              <a:solidFill>
                <a:schemeClr val="accent1"/>
              </a:solidFill>
              <a:round/>
            </a:ln>
            <a:effectLst/>
          </c:spPr>
          <c:marker>
            <c:symbol val="circle"/>
            <c:size val="5"/>
            <c:spPr>
              <a:solidFill>
                <a:schemeClr val="accent1"/>
              </a:solidFill>
              <a:ln w="6350">
                <a:solidFill>
                  <a:schemeClr val="accent1"/>
                </a:solidFill>
              </a:ln>
              <a:effectLst/>
            </c:spPr>
          </c:marker>
          <c:cat>
            <c:strRef>
              <c:f>Plan4!$A$51:$A$62</c:f>
              <c:strCache>
                <c:ptCount val="12"/>
                <c:pt idx="0">
                  <c:v>15 min.</c:v>
                </c:pt>
                <c:pt idx="1">
                  <c:v>30 min.</c:v>
                </c:pt>
                <c:pt idx="2">
                  <c:v>45 min.</c:v>
                </c:pt>
                <c:pt idx="3">
                  <c:v>60 min.</c:v>
                </c:pt>
                <c:pt idx="4">
                  <c:v>75 min.</c:v>
                </c:pt>
                <c:pt idx="5">
                  <c:v>90 min.</c:v>
                </c:pt>
                <c:pt idx="6">
                  <c:v>105 min.</c:v>
                </c:pt>
                <c:pt idx="7">
                  <c:v>120 min.</c:v>
                </c:pt>
                <c:pt idx="8">
                  <c:v>135 min.</c:v>
                </c:pt>
                <c:pt idx="9">
                  <c:v>150 min.</c:v>
                </c:pt>
                <c:pt idx="10">
                  <c:v>165 min.</c:v>
                </c:pt>
                <c:pt idx="11">
                  <c:v>180 min.</c:v>
                </c:pt>
              </c:strCache>
            </c:strRef>
          </c:cat>
          <c:val>
            <c:numRef>
              <c:f>Plan4!$B$51:$B$62</c:f>
              <c:numCache>
                <c:formatCode>General</c:formatCode>
                <c:ptCount val="12"/>
                <c:pt idx="0">
                  <c:v>18</c:v>
                </c:pt>
                <c:pt idx="1">
                  <c:v>27</c:v>
                </c:pt>
                <c:pt idx="2">
                  <c:v>36</c:v>
                </c:pt>
                <c:pt idx="3">
                  <c:v>46</c:v>
                </c:pt>
                <c:pt idx="4">
                  <c:v>50</c:v>
                </c:pt>
                <c:pt idx="5">
                  <c:v>63</c:v>
                </c:pt>
                <c:pt idx="6">
                  <c:v>75</c:v>
                </c:pt>
                <c:pt idx="7">
                  <c:v>81</c:v>
                </c:pt>
                <c:pt idx="8">
                  <c:v>85</c:v>
                </c:pt>
                <c:pt idx="9">
                  <c:v>87</c:v>
                </c:pt>
                <c:pt idx="10">
                  <c:v>90</c:v>
                </c:pt>
                <c:pt idx="11">
                  <c:v>90</c:v>
                </c:pt>
              </c:numCache>
            </c:numRef>
          </c:val>
          <c:smooth val="0"/>
        </c:ser>
        <c:dLbls>
          <c:showLegendKey val="0"/>
          <c:showVal val="0"/>
          <c:showCatName val="0"/>
          <c:showSerName val="0"/>
          <c:showPercent val="0"/>
          <c:showBubbleSize val="0"/>
        </c:dLbls>
        <c:marker val="1"/>
        <c:smooth val="0"/>
        <c:axId val="-927652640"/>
        <c:axId val="-927656448"/>
      </c:lineChart>
      <c:catAx>
        <c:axId val="-927652640"/>
        <c:scaling>
          <c:orientation val="minMax"/>
        </c:scaling>
        <c:delete val="0"/>
        <c:axPos val="b"/>
        <c:title>
          <c:tx>
            <c:rich>
              <a:bodyPr rot="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r>
                  <a:rPr lang="pt-BR" sz="700">
                    <a:solidFill>
                      <a:sysClr val="windowText" lastClr="000000"/>
                    </a:solidFill>
                  </a:rPr>
                  <a:t>Tempo de</a:t>
                </a:r>
                <a:r>
                  <a:rPr lang="pt-BR" sz="700" baseline="0">
                    <a:solidFill>
                      <a:sysClr val="windowText" lastClr="000000"/>
                    </a:solidFill>
                  </a:rPr>
                  <a:t> amostragem</a:t>
                </a:r>
                <a:endParaRPr lang="pt-BR" sz="700">
                  <a:solidFill>
                    <a:sysClr val="windowText" lastClr="000000"/>
                  </a:solidFill>
                </a:endParaRPr>
              </a:p>
            </c:rich>
          </c:tx>
          <c:layout>
            <c:manualLayout>
              <c:xMode val="edge"/>
              <c:yMode val="edge"/>
              <c:x val="0.63750014027343971"/>
              <c:y val="0.88326750539807819"/>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pt-BR"/>
          </a:p>
        </c:txPr>
        <c:crossAx val="-927656448"/>
        <c:crosses val="autoZero"/>
        <c:auto val="1"/>
        <c:lblAlgn val="ctr"/>
        <c:lblOffset val="100"/>
        <c:noMultiLvlLbl val="0"/>
      </c:catAx>
      <c:valAx>
        <c:axId val="-9276564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r>
                  <a:rPr lang="pt-BR" sz="700">
                    <a:solidFill>
                      <a:sysClr val="windowText" lastClr="000000"/>
                    </a:solidFill>
                  </a:rPr>
                  <a:t>Nº de espécies</a:t>
                </a:r>
              </a:p>
            </c:rich>
          </c:tx>
          <c:layout>
            <c:manualLayout>
              <c:xMode val="edge"/>
              <c:yMode val="edge"/>
              <c:x val="2.8503562945368172E-2"/>
              <c:y val="0.16020708351749377"/>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pt-BR"/>
          </a:p>
        </c:txPr>
        <c:crossAx val="-9276526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pt-BR"/>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Zooplâncton - IG 102 -</a:t>
            </a:r>
            <a:r>
              <a:rPr lang="pt-BR" baseline="0"/>
              <a:t> %  táxons</a:t>
            </a:r>
            <a:endParaRPr lang="pt-B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dPt>
          <c:dPt>
            <c:idx val="1"/>
            <c:bubble3D val="0"/>
            <c:spPr>
              <a:solidFill>
                <a:srgbClr val="C00000"/>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rgbClr val="FFFF00"/>
              </a:solidFill>
              <a:ln w="25400">
                <a:solidFill>
                  <a:schemeClr val="lt1"/>
                </a:solidFill>
              </a:ln>
              <a:effectLst/>
              <a:sp3d contourW="25400">
                <a:contourClr>
                  <a:schemeClr val="lt1"/>
                </a:contourClr>
              </a:sp3d>
            </c:spPr>
          </c:dPt>
          <c:cat>
            <c:strRef>
              <c:f>'Zoo - Jaguari-CESP'!$G$4:$G$8</c:f>
              <c:strCache>
                <c:ptCount val="5"/>
                <c:pt idx="0">
                  <c:v>ROTIFERA</c:v>
                </c:pt>
                <c:pt idx="1">
                  <c:v>CLADOCERA</c:v>
                </c:pt>
                <c:pt idx="2">
                  <c:v>COPEPODA CYCLOPOIDA</c:v>
                </c:pt>
                <c:pt idx="3">
                  <c:v>COPEPODA CALANOIDA</c:v>
                </c:pt>
                <c:pt idx="4">
                  <c:v>OUTROS INVERTEBRADOS</c:v>
                </c:pt>
              </c:strCache>
            </c:strRef>
          </c:cat>
          <c:val>
            <c:numRef>
              <c:f>'Zoo - Jaguari-CESP'!$I$46:$I$50</c:f>
              <c:numCache>
                <c:formatCode>General</c:formatCode>
                <c:ptCount val="5"/>
                <c:pt idx="0">
                  <c:v>50</c:v>
                </c:pt>
                <c:pt idx="1">
                  <c:v>25</c:v>
                </c:pt>
                <c:pt idx="2">
                  <c:v>8.3000000000000007</c:v>
                </c:pt>
                <c:pt idx="3">
                  <c:v>8.3000000000000007</c:v>
                </c:pt>
                <c:pt idx="4">
                  <c:v>8.3000000000000007</c:v>
                </c:pt>
              </c:numCache>
            </c:numRef>
          </c:val>
        </c:ser>
        <c:dLbls>
          <c:showLegendKey val="0"/>
          <c:showVal val="0"/>
          <c:showCatName val="0"/>
          <c:showSerName val="0"/>
          <c:showPercent val="0"/>
          <c:showBubbleSize val="0"/>
          <c:showLeaderLines val="0"/>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Zooplâncton - IG102 -</a:t>
            </a:r>
            <a:r>
              <a:rPr lang="pt-BR" baseline="0"/>
              <a:t> densidade (org/mL)</a:t>
            </a:r>
            <a:endParaRPr lang="pt-B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9886482939633361E-2"/>
          <c:y val="0.19023148148148342"/>
          <c:w val="0.87122462817148338"/>
          <c:h val="0.42478565179352584"/>
        </c:manualLayout>
      </c:layout>
      <c:bar3DChart>
        <c:barDir val="col"/>
        <c:grouping val="clustered"/>
        <c:varyColors val="0"/>
        <c:ser>
          <c:idx val="0"/>
          <c:order val="0"/>
          <c:spPr>
            <a:solidFill>
              <a:schemeClr val="accent1"/>
            </a:solidFill>
            <a:ln>
              <a:noFill/>
            </a:ln>
            <a:effectLst/>
            <a:sp3d/>
          </c:spPr>
          <c:invertIfNegative val="0"/>
          <c:dPt>
            <c:idx val="1"/>
            <c:invertIfNegative val="0"/>
            <c:bubble3D val="0"/>
            <c:spPr>
              <a:solidFill>
                <a:srgbClr val="C00000"/>
              </a:solidFill>
              <a:ln>
                <a:noFill/>
              </a:ln>
              <a:effectLst/>
              <a:sp3d/>
            </c:spPr>
          </c:dPt>
          <c:dPt>
            <c:idx val="2"/>
            <c:invertIfNegative val="0"/>
            <c:bubble3D val="0"/>
            <c:spPr>
              <a:solidFill>
                <a:schemeClr val="bg1">
                  <a:lumMod val="65000"/>
                </a:schemeClr>
              </a:solidFill>
              <a:ln>
                <a:noFill/>
              </a:ln>
              <a:effectLst/>
              <a:sp3d/>
            </c:spPr>
          </c:dPt>
          <c:dPt>
            <c:idx val="3"/>
            <c:invertIfNegative val="0"/>
            <c:bubble3D val="0"/>
            <c:spPr>
              <a:solidFill>
                <a:srgbClr val="FFC000"/>
              </a:solidFill>
              <a:ln>
                <a:noFill/>
              </a:ln>
              <a:effectLst/>
              <a:sp3d/>
            </c:spPr>
          </c:dPt>
          <c:dPt>
            <c:idx val="4"/>
            <c:invertIfNegative val="0"/>
            <c:bubble3D val="0"/>
            <c:spPr>
              <a:solidFill>
                <a:srgbClr val="FFFF00"/>
              </a:solidFill>
              <a:ln>
                <a:noFill/>
              </a:ln>
              <a:effectLst/>
              <a:sp3d/>
            </c:spPr>
          </c:dPt>
          <c:cat>
            <c:strRef>
              <c:f>'Zoo - Jaguari-CESP'!$G$4:$G$8</c:f>
              <c:strCache>
                <c:ptCount val="5"/>
                <c:pt idx="0">
                  <c:v>ROTIFERA</c:v>
                </c:pt>
                <c:pt idx="1">
                  <c:v>CLADOCERA</c:v>
                </c:pt>
                <c:pt idx="2">
                  <c:v>COPEPODA CYCLOPOIDA</c:v>
                </c:pt>
                <c:pt idx="3">
                  <c:v>COPEPODA CALANOIDA</c:v>
                </c:pt>
                <c:pt idx="4">
                  <c:v>OUTROS INVERTEBRADOS</c:v>
                </c:pt>
              </c:strCache>
            </c:strRef>
          </c:cat>
          <c:val>
            <c:numRef>
              <c:f>'Zoo - Jaguari-CESP'!$J$46:$J$50</c:f>
              <c:numCache>
                <c:formatCode>#,##0</c:formatCode>
                <c:ptCount val="5"/>
                <c:pt idx="0">
                  <c:v>6000</c:v>
                </c:pt>
                <c:pt idx="1">
                  <c:v>2250</c:v>
                </c:pt>
                <c:pt idx="2">
                  <c:v>1500</c:v>
                </c:pt>
                <c:pt idx="3">
                  <c:v>94750</c:v>
                </c:pt>
                <c:pt idx="4" formatCode="General">
                  <c:v>500</c:v>
                </c:pt>
              </c:numCache>
            </c:numRef>
          </c:val>
        </c:ser>
        <c:dLbls>
          <c:showLegendKey val="0"/>
          <c:showVal val="0"/>
          <c:showCatName val="0"/>
          <c:showSerName val="0"/>
          <c:showPercent val="0"/>
          <c:showBubbleSize val="0"/>
        </c:dLbls>
        <c:gapWidth val="150"/>
        <c:shape val="box"/>
        <c:axId val="-823440768"/>
        <c:axId val="-823440224"/>
        <c:axId val="0"/>
      </c:bar3DChart>
      <c:catAx>
        <c:axId val="-82344076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823440224"/>
        <c:crosses val="autoZero"/>
        <c:auto val="1"/>
        <c:lblAlgn val="ctr"/>
        <c:lblOffset val="100"/>
        <c:noMultiLvlLbl val="0"/>
      </c:catAx>
      <c:valAx>
        <c:axId val="-823440224"/>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8234407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Zooplâncton - IG101 -</a:t>
            </a:r>
            <a:r>
              <a:rPr lang="pt-BR" baseline="0"/>
              <a:t> densidade (org/mL)</a:t>
            </a:r>
            <a:endParaRPr lang="pt-B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9886482939633361E-2"/>
          <c:y val="0.18097222222222337"/>
          <c:w val="0.87122462817148338"/>
          <c:h val="0.42478565179352584"/>
        </c:manualLayout>
      </c:layout>
      <c:bar3DChart>
        <c:barDir val="col"/>
        <c:grouping val="clustered"/>
        <c:varyColors val="0"/>
        <c:ser>
          <c:idx val="0"/>
          <c:order val="0"/>
          <c:spPr>
            <a:solidFill>
              <a:schemeClr val="accent1"/>
            </a:solidFill>
            <a:ln>
              <a:noFill/>
            </a:ln>
            <a:effectLst/>
            <a:sp3d/>
          </c:spPr>
          <c:invertIfNegative val="0"/>
          <c:dPt>
            <c:idx val="1"/>
            <c:invertIfNegative val="0"/>
            <c:bubble3D val="0"/>
            <c:spPr>
              <a:solidFill>
                <a:srgbClr val="C00000"/>
              </a:solidFill>
              <a:ln>
                <a:noFill/>
              </a:ln>
              <a:effectLst/>
              <a:sp3d/>
            </c:spPr>
          </c:dPt>
          <c:dPt>
            <c:idx val="2"/>
            <c:invertIfNegative val="0"/>
            <c:bubble3D val="0"/>
            <c:spPr>
              <a:solidFill>
                <a:schemeClr val="bg1">
                  <a:lumMod val="65000"/>
                </a:schemeClr>
              </a:solidFill>
              <a:ln>
                <a:noFill/>
              </a:ln>
              <a:effectLst/>
              <a:sp3d/>
            </c:spPr>
          </c:dPt>
          <c:dPt>
            <c:idx val="3"/>
            <c:invertIfNegative val="0"/>
            <c:bubble3D val="0"/>
            <c:spPr>
              <a:solidFill>
                <a:srgbClr val="FFC000"/>
              </a:solidFill>
              <a:ln>
                <a:noFill/>
              </a:ln>
              <a:effectLst/>
              <a:sp3d/>
            </c:spPr>
          </c:dPt>
          <c:dPt>
            <c:idx val="4"/>
            <c:invertIfNegative val="0"/>
            <c:bubble3D val="0"/>
            <c:spPr>
              <a:solidFill>
                <a:srgbClr val="FFFF00"/>
              </a:solidFill>
              <a:ln>
                <a:noFill/>
              </a:ln>
              <a:effectLst/>
              <a:sp3d/>
            </c:spPr>
          </c:dPt>
          <c:cat>
            <c:strRef>
              <c:f>'Zoo - Jaguari-CESP'!$G$4:$G$8</c:f>
              <c:strCache>
                <c:ptCount val="5"/>
                <c:pt idx="0">
                  <c:v>ROTIFERA</c:v>
                </c:pt>
                <c:pt idx="1">
                  <c:v>CLADOCERA</c:v>
                </c:pt>
                <c:pt idx="2">
                  <c:v>COPEPODA CYCLOPOIDA</c:v>
                </c:pt>
                <c:pt idx="3">
                  <c:v>COPEPODA CALANOIDA</c:v>
                </c:pt>
                <c:pt idx="4">
                  <c:v>OUTROS INVERTEBRADOS</c:v>
                </c:pt>
              </c:strCache>
            </c:strRef>
          </c:cat>
          <c:val>
            <c:numRef>
              <c:f>'Zoo - Jaguari-CESP'!$J$4:$J$8</c:f>
              <c:numCache>
                <c:formatCode>General</c:formatCode>
                <c:ptCount val="5"/>
                <c:pt idx="0" formatCode="#,##0">
                  <c:v>1013</c:v>
                </c:pt>
                <c:pt idx="1">
                  <c:v>320</c:v>
                </c:pt>
                <c:pt idx="2">
                  <c:v>533</c:v>
                </c:pt>
                <c:pt idx="3">
                  <c:v>533</c:v>
                </c:pt>
                <c:pt idx="4">
                  <c:v>0</c:v>
                </c:pt>
              </c:numCache>
            </c:numRef>
          </c:val>
        </c:ser>
        <c:dLbls>
          <c:showLegendKey val="0"/>
          <c:showVal val="0"/>
          <c:showCatName val="0"/>
          <c:showSerName val="0"/>
          <c:showPercent val="0"/>
          <c:showBubbleSize val="0"/>
        </c:dLbls>
        <c:gapWidth val="150"/>
        <c:shape val="box"/>
        <c:axId val="-823444032"/>
        <c:axId val="-823443488"/>
        <c:axId val="0"/>
      </c:bar3DChart>
      <c:catAx>
        <c:axId val="-82344403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823443488"/>
        <c:crosses val="autoZero"/>
        <c:auto val="1"/>
        <c:lblAlgn val="ctr"/>
        <c:lblOffset val="100"/>
        <c:noMultiLvlLbl val="0"/>
      </c:catAx>
      <c:valAx>
        <c:axId val="-823443488"/>
        <c:scaling>
          <c:logBase val="10"/>
          <c:orientation val="minMax"/>
          <c:max val="1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8234440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col"/>
        <c:grouping val="clustered"/>
        <c:varyColors val="0"/>
        <c:ser>
          <c:idx val="0"/>
          <c:order val="0"/>
          <c:invertIfNegative val="0"/>
          <c:cat>
            <c:strRef>
              <c:f>Plan3!$L$13:$L$18</c:f>
              <c:strCache>
                <c:ptCount val="6"/>
                <c:pt idx="0">
                  <c:v>Bryconamericus exodon</c:v>
                </c:pt>
                <c:pt idx="1">
                  <c:v>Tilapia rendalli </c:v>
                </c:pt>
                <c:pt idx="2">
                  <c:v>Apareiodon affinis</c:v>
                </c:pt>
                <c:pt idx="3">
                  <c:v>Cichla kelberi </c:v>
                </c:pt>
                <c:pt idx="4">
                  <c:v>Hoplias malabaricus </c:v>
                </c:pt>
                <c:pt idx="5">
                  <c:v>Geophagus brasiliensis</c:v>
                </c:pt>
              </c:strCache>
            </c:strRef>
          </c:cat>
          <c:val>
            <c:numRef>
              <c:f>Plan3!$M$13:$M$18</c:f>
              <c:numCache>
                <c:formatCode>General</c:formatCode>
                <c:ptCount val="6"/>
                <c:pt idx="0">
                  <c:v>54</c:v>
                </c:pt>
                <c:pt idx="1">
                  <c:v>33</c:v>
                </c:pt>
                <c:pt idx="2">
                  <c:v>32</c:v>
                </c:pt>
                <c:pt idx="3">
                  <c:v>6</c:v>
                </c:pt>
                <c:pt idx="4">
                  <c:v>6</c:v>
                </c:pt>
                <c:pt idx="5">
                  <c:v>1</c:v>
                </c:pt>
              </c:numCache>
            </c:numRef>
          </c:val>
        </c:ser>
        <c:dLbls>
          <c:showLegendKey val="0"/>
          <c:showVal val="0"/>
          <c:showCatName val="0"/>
          <c:showSerName val="0"/>
          <c:showPercent val="0"/>
          <c:showBubbleSize val="0"/>
        </c:dLbls>
        <c:gapWidth val="150"/>
        <c:axId val="-823441312"/>
        <c:axId val="-823447296"/>
      </c:barChart>
      <c:catAx>
        <c:axId val="-823441312"/>
        <c:scaling>
          <c:orientation val="minMax"/>
        </c:scaling>
        <c:delete val="0"/>
        <c:axPos val="b"/>
        <c:numFmt formatCode="General" sourceLinked="0"/>
        <c:majorTickMark val="out"/>
        <c:minorTickMark val="none"/>
        <c:tickLblPos val="nextTo"/>
        <c:txPr>
          <a:bodyPr/>
          <a:lstStyle/>
          <a:p>
            <a:pPr>
              <a:defRPr i="1"/>
            </a:pPr>
            <a:endParaRPr lang="pt-BR"/>
          </a:p>
        </c:txPr>
        <c:crossAx val="-823447296"/>
        <c:crosses val="autoZero"/>
        <c:auto val="1"/>
        <c:lblAlgn val="ctr"/>
        <c:lblOffset val="100"/>
        <c:noMultiLvlLbl val="0"/>
      </c:catAx>
      <c:valAx>
        <c:axId val="-823447296"/>
        <c:scaling>
          <c:orientation val="minMax"/>
        </c:scaling>
        <c:delete val="0"/>
        <c:axPos val="l"/>
        <c:title>
          <c:tx>
            <c:rich>
              <a:bodyPr rot="-5400000" vert="horz"/>
              <a:lstStyle/>
              <a:p>
                <a:pPr>
                  <a:defRPr/>
                </a:pPr>
                <a:r>
                  <a:rPr lang="en-US"/>
                  <a:t>Número de indivíduos</a:t>
                </a:r>
              </a:p>
            </c:rich>
          </c:tx>
          <c:overlay val="0"/>
        </c:title>
        <c:numFmt formatCode="General" sourceLinked="1"/>
        <c:majorTickMark val="out"/>
        <c:minorTickMark val="none"/>
        <c:tickLblPos val="nextTo"/>
        <c:crossAx val="-823441312"/>
        <c:crosses val="autoZero"/>
        <c:crossBetween val="between"/>
      </c:valAx>
    </c:plotArea>
    <c:plotVisOnly val="1"/>
    <c:dispBlanksAs val="gap"/>
    <c:showDLblsOverMax val="0"/>
  </c:chart>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col"/>
        <c:grouping val="clustered"/>
        <c:varyColors val="0"/>
        <c:ser>
          <c:idx val="0"/>
          <c:order val="0"/>
          <c:invertIfNegative val="0"/>
          <c:cat>
            <c:strRef>
              <c:f>Plan3!$I$14:$I$17</c:f>
              <c:strCache>
                <c:ptCount val="4"/>
                <c:pt idx="0">
                  <c:v>Plagioscion squamosissimus </c:v>
                </c:pt>
                <c:pt idx="1">
                  <c:v>Astyanax bimaculatus</c:v>
                </c:pt>
                <c:pt idx="2">
                  <c:v>Crenicichla lacustris</c:v>
                </c:pt>
                <c:pt idx="3">
                  <c:v>Geophagus brasiliensis</c:v>
                </c:pt>
              </c:strCache>
            </c:strRef>
          </c:cat>
          <c:val>
            <c:numRef>
              <c:f>Plan3!$J$14:$J$17</c:f>
              <c:numCache>
                <c:formatCode>General</c:formatCode>
                <c:ptCount val="4"/>
                <c:pt idx="0">
                  <c:v>55</c:v>
                </c:pt>
                <c:pt idx="1">
                  <c:v>34</c:v>
                </c:pt>
                <c:pt idx="2">
                  <c:v>7</c:v>
                </c:pt>
                <c:pt idx="3">
                  <c:v>1</c:v>
                </c:pt>
              </c:numCache>
            </c:numRef>
          </c:val>
        </c:ser>
        <c:dLbls>
          <c:showLegendKey val="0"/>
          <c:showVal val="0"/>
          <c:showCatName val="0"/>
          <c:showSerName val="0"/>
          <c:showPercent val="0"/>
          <c:showBubbleSize val="0"/>
        </c:dLbls>
        <c:gapWidth val="150"/>
        <c:axId val="-636098032"/>
        <c:axId val="-636100208"/>
      </c:barChart>
      <c:catAx>
        <c:axId val="-636098032"/>
        <c:scaling>
          <c:orientation val="minMax"/>
        </c:scaling>
        <c:delete val="0"/>
        <c:axPos val="b"/>
        <c:numFmt formatCode="General" sourceLinked="0"/>
        <c:majorTickMark val="out"/>
        <c:minorTickMark val="none"/>
        <c:tickLblPos val="nextTo"/>
        <c:txPr>
          <a:bodyPr/>
          <a:lstStyle/>
          <a:p>
            <a:pPr>
              <a:defRPr i="0"/>
            </a:pPr>
            <a:endParaRPr lang="pt-BR"/>
          </a:p>
        </c:txPr>
        <c:crossAx val="-636100208"/>
        <c:crosses val="autoZero"/>
        <c:auto val="1"/>
        <c:lblAlgn val="ctr"/>
        <c:lblOffset val="100"/>
        <c:noMultiLvlLbl val="0"/>
      </c:catAx>
      <c:valAx>
        <c:axId val="-636100208"/>
        <c:scaling>
          <c:orientation val="minMax"/>
        </c:scaling>
        <c:delete val="0"/>
        <c:axPos val="l"/>
        <c:title>
          <c:tx>
            <c:rich>
              <a:bodyPr rot="-5400000" vert="horz"/>
              <a:lstStyle/>
              <a:p>
                <a:pPr>
                  <a:defRPr/>
                </a:pPr>
                <a:r>
                  <a:rPr lang="en-US"/>
                  <a:t>Número de indivíduos</a:t>
                </a:r>
              </a:p>
            </c:rich>
          </c:tx>
          <c:overlay val="0"/>
        </c:title>
        <c:numFmt formatCode="General" sourceLinked="1"/>
        <c:majorTickMark val="out"/>
        <c:minorTickMark val="none"/>
        <c:tickLblPos val="nextTo"/>
        <c:crossAx val="-636098032"/>
        <c:crosses val="autoZero"/>
        <c:crossBetween val="between"/>
      </c:valAx>
    </c:plotArea>
    <c:plotVisOnly val="1"/>
    <c:dispBlanksAs val="gap"/>
    <c:showDLblsOverMax val="0"/>
  </c:chart>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445745769774395"/>
          <c:y val="6.6585962468976967E-2"/>
          <c:w val="0.80066056379163986"/>
          <c:h val="0.72222428449460063"/>
        </c:manualLayout>
      </c:layout>
      <c:scatterChart>
        <c:scatterStyle val="smoothMarker"/>
        <c:varyColors val="0"/>
        <c:ser>
          <c:idx val="0"/>
          <c:order val="0"/>
          <c:tx>
            <c:v>represa Jaguari</c:v>
          </c:tx>
          <c:spPr>
            <a:ln w="31750">
              <a:solidFill>
                <a:schemeClr val="tx1"/>
              </a:solidFill>
              <a:prstDash val="solid"/>
            </a:ln>
          </c:spPr>
          <c:marker>
            <c:symbol val="none"/>
          </c:marker>
          <c:xVal>
            <c:numRef>
              <c:f>[2]curva!$B$62:$B$158</c:f>
              <c:numCache>
                <c:formatCode>General</c:formatCode>
                <c:ptCount val="97"/>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numCache>
            </c:numRef>
          </c:xVal>
          <c:yVal>
            <c:numRef>
              <c:f>[2]curva!$C$62:$C$158</c:f>
              <c:numCache>
                <c:formatCode>General</c:formatCode>
                <c:ptCount val="97"/>
                <c:pt idx="0">
                  <c:v>1</c:v>
                </c:pt>
                <c:pt idx="1">
                  <c:v>1.55606</c:v>
                </c:pt>
                <c:pt idx="2">
                  <c:v>1.88693</c:v>
                </c:pt>
                <c:pt idx="3">
                  <c:v>2.0995499999999967</c:v>
                </c:pt>
                <c:pt idx="4">
                  <c:v>2.2473300000000149</c:v>
                </c:pt>
                <c:pt idx="5">
                  <c:v>2.35772</c:v>
                </c:pt>
                <c:pt idx="6">
                  <c:v>2.4453999999999998</c:v>
                </c:pt>
                <c:pt idx="7">
                  <c:v>2.5184899999999977</c:v>
                </c:pt>
                <c:pt idx="8">
                  <c:v>2.5817299999999999</c:v>
                </c:pt>
                <c:pt idx="9">
                  <c:v>2.63794</c:v>
                </c:pt>
                <c:pt idx="10">
                  <c:v>2.6888999999999998</c:v>
                </c:pt>
                <c:pt idx="11">
                  <c:v>2.7357300000000002</c:v>
                </c:pt>
                <c:pt idx="12">
                  <c:v>2.7791899999999998</c:v>
                </c:pt>
                <c:pt idx="13">
                  <c:v>2.8197899999999967</c:v>
                </c:pt>
                <c:pt idx="14">
                  <c:v>2.85791</c:v>
                </c:pt>
                <c:pt idx="15">
                  <c:v>2.8938099999999967</c:v>
                </c:pt>
                <c:pt idx="16">
                  <c:v>2.9277000000000002</c:v>
                </c:pt>
                <c:pt idx="17">
                  <c:v>2.9597599999999917</c:v>
                </c:pt>
                <c:pt idx="18">
                  <c:v>2.9901300000000002</c:v>
                </c:pt>
                <c:pt idx="19">
                  <c:v>3.0189399999999997</c:v>
                </c:pt>
                <c:pt idx="20">
                  <c:v>3.0462899999999977</c:v>
                </c:pt>
                <c:pt idx="21">
                  <c:v>3.0722799999999904</c:v>
                </c:pt>
                <c:pt idx="22">
                  <c:v>3.0970200000000001</c:v>
                </c:pt>
                <c:pt idx="23">
                  <c:v>3.1205799999999999</c:v>
                </c:pt>
                <c:pt idx="24">
                  <c:v>3.1430600000000002</c:v>
                </c:pt>
                <c:pt idx="25">
                  <c:v>3.1645200000000093</c:v>
                </c:pt>
                <c:pt idx="26">
                  <c:v>3.1850299999999998</c:v>
                </c:pt>
                <c:pt idx="27">
                  <c:v>3.2046700000000001</c:v>
                </c:pt>
                <c:pt idx="28">
                  <c:v>3.2235000000000094</c:v>
                </c:pt>
                <c:pt idx="29">
                  <c:v>3.2415799999999999</c:v>
                </c:pt>
                <c:pt idx="30">
                  <c:v>3.2589600000000001</c:v>
                </c:pt>
                <c:pt idx="31">
                  <c:v>3.2757000000000001</c:v>
                </c:pt>
                <c:pt idx="32">
                  <c:v>3.2918499999999917</c:v>
                </c:pt>
                <c:pt idx="33">
                  <c:v>3.3074499999999967</c:v>
                </c:pt>
                <c:pt idx="34">
                  <c:v>3.3225399999999987</c:v>
                </c:pt>
                <c:pt idx="35">
                  <c:v>3.33717</c:v>
                </c:pt>
                <c:pt idx="36">
                  <c:v>3.3513799999999967</c:v>
                </c:pt>
                <c:pt idx="37">
                  <c:v>3.3651999999999997</c:v>
                </c:pt>
                <c:pt idx="38">
                  <c:v>3.3786599999999885</c:v>
                </c:pt>
                <c:pt idx="39">
                  <c:v>3.3917899999999968</c:v>
                </c:pt>
                <c:pt idx="40">
                  <c:v>3.40463</c:v>
                </c:pt>
                <c:pt idx="41">
                  <c:v>3.4171900000000002</c:v>
                </c:pt>
                <c:pt idx="42">
                  <c:v>3.4295100000000001</c:v>
                </c:pt>
                <c:pt idx="43">
                  <c:v>3.4416099999999967</c:v>
                </c:pt>
                <c:pt idx="44">
                  <c:v>3.4535</c:v>
                </c:pt>
                <c:pt idx="45">
                  <c:v>3.4652099999999977</c:v>
                </c:pt>
                <c:pt idx="46">
                  <c:v>3.4767599999999903</c:v>
                </c:pt>
                <c:pt idx="47">
                  <c:v>3.4881600000000001</c:v>
                </c:pt>
                <c:pt idx="48">
                  <c:v>3.4994199999999918</c:v>
                </c:pt>
                <c:pt idx="49">
                  <c:v>3.51057</c:v>
                </c:pt>
                <c:pt idx="50">
                  <c:v>3.5216099999999977</c:v>
                </c:pt>
                <c:pt idx="51">
                  <c:v>3.5325499999999903</c:v>
                </c:pt>
                <c:pt idx="52">
                  <c:v>3.5434100000000002</c:v>
                </c:pt>
                <c:pt idx="53">
                  <c:v>3.5541900000000002</c:v>
                </c:pt>
                <c:pt idx="54">
                  <c:v>3.5649099999999998</c:v>
                </c:pt>
                <c:pt idx="55">
                  <c:v>3.5755699999999977</c:v>
                </c:pt>
                <c:pt idx="56">
                  <c:v>3.5861800000000001</c:v>
                </c:pt>
                <c:pt idx="57">
                  <c:v>3.5967399999999987</c:v>
                </c:pt>
                <c:pt idx="58">
                  <c:v>3.6072700000000002</c:v>
                </c:pt>
                <c:pt idx="59">
                  <c:v>3.6177600000000001</c:v>
                </c:pt>
                <c:pt idx="60">
                  <c:v>3.6282199999999998</c:v>
                </c:pt>
                <c:pt idx="61">
                  <c:v>3.6386499999999917</c:v>
                </c:pt>
                <c:pt idx="62">
                  <c:v>3.64907</c:v>
                </c:pt>
                <c:pt idx="63">
                  <c:v>3.6594599999999917</c:v>
                </c:pt>
                <c:pt idx="64">
                  <c:v>3.6698399999999998</c:v>
                </c:pt>
                <c:pt idx="65">
                  <c:v>3.6802100000000002</c:v>
                </c:pt>
                <c:pt idx="66">
                  <c:v>3.6905600000000001</c:v>
                </c:pt>
                <c:pt idx="67">
                  <c:v>3.7009099999999999</c:v>
                </c:pt>
                <c:pt idx="68">
                  <c:v>3.7112499999999917</c:v>
                </c:pt>
                <c:pt idx="69">
                  <c:v>3.7215799999999999</c:v>
                </c:pt>
                <c:pt idx="70">
                  <c:v>3.7319100000000001</c:v>
                </c:pt>
                <c:pt idx="71">
                  <c:v>3.7422300000000002</c:v>
                </c:pt>
                <c:pt idx="72">
                  <c:v>3.7525499999999967</c:v>
                </c:pt>
                <c:pt idx="73">
                  <c:v>3.7628699999999977</c:v>
                </c:pt>
                <c:pt idx="74">
                  <c:v>3.7731800000000084</c:v>
                </c:pt>
                <c:pt idx="75">
                  <c:v>3.7835000000000094</c:v>
                </c:pt>
                <c:pt idx="76">
                  <c:v>3.7938100000000001</c:v>
                </c:pt>
                <c:pt idx="77">
                  <c:v>3.8041200000000002</c:v>
                </c:pt>
                <c:pt idx="78">
                  <c:v>3.8144299999999967</c:v>
                </c:pt>
                <c:pt idx="79">
                  <c:v>3.8247399999999998</c:v>
                </c:pt>
                <c:pt idx="80">
                  <c:v>3.835049999999983</c:v>
                </c:pt>
                <c:pt idx="81">
                  <c:v>3.8453599999999977</c:v>
                </c:pt>
                <c:pt idx="82">
                  <c:v>3.8556699999999857</c:v>
                </c:pt>
                <c:pt idx="83">
                  <c:v>3.86598</c:v>
                </c:pt>
                <c:pt idx="84">
                  <c:v>3.8762899999999885</c:v>
                </c:pt>
                <c:pt idx="85">
                  <c:v>3.8865999999999987</c:v>
                </c:pt>
                <c:pt idx="86">
                  <c:v>3.8969099999999903</c:v>
                </c:pt>
                <c:pt idx="87">
                  <c:v>3.9072200000000001</c:v>
                </c:pt>
                <c:pt idx="88">
                  <c:v>3.9175300000000002</c:v>
                </c:pt>
                <c:pt idx="89">
                  <c:v>3.9278399999999998</c:v>
                </c:pt>
                <c:pt idx="90">
                  <c:v>3.9381399999999998</c:v>
                </c:pt>
                <c:pt idx="91">
                  <c:v>3.9484499999999967</c:v>
                </c:pt>
                <c:pt idx="92">
                  <c:v>3.9587599999999967</c:v>
                </c:pt>
                <c:pt idx="93">
                  <c:v>3.9690699999999977</c:v>
                </c:pt>
                <c:pt idx="94">
                  <c:v>3.9793799999999977</c:v>
                </c:pt>
                <c:pt idx="95">
                  <c:v>3.98969</c:v>
                </c:pt>
                <c:pt idx="96">
                  <c:v>4</c:v>
                </c:pt>
              </c:numCache>
            </c:numRef>
          </c:yVal>
          <c:smooth val="1"/>
        </c:ser>
        <c:ser>
          <c:idx val="2"/>
          <c:order val="1"/>
          <c:tx>
            <c:v>represa Atibainha</c:v>
          </c:tx>
          <c:spPr>
            <a:ln w="25400">
              <a:solidFill>
                <a:srgbClr val="000000"/>
              </a:solidFill>
              <a:prstDash val="dash"/>
            </a:ln>
          </c:spPr>
          <c:marker>
            <c:symbol val="none"/>
          </c:marker>
          <c:xVal>
            <c:numRef>
              <c:f>[2]curva!$B$62:$B$193</c:f>
              <c:numCache>
                <c:formatCode>General</c:formatCode>
                <c:ptCount val="132"/>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pt idx="100">
                  <c:v>101</c:v>
                </c:pt>
                <c:pt idx="101">
                  <c:v>102</c:v>
                </c:pt>
                <c:pt idx="102">
                  <c:v>103</c:v>
                </c:pt>
                <c:pt idx="103">
                  <c:v>104</c:v>
                </c:pt>
                <c:pt idx="104">
                  <c:v>105</c:v>
                </c:pt>
                <c:pt idx="105">
                  <c:v>106</c:v>
                </c:pt>
                <c:pt idx="106">
                  <c:v>107</c:v>
                </c:pt>
                <c:pt idx="107">
                  <c:v>108</c:v>
                </c:pt>
                <c:pt idx="108">
                  <c:v>109</c:v>
                </c:pt>
                <c:pt idx="109">
                  <c:v>110</c:v>
                </c:pt>
                <c:pt idx="110">
                  <c:v>111</c:v>
                </c:pt>
                <c:pt idx="111">
                  <c:v>112</c:v>
                </c:pt>
                <c:pt idx="112">
                  <c:v>113</c:v>
                </c:pt>
                <c:pt idx="113">
                  <c:v>114</c:v>
                </c:pt>
                <c:pt idx="114">
                  <c:v>115</c:v>
                </c:pt>
                <c:pt idx="115">
                  <c:v>116</c:v>
                </c:pt>
                <c:pt idx="116">
                  <c:v>117</c:v>
                </c:pt>
                <c:pt idx="117">
                  <c:v>118</c:v>
                </c:pt>
                <c:pt idx="118">
                  <c:v>119</c:v>
                </c:pt>
                <c:pt idx="119">
                  <c:v>120</c:v>
                </c:pt>
                <c:pt idx="120">
                  <c:v>121</c:v>
                </c:pt>
                <c:pt idx="121">
                  <c:v>122</c:v>
                </c:pt>
                <c:pt idx="122">
                  <c:v>123</c:v>
                </c:pt>
                <c:pt idx="123">
                  <c:v>124</c:v>
                </c:pt>
                <c:pt idx="124">
                  <c:v>125</c:v>
                </c:pt>
                <c:pt idx="125">
                  <c:v>126</c:v>
                </c:pt>
                <c:pt idx="126">
                  <c:v>127</c:v>
                </c:pt>
                <c:pt idx="127">
                  <c:v>128</c:v>
                </c:pt>
                <c:pt idx="128">
                  <c:v>129</c:v>
                </c:pt>
                <c:pt idx="129">
                  <c:v>130</c:v>
                </c:pt>
                <c:pt idx="130">
                  <c:v>131</c:v>
                </c:pt>
                <c:pt idx="131">
                  <c:v>132</c:v>
                </c:pt>
              </c:numCache>
            </c:numRef>
          </c:xVal>
          <c:yVal>
            <c:numRef>
              <c:f>[2]curva!$E$62:$E$193</c:f>
              <c:numCache>
                <c:formatCode>General</c:formatCode>
                <c:ptCount val="132"/>
                <c:pt idx="0">
                  <c:v>1</c:v>
                </c:pt>
                <c:pt idx="1">
                  <c:v>1.71258</c:v>
                </c:pt>
                <c:pt idx="2">
                  <c:v>2.2318599999999917</c:v>
                </c:pt>
                <c:pt idx="3">
                  <c:v>2.6194099999999967</c:v>
                </c:pt>
                <c:pt idx="4">
                  <c:v>2.9159099999999967</c:v>
                </c:pt>
                <c:pt idx="5">
                  <c:v>3.1485200000000084</c:v>
                </c:pt>
                <c:pt idx="6">
                  <c:v>3.335609999999988</c:v>
                </c:pt>
                <c:pt idx="7">
                  <c:v>3.48977</c:v>
                </c:pt>
                <c:pt idx="8">
                  <c:v>3.61972</c:v>
                </c:pt>
                <c:pt idx="9">
                  <c:v>3.7315800000000001</c:v>
                </c:pt>
                <c:pt idx="10">
                  <c:v>3.82972</c:v>
                </c:pt>
                <c:pt idx="11">
                  <c:v>3.9172699999999967</c:v>
                </c:pt>
                <c:pt idx="12">
                  <c:v>3.9965099999999967</c:v>
                </c:pt>
                <c:pt idx="13">
                  <c:v>4.0690999999999997</c:v>
                </c:pt>
                <c:pt idx="14">
                  <c:v>4.1362800000000002</c:v>
                </c:pt>
                <c:pt idx="15">
                  <c:v>4.1989799999999855</c:v>
                </c:pt>
                <c:pt idx="16">
                  <c:v>4.2578899999999855</c:v>
                </c:pt>
                <c:pt idx="17">
                  <c:v>4.3135399999999855</c:v>
                </c:pt>
                <c:pt idx="18">
                  <c:v>4.36632</c:v>
                </c:pt>
                <c:pt idx="19">
                  <c:v>4.41655</c:v>
                </c:pt>
                <c:pt idx="20">
                  <c:v>4.4644799999999965</c:v>
                </c:pt>
                <c:pt idx="21">
                  <c:v>4.5103099999999996</c:v>
                </c:pt>
                <c:pt idx="22">
                  <c:v>4.5541899999999798</c:v>
                </c:pt>
                <c:pt idx="23">
                  <c:v>4.5962500000000004</c:v>
                </c:pt>
                <c:pt idx="24">
                  <c:v>4.6366100000000001</c:v>
                </c:pt>
                <c:pt idx="25">
                  <c:v>4.6753600000000004</c:v>
                </c:pt>
                <c:pt idx="26">
                  <c:v>4.7125899999999845</c:v>
                </c:pt>
                <c:pt idx="27">
                  <c:v>4.7483599999999999</c:v>
                </c:pt>
                <c:pt idx="28">
                  <c:v>4.7827599999999997</c:v>
                </c:pt>
                <c:pt idx="29">
                  <c:v>4.8158299999999965</c:v>
                </c:pt>
                <c:pt idx="30">
                  <c:v>4.8476299999999997</c:v>
                </c:pt>
                <c:pt idx="31">
                  <c:v>4.8782300000000003</c:v>
                </c:pt>
                <c:pt idx="32">
                  <c:v>4.9076700000000004</c:v>
                </c:pt>
                <c:pt idx="33">
                  <c:v>4.9360100000000013</c:v>
                </c:pt>
                <c:pt idx="34">
                  <c:v>4.9632800000000001</c:v>
                </c:pt>
                <c:pt idx="35">
                  <c:v>4.9895300000000002</c:v>
                </c:pt>
                <c:pt idx="36">
                  <c:v>5.0148099999999856</c:v>
                </c:pt>
                <c:pt idx="37">
                  <c:v>5.0391500000000002</c:v>
                </c:pt>
                <c:pt idx="38">
                  <c:v>5.0626099999999985</c:v>
                </c:pt>
                <c:pt idx="39">
                  <c:v>5.08521</c:v>
                </c:pt>
                <c:pt idx="40">
                  <c:v>5.1069899999999855</c:v>
                </c:pt>
                <c:pt idx="41">
                  <c:v>5.1279899999999685</c:v>
                </c:pt>
                <c:pt idx="42">
                  <c:v>5.14825</c:v>
                </c:pt>
                <c:pt idx="43">
                  <c:v>5.1677899999999779</c:v>
                </c:pt>
                <c:pt idx="44">
                  <c:v>5.1866500000000002</c:v>
                </c:pt>
                <c:pt idx="45">
                  <c:v>5.2048699999999997</c:v>
                </c:pt>
                <c:pt idx="46">
                  <c:v>5.2224599999999946</c:v>
                </c:pt>
                <c:pt idx="47">
                  <c:v>5.2394700000000034</c:v>
                </c:pt>
                <c:pt idx="48">
                  <c:v>5.2559099999999965</c:v>
                </c:pt>
                <c:pt idx="49">
                  <c:v>5.2718200000000124</c:v>
                </c:pt>
                <c:pt idx="50">
                  <c:v>5.2872300000000001</c:v>
                </c:pt>
                <c:pt idx="51">
                  <c:v>5.3021499999999975</c:v>
                </c:pt>
                <c:pt idx="52">
                  <c:v>5.3166099999999998</c:v>
                </c:pt>
                <c:pt idx="53">
                  <c:v>5.3306300000000002</c:v>
                </c:pt>
                <c:pt idx="54">
                  <c:v>5.3442400000000001</c:v>
                </c:pt>
                <c:pt idx="55">
                  <c:v>5.3574599999999855</c:v>
                </c:pt>
                <c:pt idx="56">
                  <c:v>5.3703099999999999</c:v>
                </c:pt>
                <c:pt idx="57">
                  <c:v>5.3828099999999965</c:v>
                </c:pt>
                <c:pt idx="58">
                  <c:v>5.3949699999999945</c:v>
                </c:pt>
                <c:pt idx="59">
                  <c:v>5.4068199999999997</c:v>
                </c:pt>
                <c:pt idx="60">
                  <c:v>5.4183700000000004</c:v>
                </c:pt>
                <c:pt idx="61">
                  <c:v>5.4296400000000133</c:v>
                </c:pt>
                <c:pt idx="62">
                  <c:v>5.4406500000000024</c:v>
                </c:pt>
                <c:pt idx="63">
                  <c:v>5.4514100000000001</c:v>
                </c:pt>
                <c:pt idx="64">
                  <c:v>5.4619400000000002</c:v>
                </c:pt>
                <c:pt idx="65">
                  <c:v>5.4722500000000034</c:v>
                </c:pt>
                <c:pt idx="66">
                  <c:v>5.4823399999999998</c:v>
                </c:pt>
                <c:pt idx="67">
                  <c:v>5.4922500000000003</c:v>
                </c:pt>
                <c:pt idx="68">
                  <c:v>5.50197</c:v>
                </c:pt>
                <c:pt idx="69">
                  <c:v>5.51152</c:v>
                </c:pt>
                <c:pt idx="70">
                  <c:v>5.5209199999999798</c:v>
                </c:pt>
                <c:pt idx="71">
                  <c:v>5.5301600000000004</c:v>
                </c:pt>
                <c:pt idx="72">
                  <c:v>5.5392700000000179</c:v>
                </c:pt>
                <c:pt idx="73">
                  <c:v>5.5482399999999998</c:v>
                </c:pt>
                <c:pt idx="74">
                  <c:v>5.5570999999999975</c:v>
                </c:pt>
                <c:pt idx="75">
                  <c:v>5.5658399999999855</c:v>
                </c:pt>
                <c:pt idx="76">
                  <c:v>5.5744799999999985</c:v>
                </c:pt>
                <c:pt idx="77">
                  <c:v>5.5830200000000003</c:v>
                </c:pt>
                <c:pt idx="78">
                  <c:v>5.5914700000000002</c:v>
                </c:pt>
                <c:pt idx="79">
                  <c:v>5.5998400000000004</c:v>
                </c:pt>
                <c:pt idx="80">
                  <c:v>5.6081299999999965</c:v>
                </c:pt>
                <c:pt idx="81">
                  <c:v>5.6163600000000002</c:v>
                </c:pt>
                <c:pt idx="82">
                  <c:v>5.6245199999999667</c:v>
                </c:pt>
                <c:pt idx="83">
                  <c:v>5.6326200000000002</c:v>
                </c:pt>
                <c:pt idx="84">
                  <c:v>5.6406599999999996</c:v>
                </c:pt>
                <c:pt idx="85">
                  <c:v>5.6486499999999999</c:v>
                </c:pt>
                <c:pt idx="86">
                  <c:v>5.6566000000000001</c:v>
                </c:pt>
                <c:pt idx="87">
                  <c:v>5.6645099999999742</c:v>
                </c:pt>
                <c:pt idx="88">
                  <c:v>5.6723799999999995</c:v>
                </c:pt>
                <c:pt idx="89">
                  <c:v>5.6802200000000003</c:v>
                </c:pt>
                <c:pt idx="90">
                  <c:v>5.6880199999999945</c:v>
                </c:pt>
                <c:pt idx="91">
                  <c:v>5.6957999999999975</c:v>
                </c:pt>
                <c:pt idx="92">
                  <c:v>5.7035499999999999</c:v>
                </c:pt>
                <c:pt idx="93">
                  <c:v>5.7112800000000004</c:v>
                </c:pt>
                <c:pt idx="94">
                  <c:v>5.7189899999999945</c:v>
                </c:pt>
                <c:pt idx="95">
                  <c:v>5.72668</c:v>
                </c:pt>
                <c:pt idx="96">
                  <c:v>5.7343500000000001</c:v>
                </c:pt>
                <c:pt idx="97">
                  <c:v>5.7420099999999996</c:v>
                </c:pt>
                <c:pt idx="98">
                  <c:v>5.7496600000000218</c:v>
                </c:pt>
                <c:pt idx="99">
                  <c:v>5.7572999999999999</c:v>
                </c:pt>
                <c:pt idx="100">
                  <c:v>5.7649299999999855</c:v>
                </c:pt>
                <c:pt idx="101">
                  <c:v>5.7725499999999998</c:v>
                </c:pt>
                <c:pt idx="102">
                  <c:v>5.7801600000000004</c:v>
                </c:pt>
                <c:pt idx="103">
                  <c:v>5.7877599999999996</c:v>
                </c:pt>
                <c:pt idx="104">
                  <c:v>5.7953599999999996</c:v>
                </c:pt>
                <c:pt idx="105">
                  <c:v>5.8029599999999855</c:v>
                </c:pt>
                <c:pt idx="106">
                  <c:v>5.8105499999999966</c:v>
                </c:pt>
                <c:pt idx="107">
                  <c:v>5.8181399999999845</c:v>
                </c:pt>
                <c:pt idx="108">
                  <c:v>5.8257299999999965</c:v>
                </c:pt>
                <c:pt idx="109">
                  <c:v>5.83331</c:v>
                </c:pt>
                <c:pt idx="110">
                  <c:v>5.8408899999999955</c:v>
                </c:pt>
                <c:pt idx="111">
                  <c:v>5.8484699999999998</c:v>
                </c:pt>
                <c:pt idx="112">
                  <c:v>5.8560499999999998</c:v>
                </c:pt>
                <c:pt idx="113">
                  <c:v>5.8636299999999997</c:v>
                </c:pt>
                <c:pt idx="114">
                  <c:v>5.8712100000000014</c:v>
                </c:pt>
                <c:pt idx="115">
                  <c:v>5.8787900000000004</c:v>
                </c:pt>
                <c:pt idx="116">
                  <c:v>5.8863599999999998</c:v>
                </c:pt>
                <c:pt idx="117">
                  <c:v>5.8939399999999855</c:v>
                </c:pt>
                <c:pt idx="118">
                  <c:v>5.90151</c:v>
                </c:pt>
                <c:pt idx="119">
                  <c:v>5.9090900000000124</c:v>
                </c:pt>
                <c:pt idx="120">
                  <c:v>5.9166700000000034</c:v>
                </c:pt>
                <c:pt idx="121">
                  <c:v>5.9242400000000002</c:v>
                </c:pt>
                <c:pt idx="122">
                  <c:v>5.9318200000000134</c:v>
                </c:pt>
                <c:pt idx="123">
                  <c:v>5.9393900000000199</c:v>
                </c:pt>
                <c:pt idx="124">
                  <c:v>5.9469700000000003</c:v>
                </c:pt>
                <c:pt idx="125">
                  <c:v>5.9545499999999985</c:v>
                </c:pt>
                <c:pt idx="126">
                  <c:v>5.9621199999999845</c:v>
                </c:pt>
                <c:pt idx="127">
                  <c:v>5.9697000000000013</c:v>
                </c:pt>
                <c:pt idx="128">
                  <c:v>5.9772700000000034</c:v>
                </c:pt>
                <c:pt idx="129">
                  <c:v>5.9848499999999998</c:v>
                </c:pt>
                <c:pt idx="130">
                  <c:v>5.9924200000000001</c:v>
                </c:pt>
                <c:pt idx="131">
                  <c:v>6</c:v>
                </c:pt>
              </c:numCache>
            </c:numRef>
          </c:yVal>
          <c:smooth val="1"/>
        </c:ser>
        <c:dLbls>
          <c:showLegendKey val="0"/>
          <c:showVal val="0"/>
          <c:showCatName val="0"/>
          <c:showSerName val="0"/>
          <c:showPercent val="0"/>
          <c:showBubbleSize val="0"/>
        </c:dLbls>
        <c:axId val="-636099120"/>
        <c:axId val="-636102928"/>
      </c:scatterChart>
      <c:valAx>
        <c:axId val="-636099120"/>
        <c:scaling>
          <c:orientation val="minMax"/>
        </c:scaling>
        <c:delete val="0"/>
        <c:axPos val="b"/>
        <c:title>
          <c:tx>
            <c:rich>
              <a:bodyPr/>
              <a:lstStyle/>
              <a:p>
                <a:pPr>
                  <a:defRPr sz="1000" b="1" i="0" u="none" strike="noStrike" baseline="0">
                    <a:solidFill>
                      <a:srgbClr val="000000"/>
                    </a:solidFill>
                    <a:latin typeface="Arial"/>
                    <a:ea typeface="Arial"/>
                    <a:cs typeface="Arial"/>
                  </a:defRPr>
                </a:pPr>
                <a:r>
                  <a:rPr lang="en-US"/>
                  <a:t>Número de indivíduos</a:t>
                </a:r>
              </a:p>
            </c:rich>
          </c:tx>
          <c:layout>
            <c:manualLayout>
              <c:xMode val="edge"/>
              <c:yMode val="edge"/>
              <c:x val="0.40354172841700403"/>
              <c:y val="0.8798209747591111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pt-BR"/>
          </a:p>
        </c:txPr>
        <c:crossAx val="-636102928"/>
        <c:crosses val="autoZero"/>
        <c:crossBetween val="midCat"/>
      </c:valAx>
      <c:valAx>
        <c:axId val="-636102928"/>
        <c:scaling>
          <c:orientation val="minMax"/>
          <c:max val="10"/>
          <c:min val="0"/>
        </c:scaling>
        <c:delete val="0"/>
        <c:axPos val="l"/>
        <c:title>
          <c:tx>
            <c:rich>
              <a:bodyPr/>
              <a:lstStyle/>
              <a:p>
                <a:pPr>
                  <a:defRPr sz="1000" b="1" i="0" u="none" strike="noStrike" baseline="0">
                    <a:solidFill>
                      <a:srgbClr val="000000"/>
                    </a:solidFill>
                    <a:latin typeface="Arial"/>
                    <a:ea typeface="Arial"/>
                    <a:cs typeface="Arial"/>
                  </a:defRPr>
                </a:pPr>
                <a:r>
                  <a:rPr lang="en-US"/>
                  <a:t>Número de espécies</a:t>
                </a:r>
              </a:p>
            </c:rich>
          </c:tx>
          <c:layout>
            <c:manualLayout>
              <c:xMode val="edge"/>
              <c:yMode val="edge"/>
              <c:x val="2.7107066008694811E-2"/>
              <c:y val="0.2366437528642261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pt-BR"/>
          </a:p>
        </c:txPr>
        <c:crossAx val="-636099120"/>
        <c:crosses val="autoZero"/>
        <c:crossBetween val="midCat"/>
        <c:majorUnit val="1"/>
        <c:minorUnit val="1"/>
      </c:valAx>
      <c:spPr>
        <a:noFill/>
        <a:ln w="25400">
          <a:noFill/>
        </a:ln>
      </c:spPr>
    </c:plotArea>
    <c:plotVisOnly val="1"/>
    <c:dispBlanksAs val="gap"/>
    <c:showDLblsOverMax val="0"/>
  </c:chart>
  <c:spPr>
    <a:noFill/>
    <a:ln w="9525">
      <a:noFill/>
    </a:ln>
  </c:spPr>
  <c:txPr>
    <a:bodyPr/>
    <a:lstStyle/>
    <a:p>
      <a:pPr>
        <a:defRPr sz="1000" b="0" i="0" u="none" strike="noStrike" baseline="0">
          <a:solidFill>
            <a:srgbClr val="000000"/>
          </a:solidFill>
          <a:latin typeface="Arial"/>
          <a:ea typeface="Arial"/>
          <a:cs typeface="Arial"/>
        </a:defRPr>
      </a:pPr>
      <a:endParaRPr lang="pt-BR"/>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solidFill>
                  <a:sysClr val="windowText" lastClr="000000"/>
                </a:solidFill>
              </a:rPr>
              <a:t>F33</a:t>
            </a:r>
          </a:p>
        </c:rich>
      </c:tx>
      <c:overlay val="0"/>
      <c:spPr>
        <a:noFill/>
        <a:ln>
          <a:noFill/>
        </a:ln>
        <a:effectLst/>
      </c:spPr>
    </c:title>
    <c:autoTitleDeleted val="0"/>
    <c:plotArea>
      <c:layout/>
      <c:lineChart>
        <c:grouping val="standard"/>
        <c:varyColors val="0"/>
        <c:ser>
          <c:idx val="0"/>
          <c:order val="0"/>
          <c:tx>
            <c:strRef>
              <c:f>Plan4!$B$66</c:f>
              <c:strCache>
                <c:ptCount val="1"/>
                <c:pt idx="0">
                  <c:v>F33</c:v>
                </c:pt>
              </c:strCache>
            </c:strRef>
          </c:tx>
          <c:spPr>
            <a:ln w="6350" cap="rnd">
              <a:solidFill>
                <a:schemeClr val="accent1"/>
              </a:solidFill>
              <a:round/>
            </a:ln>
            <a:effectLst/>
          </c:spPr>
          <c:marker>
            <c:symbol val="circle"/>
            <c:size val="5"/>
            <c:spPr>
              <a:solidFill>
                <a:schemeClr val="accent1"/>
              </a:solidFill>
              <a:ln w="6350">
                <a:solidFill>
                  <a:schemeClr val="accent1"/>
                </a:solidFill>
              </a:ln>
              <a:effectLst/>
            </c:spPr>
          </c:marker>
          <c:cat>
            <c:strRef>
              <c:f>Plan4!$A$67:$A$78</c:f>
              <c:strCache>
                <c:ptCount val="12"/>
                <c:pt idx="0">
                  <c:v>15 min.</c:v>
                </c:pt>
                <c:pt idx="1">
                  <c:v>30 min.</c:v>
                </c:pt>
                <c:pt idx="2">
                  <c:v>45 min.</c:v>
                </c:pt>
                <c:pt idx="3">
                  <c:v>60 min.</c:v>
                </c:pt>
                <c:pt idx="4">
                  <c:v>75 min.</c:v>
                </c:pt>
                <c:pt idx="5">
                  <c:v>90 min.</c:v>
                </c:pt>
                <c:pt idx="6">
                  <c:v>105 min.</c:v>
                </c:pt>
                <c:pt idx="7">
                  <c:v>120 min.</c:v>
                </c:pt>
                <c:pt idx="8">
                  <c:v>135 min.</c:v>
                </c:pt>
                <c:pt idx="9">
                  <c:v>150 min.</c:v>
                </c:pt>
                <c:pt idx="10">
                  <c:v>165 min.</c:v>
                </c:pt>
                <c:pt idx="11">
                  <c:v>180 min.</c:v>
                </c:pt>
              </c:strCache>
            </c:strRef>
          </c:cat>
          <c:val>
            <c:numRef>
              <c:f>Plan4!$B$67:$B$78</c:f>
              <c:numCache>
                <c:formatCode>General</c:formatCode>
                <c:ptCount val="12"/>
                <c:pt idx="0">
                  <c:v>10</c:v>
                </c:pt>
                <c:pt idx="1">
                  <c:v>23</c:v>
                </c:pt>
                <c:pt idx="2">
                  <c:v>32</c:v>
                </c:pt>
                <c:pt idx="3">
                  <c:v>40</c:v>
                </c:pt>
                <c:pt idx="4">
                  <c:v>46</c:v>
                </c:pt>
                <c:pt idx="5">
                  <c:v>52</c:v>
                </c:pt>
                <c:pt idx="6">
                  <c:v>59</c:v>
                </c:pt>
                <c:pt idx="7">
                  <c:v>65</c:v>
                </c:pt>
                <c:pt idx="8">
                  <c:v>69</c:v>
                </c:pt>
                <c:pt idx="9">
                  <c:v>71</c:v>
                </c:pt>
                <c:pt idx="10">
                  <c:v>74</c:v>
                </c:pt>
                <c:pt idx="11">
                  <c:v>76</c:v>
                </c:pt>
              </c:numCache>
            </c:numRef>
          </c:val>
          <c:smooth val="0"/>
        </c:ser>
        <c:dLbls>
          <c:showLegendKey val="0"/>
          <c:showVal val="0"/>
          <c:showCatName val="0"/>
          <c:showSerName val="0"/>
          <c:showPercent val="0"/>
          <c:showBubbleSize val="0"/>
        </c:dLbls>
        <c:marker val="1"/>
        <c:smooth val="0"/>
        <c:axId val="-1048262480"/>
        <c:axId val="-1048261936"/>
      </c:lineChart>
      <c:catAx>
        <c:axId val="-1048262480"/>
        <c:scaling>
          <c:orientation val="minMax"/>
        </c:scaling>
        <c:delete val="0"/>
        <c:axPos val="b"/>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pt-BR" sz="700">
                    <a:solidFill>
                      <a:sysClr val="windowText" lastClr="000000"/>
                    </a:solidFill>
                  </a:rPr>
                  <a:t>Tempo de amostragem</a:t>
                </a:r>
              </a:p>
            </c:rich>
          </c:tx>
          <c:layout>
            <c:manualLayout>
              <c:xMode val="edge"/>
              <c:yMode val="edge"/>
              <c:x val="0.63379803486103015"/>
              <c:y val="0.86079031787693205"/>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pt-BR"/>
          </a:p>
        </c:txPr>
        <c:crossAx val="-1048261936"/>
        <c:crosses val="autoZero"/>
        <c:auto val="1"/>
        <c:lblAlgn val="ctr"/>
        <c:lblOffset val="100"/>
        <c:noMultiLvlLbl val="0"/>
      </c:catAx>
      <c:valAx>
        <c:axId val="-10482619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r>
                  <a:rPr lang="pt-BR" sz="700">
                    <a:solidFill>
                      <a:sysClr val="windowText" lastClr="000000"/>
                    </a:solidFill>
                  </a:rPr>
                  <a:t>Nº de espécies</a:t>
                </a:r>
              </a:p>
            </c:rich>
          </c:tx>
          <c:layout>
            <c:manualLayout>
              <c:xMode val="edge"/>
              <c:yMode val="edge"/>
              <c:x val="3.4188034188034191E-2"/>
              <c:y val="0.17845413554075054"/>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pt-BR"/>
          </a:p>
        </c:txPr>
        <c:crossAx val="-10482624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pt-B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43660704911886139"/>
          <c:y val="4.3907793633369926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mn-lt"/>
              <a:ea typeface="+mn-ea"/>
              <a:cs typeface="+mn-cs"/>
            </a:defRPr>
          </a:pPr>
          <a:endParaRPr lang="pt-BR"/>
        </a:p>
      </c:txPr>
    </c:title>
    <c:autoTitleDeleted val="0"/>
    <c:plotArea>
      <c:layout/>
      <c:lineChart>
        <c:grouping val="standard"/>
        <c:varyColors val="0"/>
        <c:ser>
          <c:idx val="0"/>
          <c:order val="0"/>
          <c:tx>
            <c:strRef>
              <c:f>Plan4!$B$82</c:f>
              <c:strCache>
                <c:ptCount val="1"/>
                <c:pt idx="0">
                  <c:v>F37</c:v>
                </c:pt>
              </c:strCache>
            </c:strRef>
          </c:tx>
          <c:spPr>
            <a:ln w="6350" cap="rnd">
              <a:solidFill>
                <a:schemeClr val="accent1"/>
              </a:solidFill>
              <a:round/>
            </a:ln>
            <a:effectLst/>
          </c:spPr>
          <c:marker>
            <c:symbol val="circle"/>
            <c:size val="5"/>
            <c:spPr>
              <a:solidFill>
                <a:schemeClr val="accent1"/>
              </a:solidFill>
              <a:ln w="6350">
                <a:solidFill>
                  <a:schemeClr val="accent1"/>
                </a:solidFill>
              </a:ln>
              <a:effectLst/>
            </c:spPr>
          </c:marker>
          <c:cat>
            <c:strRef>
              <c:f>Plan4!$A$83:$A$94</c:f>
              <c:strCache>
                <c:ptCount val="12"/>
                <c:pt idx="0">
                  <c:v>15 min.</c:v>
                </c:pt>
                <c:pt idx="1">
                  <c:v>30 min.</c:v>
                </c:pt>
                <c:pt idx="2">
                  <c:v>45 min.</c:v>
                </c:pt>
                <c:pt idx="3">
                  <c:v>60 min.</c:v>
                </c:pt>
                <c:pt idx="4">
                  <c:v>75 min.</c:v>
                </c:pt>
                <c:pt idx="5">
                  <c:v>90 min.</c:v>
                </c:pt>
                <c:pt idx="6">
                  <c:v>105 min.</c:v>
                </c:pt>
                <c:pt idx="7">
                  <c:v>120 min.</c:v>
                </c:pt>
                <c:pt idx="8">
                  <c:v>135 min.</c:v>
                </c:pt>
                <c:pt idx="9">
                  <c:v>150 min.</c:v>
                </c:pt>
                <c:pt idx="10">
                  <c:v>165 min.</c:v>
                </c:pt>
                <c:pt idx="11">
                  <c:v>180 min.</c:v>
                </c:pt>
              </c:strCache>
            </c:strRef>
          </c:cat>
          <c:val>
            <c:numRef>
              <c:f>Plan4!$B$83:$B$94</c:f>
              <c:numCache>
                <c:formatCode>General</c:formatCode>
                <c:ptCount val="12"/>
                <c:pt idx="0">
                  <c:v>16</c:v>
                </c:pt>
                <c:pt idx="1">
                  <c:v>30</c:v>
                </c:pt>
                <c:pt idx="2">
                  <c:v>47</c:v>
                </c:pt>
                <c:pt idx="3">
                  <c:v>58</c:v>
                </c:pt>
                <c:pt idx="4">
                  <c:v>63</c:v>
                </c:pt>
                <c:pt idx="5">
                  <c:v>75</c:v>
                </c:pt>
                <c:pt idx="6">
                  <c:v>87</c:v>
                </c:pt>
                <c:pt idx="7">
                  <c:v>96</c:v>
                </c:pt>
                <c:pt idx="8">
                  <c:v>100</c:v>
                </c:pt>
                <c:pt idx="9">
                  <c:v>103</c:v>
                </c:pt>
                <c:pt idx="10">
                  <c:v>105</c:v>
                </c:pt>
                <c:pt idx="11">
                  <c:v>108</c:v>
                </c:pt>
              </c:numCache>
            </c:numRef>
          </c:val>
          <c:smooth val="0"/>
        </c:ser>
        <c:dLbls>
          <c:showLegendKey val="0"/>
          <c:showVal val="0"/>
          <c:showCatName val="0"/>
          <c:showSerName val="0"/>
          <c:showPercent val="0"/>
          <c:showBubbleSize val="0"/>
        </c:dLbls>
        <c:marker val="1"/>
        <c:smooth val="0"/>
        <c:axId val="-1048255952"/>
        <c:axId val="-1048259216"/>
      </c:lineChart>
      <c:catAx>
        <c:axId val="-1048255952"/>
        <c:scaling>
          <c:orientation val="minMax"/>
        </c:scaling>
        <c:delete val="0"/>
        <c:axPos val="b"/>
        <c:title>
          <c:tx>
            <c:rich>
              <a:bodyPr rot="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r>
                  <a:rPr lang="pt-BR" sz="700">
                    <a:solidFill>
                      <a:sysClr val="windowText" lastClr="000000"/>
                    </a:solidFill>
                  </a:rPr>
                  <a:t>Tempo</a:t>
                </a:r>
                <a:r>
                  <a:rPr lang="pt-BR" sz="700" baseline="0">
                    <a:solidFill>
                      <a:sysClr val="windowText" lastClr="000000"/>
                    </a:solidFill>
                  </a:rPr>
                  <a:t> de amostragem</a:t>
                </a:r>
                <a:endParaRPr lang="pt-BR" sz="700">
                  <a:solidFill>
                    <a:sysClr val="windowText" lastClr="000000"/>
                  </a:solidFill>
                </a:endParaRPr>
              </a:p>
            </c:rich>
          </c:tx>
          <c:layout>
            <c:manualLayout>
              <c:xMode val="edge"/>
              <c:yMode val="edge"/>
              <c:x val="0.60131533558305261"/>
              <c:y val="0.87409411364743306"/>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pt-BR"/>
          </a:p>
        </c:txPr>
        <c:crossAx val="-1048259216"/>
        <c:crosses val="autoZero"/>
        <c:auto val="1"/>
        <c:lblAlgn val="ctr"/>
        <c:lblOffset val="100"/>
        <c:noMultiLvlLbl val="0"/>
      </c:catAx>
      <c:valAx>
        <c:axId val="-10482592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r>
                  <a:rPr lang="pt-BR" sz="700">
                    <a:solidFill>
                      <a:sysClr val="windowText" lastClr="000000"/>
                    </a:solidFill>
                  </a:rPr>
                  <a:t>Nº de espécies</a:t>
                </a:r>
              </a:p>
            </c:rich>
          </c:tx>
          <c:layout>
            <c:manualLayout>
              <c:xMode val="edge"/>
              <c:yMode val="edge"/>
              <c:x val="2.3809523809523812E-2"/>
              <c:y val="0.1769484083424824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pt-BR"/>
          </a:p>
        </c:txPr>
        <c:crossAx val="-10482559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pt-B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a:solidFill>
                  <a:sysClr val="windowText" lastClr="000000"/>
                </a:solidFill>
              </a:rPr>
              <a:t>Nº de famílias e espécies registradas em ADA e AID</a:t>
            </a:r>
          </a:p>
        </c:rich>
      </c:tx>
      <c:layout>
        <c:manualLayout>
          <c:xMode val="edge"/>
          <c:yMode val="edge"/>
          <c:x val="0.16369818328043878"/>
          <c:y val="6.0185333976110117E-2"/>
        </c:manualLayout>
      </c:layout>
      <c:overlay val="0"/>
      <c:spPr>
        <a:noFill/>
        <a:ln>
          <a:noFill/>
        </a:ln>
        <a:effectLst/>
      </c:spPr>
    </c:title>
    <c:autoTitleDeleted val="0"/>
    <c:plotArea>
      <c:layout>
        <c:manualLayout>
          <c:layoutTarget val="inner"/>
          <c:xMode val="edge"/>
          <c:yMode val="edge"/>
          <c:x val="0.13344223993534163"/>
          <c:y val="0.18097222222222298"/>
          <c:w val="0.83877995161588292"/>
          <c:h val="0.58777346709212352"/>
        </c:manualLayout>
      </c:layout>
      <c:barChart>
        <c:barDir val="col"/>
        <c:grouping val="clustered"/>
        <c:varyColors val="0"/>
        <c:ser>
          <c:idx val="0"/>
          <c:order val="0"/>
          <c:tx>
            <c:strRef>
              <c:f>Plan19!$B$30</c:f>
              <c:strCache>
                <c:ptCount val="1"/>
                <c:pt idx="0">
                  <c:v>Nº de famílias</c:v>
                </c:pt>
              </c:strCache>
            </c:strRef>
          </c:tx>
          <c:spPr>
            <a:solidFill>
              <a:schemeClr val="accent1"/>
            </a:solidFill>
            <a:ln>
              <a:noFill/>
            </a:ln>
            <a:effectLst/>
          </c:spPr>
          <c:invertIfNegative val="0"/>
          <c:cat>
            <c:strRef>
              <c:f>Plan19!$A$31:$A$43</c:f>
              <c:strCache>
                <c:ptCount val="13"/>
                <c:pt idx="0">
                  <c:v>ANT</c:v>
                </c:pt>
                <c:pt idx="1">
                  <c:v>C\V</c:v>
                </c:pt>
                <c:pt idx="2">
                  <c:v>PI</c:v>
                </c:pt>
                <c:pt idx="3">
                  <c:v>FI</c:v>
                </c:pt>
                <c:pt idx="4">
                  <c:v>FM</c:v>
                </c:pt>
                <c:pt idx="5">
                  <c:v>FA</c:v>
                </c:pt>
                <c:pt idx="6">
                  <c:v>F3</c:v>
                </c:pt>
                <c:pt idx="7">
                  <c:v>F8</c:v>
                </c:pt>
                <c:pt idx="8">
                  <c:v>F24</c:v>
                </c:pt>
                <c:pt idx="9">
                  <c:v>F28</c:v>
                </c:pt>
                <c:pt idx="10">
                  <c:v>F33</c:v>
                </c:pt>
                <c:pt idx="11">
                  <c:v>F37</c:v>
                </c:pt>
                <c:pt idx="12">
                  <c:v>Total</c:v>
                </c:pt>
              </c:strCache>
            </c:strRef>
          </c:cat>
          <c:val>
            <c:numRef>
              <c:f>Plan19!$B$31:$B$43</c:f>
              <c:numCache>
                <c:formatCode>General</c:formatCode>
                <c:ptCount val="13"/>
                <c:pt idx="0">
                  <c:v>24</c:v>
                </c:pt>
                <c:pt idx="1">
                  <c:v>8</c:v>
                </c:pt>
                <c:pt idx="2">
                  <c:v>19</c:v>
                </c:pt>
                <c:pt idx="3">
                  <c:v>38</c:v>
                </c:pt>
                <c:pt idx="4">
                  <c:v>60</c:v>
                </c:pt>
                <c:pt idx="5">
                  <c:v>58</c:v>
                </c:pt>
                <c:pt idx="6">
                  <c:v>30</c:v>
                </c:pt>
                <c:pt idx="7">
                  <c:v>33</c:v>
                </c:pt>
                <c:pt idx="8">
                  <c:v>25</c:v>
                </c:pt>
                <c:pt idx="9">
                  <c:v>20</c:v>
                </c:pt>
                <c:pt idx="10">
                  <c:v>27</c:v>
                </c:pt>
                <c:pt idx="11">
                  <c:v>36</c:v>
                </c:pt>
                <c:pt idx="12">
                  <c:v>70</c:v>
                </c:pt>
              </c:numCache>
            </c:numRef>
          </c:val>
        </c:ser>
        <c:ser>
          <c:idx val="1"/>
          <c:order val="1"/>
          <c:tx>
            <c:strRef>
              <c:f>Plan19!$C$30</c:f>
              <c:strCache>
                <c:ptCount val="1"/>
                <c:pt idx="0">
                  <c:v>Nº de espécies</c:v>
                </c:pt>
              </c:strCache>
            </c:strRef>
          </c:tx>
          <c:spPr>
            <a:solidFill>
              <a:schemeClr val="accent2"/>
            </a:solidFill>
            <a:ln>
              <a:noFill/>
            </a:ln>
            <a:effectLst/>
          </c:spPr>
          <c:invertIfNegative val="0"/>
          <c:cat>
            <c:strRef>
              <c:f>Plan19!$A$31:$A$43</c:f>
              <c:strCache>
                <c:ptCount val="13"/>
                <c:pt idx="0">
                  <c:v>ANT</c:v>
                </c:pt>
                <c:pt idx="1">
                  <c:v>C\V</c:v>
                </c:pt>
                <c:pt idx="2">
                  <c:v>PI</c:v>
                </c:pt>
                <c:pt idx="3">
                  <c:v>FI</c:v>
                </c:pt>
                <c:pt idx="4">
                  <c:v>FM</c:v>
                </c:pt>
                <c:pt idx="5">
                  <c:v>FA</c:v>
                </c:pt>
                <c:pt idx="6">
                  <c:v>F3</c:v>
                </c:pt>
                <c:pt idx="7">
                  <c:v>F8</c:v>
                </c:pt>
                <c:pt idx="8">
                  <c:v>F24</c:v>
                </c:pt>
                <c:pt idx="9">
                  <c:v>F28</c:v>
                </c:pt>
                <c:pt idx="10">
                  <c:v>F33</c:v>
                </c:pt>
                <c:pt idx="11">
                  <c:v>F37</c:v>
                </c:pt>
                <c:pt idx="12">
                  <c:v>Total</c:v>
                </c:pt>
              </c:strCache>
            </c:strRef>
          </c:cat>
          <c:val>
            <c:numRef>
              <c:f>Plan19!$C$31:$C$43</c:f>
              <c:numCache>
                <c:formatCode>General</c:formatCode>
                <c:ptCount val="13"/>
                <c:pt idx="0">
                  <c:v>51</c:v>
                </c:pt>
                <c:pt idx="1">
                  <c:v>11</c:v>
                </c:pt>
                <c:pt idx="2">
                  <c:v>33</c:v>
                </c:pt>
                <c:pt idx="3">
                  <c:v>107</c:v>
                </c:pt>
                <c:pt idx="4">
                  <c:v>277</c:v>
                </c:pt>
                <c:pt idx="5">
                  <c:v>210</c:v>
                </c:pt>
                <c:pt idx="6">
                  <c:v>61</c:v>
                </c:pt>
                <c:pt idx="7">
                  <c:v>91</c:v>
                </c:pt>
                <c:pt idx="8">
                  <c:v>60</c:v>
                </c:pt>
                <c:pt idx="9">
                  <c:v>93</c:v>
                </c:pt>
                <c:pt idx="10">
                  <c:v>75</c:v>
                </c:pt>
                <c:pt idx="11">
                  <c:v>107</c:v>
                </c:pt>
                <c:pt idx="12">
                  <c:v>365</c:v>
                </c:pt>
              </c:numCache>
            </c:numRef>
          </c:val>
        </c:ser>
        <c:dLbls>
          <c:showLegendKey val="0"/>
          <c:showVal val="0"/>
          <c:showCatName val="0"/>
          <c:showSerName val="0"/>
          <c:showPercent val="0"/>
          <c:showBubbleSize val="0"/>
        </c:dLbls>
        <c:gapWidth val="219"/>
        <c:overlap val="-27"/>
        <c:axId val="-1048254864"/>
        <c:axId val="-1048253776"/>
      </c:barChart>
      <c:catAx>
        <c:axId val="-10482548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t-BR"/>
                  <a:t>Local</a:t>
                </a:r>
                <a:r>
                  <a:rPr lang="pt-BR" baseline="0"/>
                  <a:t> de amostragem</a:t>
                </a:r>
                <a:endParaRPr lang="pt-BR"/>
              </a:p>
            </c:rich>
          </c:tx>
          <c:layout>
            <c:manualLayout>
              <c:xMode val="edge"/>
              <c:yMode val="edge"/>
              <c:x val="0.75478366452497492"/>
              <c:y val="0.86669819333808396"/>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048253776"/>
        <c:crosses val="autoZero"/>
        <c:auto val="1"/>
        <c:lblAlgn val="ctr"/>
        <c:lblOffset val="100"/>
        <c:noMultiLvlLbl val="0"/>
      </c:catAx>
      <c:valAx>
        <c:axId val="-1048253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t-BR"/>
                  <a:t>Nº de famílias e de espécies</a:t>
                </a:r>
              </a:p>
            </c:rich>
          </c:tx>
          <c:layout>
            <c:manualLayout>
              <c:xMode val="edge"/>
              <c:yMode val="edge"/>
              <c:x val="1.9544116007062292E-2"/>
              <c:y val="0.16158398567525997"/>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048254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Classes sucessionais</a:t>
            </a:r>
          </a:p>
        </c:rich>
      </c:tx>
      <c:overlay val="0"/>
      <c:spPr>
        <a:noFill/>
        <a:ln>
          <a:noFill/>
        </a:ln>
        <a:effectLst/>
      </c:spPr>
    </c:title>
    <c:autoTitleDeleted val="0"/>
    <c:plotArea>
      <c:layout/>
      <c:barChart>
        <c:barDir val="col"/>
        <c:grouping val="clustered"/>
        <c:varyColors val="0"/>
        <c:ser>
          <c:idx val="0"/>
          <c:order val="0"/>
          <c:tx>
            <c:strRef>
              <c:f>Plan19!$L$47</c:f>
              <c:strCache>
                <c:ptCount val="1"/>
                <c:pt idx="0">
                  <c:v>Pi</c:v>
                </c:pt>
              </c:strCache>
            </c:strRef>
          </c:tx>
          <c:spPr>
            <a:solidFill>
              <a:schemeClr val="accent1"/>
            </a:solidFill>
            <a:ln>
              <a:noFill/>
            </a:ln>
            <a:effectLst/>
          </c:spPr>
          <c:invertIfNegative val="0"/>
          <c:cat>
            <c:strRef>
              <c:f>Plan19!$K$48:$K$53</c:f>
              <c:strCache>
                <c:ptCount val="6"/>
                <c:pt idx="0">
                  <c:v>ANT</c:v>
                </c:pt>
                <c:pt idx="1">
                  <c:v>C\V</c:v>
                </c:pt>
                <c:pt idx="2">
                  <c:v>PI</c:v>
                </c:pt>
                <c:pt idx="3">
                  <c:v>FI</c:v>
                </c:pt>
                <c:pt idx="4">
                  <c:v>FM</c:v>
                </c:pt>
                <c:pt idx="5">
                  <c:v>FA</c:v>
                </c:pt>
              </c:strCache>
            </c:strRef>
          </c:cat>
          <c:val>
            <c:numRef>
              <c:f>Plan19!$L$48:$L$53</c:f>
              <c:numCache>
                <c:formatCode>General</c:formatCode>
                <c:ptCount val="6"/>
                <c:pt idx="0">
                  <c:v>20</c:v>
                </c:pt>
                <c:pt idx="1">
                  <c:v>6</c:v>
                </c:pt>
                <c:pt idx="2">
                  <c:v>19</c:v>
                </c:pt>
                <c:pt idx="3">
                  <c:v>27</c:v>
                </c:pt>
                <c:pt idx="4">
                  <c:v>18</c:v>
                </c:pt>
                <c:pt idx="5">
                  <c:v>9</c:v>
                </c:pt>
              </c:numCache>
            </c:numRef>
          </c:val>
        </c:ser>
        <c:ser>
          <c:idx val="1"/>
          <c:order val="1"/>
          <c:tx>
            <c:strRef>
              <c:f>Plan19!$M$47</c:f>
              <c:strCache>
                <c:ptCount val="1"/>
                <c:pt idx="0">
                  <c:v>Si</c:v>
                </c:pt>
              </c:strCache>
            </c:strRef>
          </c:tx>
          <c:spPr>
            <a:solidFill>
              <a:schemeClr val="accent2"/>
            </a:solidFill>
            <a:ln>
              <a:noFill/>
            </a:ln>
            <a:effectLst/>
          </c:spPr>
          <c:invertIfNegative val="0"/>
          <c:cat>
            <c:strRef>
              <c:f>Plan19!$K$48:$K$53</c:f>
              <c:strCache>
                <c:ptCount val="6"/>
                <c:pt idx="0">
                  <c:v>ANT</c:v>
                </c:pt>
                <c:pt idx="1">
                  <c:v>C\V</c:v>
                </c:pt>
                <c:pt idx="2">
                  <c:v>PI</c:v>
                </c:pt>
                <c:pt idx="3">
                  <c:v>FI</c:v>
                </c:pt>
                <c:pt idx="4">
                  <c:v>FM</c:v>
                </c:pt>
                <c:pt idx="5">
                  <c:v>FA</c:v>
                </c:pt>
              </c:strCache>
            </c:strRef>
          </c:cat>
          <c:val>
            <c:numRef>
              <c:f>Plan19!$M$48:$M$53</c:f>
              <c:numCache>
                <c:formatCode>General</c:formatCode>
                <c:ptCount val="6"/>
                <c:pt idx="0">
                  <c:v>12</c:v>
                </c:pt>
                <c:pt idx="1">
                  <c:v>0</c:v>
                </c:pt>
                <c:pt idx="2">
                  <c:v>1</c:v>
                </c:pt>
                <c:pt idx="3">
                  <c:v>40</c:v>
                </c:pt>
                <c:pt idx="4">
                  <c:v>88</c:v>
                </c:pt>
                <c:pt idx="5">
                  <c:v>52</c:v>
                </c:pt>
              </c:numCache>
            </c:numRef>
          </c:val>
        </c:ser>
        <c:ser>
          <c:idx val="2"/>
          <c:order val="2"/>
          <c:tx>
            <c:strRef>
              <c:f>Plan19!$N$47</c:f>
              <c:strCache>
                <c:ptCount val="1"/>
                <c:pt idx="0">
                  <c:v>St</c:v>
                </c:pt>
              </c:strCache>
            </c:strRef>
          </c:tx>
          <c:spPr>
            <a:solidFill>
              <a:schemeClr val="accent3"/>
            </a:solidFill>
            <a:ln>
              <a:noFill/>
            </a:ln>
            <a:effectLst/>
          </c:spPr>
          <c:invertIfNegative val="0"/>
          <c:cat>
            <c:strRef>
              <c:f>Plan19!$K$48:$K$53</c:f>
              <c:strCache>
                <c:ptCount val="6"/>
                <c:pt idx="0">
                  <c:v>ANT</c:v>
                </c:pt>
                <c:pt idx="1">
                  <c:v>C\V</c:v>
                </c:pt>
                <c:pt idx="2">
                  <c:v>PI</c:v>
                </c:pt>
                <c:pt idx="3">
                  <c:v>FI</c:v>
                </c:pt>
                <c:pt idx="4">
                  <c:v>FM</c:v>
                </c:pt>
                <c:pt idx="5">
                  <c:v>FA</c:v>
                </c:pt>
              </c:strCache>
            </c:strRef>
          </c:cat>
          <c:val>
            <c:numRef>
              <c:f>Plan19!$N$48:$N$53</c:f>
              <c:numCache>
                <c:formatCode>General</c:formatCode>
                <c:ptCount val="6"/>
                <c:pt idx="0">
                  <c:v>2</c:v>
                </c:pt>
                <c:pt idx="1">
                  <c:v>1</c:v>
                </c:pt>
                <c:pt idx="2">
                  <c:v>0</c:v>
                </c:pt>
                <c:pt idx="3">
                  <c:v>3</c:v>
                </c:pt>
                <c:pt idx="4">
                  <c:v>37</c:v>
                </c:pt>
                <c:pt idx="5">
                  <c:v>54</c:v>
                </c:pt>
              </c:numCache>
            </c:numRef>
          </c:val>
        </c:ser>
        <c:ser>
          <c:idx val="3"/>
          <c:order val="3"/>
          <c:tx>
            <c:strRef>
              <c:f>Plan19!$O$47</c:f>
              <c:strCache>
                <c:ptCount val="1"/>
                <c:pt idx="0">
                  <c:v>Sb</c:v>
                </c:pt>
              </c:strCache>
            </c:strRef>
          </c:tx>
          <c:spPr>
            <a:solidFill>
              <a:schemeClr val="accent4"/>
            </a:solidFill>
            <a:ln>
              <a:noFill/>
            </a:ln>
            <a:effectLst/>
          </c:spPr>
          <c:invertIfNegative val="0"/>
          <c:cat>
            <c:strRef>
              <c:f>Plan19!$K$48:$K$53</c:f>
              <c:strCache>
                <c:ptCount val="6"/>
                <c:pt idx="0">
                  <c:v>ANT</c:v>
                </c:pt>
                <c:pt idx="1">
                  <c:v>C\V</c:v>
                </c:pt>
                <c:pt idx="2">
                  <c:v>PI</c:v>
                </c:pt>
                <c:pt idx="3">
                  <c:v>FI</c:v>
                </c:pt>
                <c:pt idx="4">
                  <c:v>FM</c:v>
                </c:pt>
                <c:pt idx="5">
                  <c:v>FA</c:v>
                </c:pt>
              </c:strCache>
            </c:strRef>
          </c:cat>
          <c:val>
            <c:numRef>
              <c:f>Plan19!$O$48:$O$53</c:f>
              <c:numCache>
                <c:formatCode>General</c:formatCode>
                <c:ptCount val="6"/>
                <c:pt idx="0">
                  <c:v>1</c:v>
                </c:pt>
                <c:pt idx="1">
                  <c:v>0</c:v>
                </c:pt>
                <c:pt idx="2">
                  <c:v>1</c:v>
                </c:pt>
                <c:pt idx="3">
                  <c:v>23</c:v>
                </c:pt>
                <c:pt idx="4">
                  <c:v>90</c:v>
                </c:pt>
                <c:pt idx="5">
                  <c:v>71</c:v>
                </c:pt>
              </c:numCache>
            </c:numRef>
          </c:val>
        </c:ser>
        <c:ser>
          <c:idx val="4"/>
          <c:order val="4"/>
          <c:tx>
            <c:strRef>
              <c:f>Plan19!$P$47</c:f>
              <c:strCache>
                <c:ptCount val="1"/>
                <c:pt idx="0">
                  <c:v>Ex</c:v>
                </c:pt>
              </c:strCache>
            </c:strRef>
          </c:tx>
          <c:spPr>
            <a:solidFill>
              <a:schemeClr val="accent5"/>
            </a:solidFill>
            <a:ln>
              <a:noFill/>
            </a:ln>
            <a:effectLst/>
          </c:spPr>
          <c:invertIfNegative val="0"/>
          <c:cat>
            <c:strRef>
              <c:f>Plan19!$K$48:$K$53</c:f>
              <c:strCache>
                <c:ptCount val="6"/>
                <c:pt idx="0">
                  <c:v>ANT</c:v>
                </c:pt>
                <c:pt idx="1">
                  <c:v>C\V</c:v>
                </c:pt>
                <c:pt idx="2">
                  <c:v>PI</c:v>
                </c:pt>
                <c:pt idx="3">
                  <c:v>FI</c:v>
                </c:pt>
                <c:pt idx="4">
                  <c:v>FM</c:v>
                </c:pt>
                <c:pt idx="5">
                  <c:v>FA</c:v>
                </c:pt>
              </c:strCache>
            </c:strRef>
          </c:cat>
          <c:val>
            <c:numRef>
              <c:f>Plan19!$P$48:$P$53</c:f>
              <c:numCache>
                <c:formatCode>General</c:formatCode>
                <c:ptCount val="6"/>
                <c:pt idx="0">
                  <c:v>9</c:v>
                </c:pt>
                <c:pt idx="1">
                  <c:v>2</c:v>
                </c:pt>
                <c:pt idx="2">
                  <c:v>1</c:v>
                </c:pt>
                <c:pt idx="3">
                  <c:v>0</c:v>
                </c:pt>
                <c:pt idx="4">
                  <c:v>0</c:v>
                </c:pt>
                <c:pt idx="5">
                  <c:v>0</c:v>
                </c:pt>
              </c:numCache>
            </c:numRef>
          </c:val>
        </c:ser>
        <c:ser>
          <c:idx val="5"/>
          <c:order val="5"/>
          <c:tx>
            <c:strRef>
              <c:f>Plan19!$Q$47</c:f>
              <c:strCache>
                <c:ptCount val="1"/>
                <c:pt idx="0">
                  <c:v>Sc</c:v>
                </c:pt>
              </c:strCache>
            </c:strRef>
          </c:tx>
          <c:spPr>
            <a:solidFill>
              <a:schemeClr val="accent6"/>
            </a:solidFill>
            <a:ln>
              <a:noFill/>
            </a:ln>
            <a:effectLst/>
          </c:spPr>
          <c:invertIfNegative val="0"/>
          <c:cat>
            <c:strRef>
              <c:f>Plan19!$K$48:$K$53</c:f>
              <c:strCache>
                <c:ptCount val="6"/>
                <c:pt idx="0">
                  <c:v>ANT</c:v>
                </c:pt>
                <c:pt idx="1">
                  <c:v>C\V</c:v>
                </c:pt>
                <c:pt idx="2">
                  <c:v>PI</c:v>
                </c:pt>
                <c:pt idx="3">
                  <c:v>FI</c:v>
                </c:pt>
                <c:pt idx="4">
                  <c:v>FM</c:v>
                </c:pt>
                <c:pt idx="5">
                  <c:v>FA</c:v>
                </c:pt>
              </c:strCache>
            </c:strRef>
          </c:cat>
          <c:val>
            <c:numRef>
              <c:f>Plan19!$Q$48:$Q$53</c:f>
              <c:numCache>
                <c:formatCode>General</c:formatCode>
                <c:ptCount val="6"/>
                <c:pt idx="0">
                  <c:v>7</c:v>
                </c:pt>
                <c:pt idx="1">
                  <c:v>2</c:v>
                </c:pt>
                <c:pt idx="2">
                  <c:v>11</c:v>
                </c:pt>
                <c:pt idx="3">
                  <c:v>14</c:v>
                </c:pt>
                <c:pt idx="4">
                  <c:v>44</c:v>
                </c:pt>
                <c:pt idx="5">
                  <c:v>24</c:v>
                </c:pt>
              </c:numCache>
            </c:numRef>
          </c:val>
        </c:ser>
        <c:dLbls>
          <c:showLegendKey val="0"/>
          <c:showVal val="0"/>
          <c:showCatName val="0"/>
          <c:showSerName val="0"/>
          <c:showPercent val="0"/>
          <c:showBubbleSize val="0"/>
        </c:dLbls>
        <c:gapWidth val="219"/>
        <c:overlap val="-27"/>
        <c:axId val="-1048266832"/>
        <c:axId val="-1048265200"/>
      </c:barChart>
      <c:catAx>
        <c:axId val="-10482668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t-BR"/>
                  <a:t>Fitofisionomias</a:t>
                </a:r>
              </a:p>
            </c:rich>
          </c:tx>
          <c:layout>
            <c:manualLayout>
              <c:xMode val="edge"/>
              <c:yMode val="edge"/>
              <c:x val="0.75122090988626256"/>
              <c:y val="0.80518445610965295"/>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048265200"/>
        <c:crosses val="autoZero"/>
        <c:auto val="1"/>
        <c:lblAlgn val="ctr"/>
        <c:lblOffset val="100"/>
        <c:noMultiLvlLbl val="0"/>
      </c:catAx>
      <c:valAx>
        <c:axId val="-1048265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t-BR"/>
                  <a:t>Nº</a:t>
                </a:r>
                <a:r>
                  <a:rPr lang="pt-BR" baseline="0"/>
                  <a:t> de espécies</a:t>
                </a:r>
                <a:endParaRPr lang="pt-BR"/>
              </a:p>
            </c:rich>
          </c:tx>
          <c:layout>
            <c:manualLayout>
              <c:xMode val="edge"/>
              <c:yMode val="edge"/>
              <c:x val="2.2222222222222251E-2"/>
              <c:y val="0.14781605424321959"/>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0482668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Classes sucessionais</a:t>
            </a:r>
          </a:p>
        </c:rich>
      </c:tx>
      <c:overlay val="0"/>
      <c:spPr>
        <a:noFill/>
        <a:ln>
          <a:noFill/>
        </a:ln>
        <a:effectLst/>
      </c:spPr>
    </c:title>
    <c:autoTitleDeleted val="0"/>
    <c:plotArea>
      <c:layout/>
      <c:barChart>
        <c:barDir val="col"/>
        <c:grouping val="clustered"/>
        <c:varyColors val="0"/>
        <c:ser>
          <c:idx val="0"/>
          <c:order val="0"/>
          <c:tx>
            <c:strRef>
              <c:f>Plan19!$N$2</c:f>
              <c:strCache>
                <c:ptCount val="1"/>
                <c:pt idx="0">
                  <c:v>Pi</c:v>
                </c:pt>
              </c:strCache>
            </c:strRef>
          </c:tx>
          <c:spPr>
            <a:solidFill>
              <a:schemeClr val="accent1"/>
            </a:solidFill>
            <a:ln>
              <a:noFill/>
            </a:ln>
            <a:effectLst/>
          </c:spPr>
          <c:invertIfNegative val="0"/>
          <c:cat>
            <c:strRef>
              <c:f>Plan19!$M$3:$M$8</c:f>
              <c:strCache>
                <c:ptCount val="6"/>
                <c:pt idx="0">
                  <c:v>F3</c:v>
                </c:pt>
                <c:pt idx="1">
                  <c:v>F8</c:v>
                </c:pt>
                <c:pt idx="2">
                  <c:v>F24</c:v>
                </c:pt>
                <c:pt idx="3">
                  <c:v>F28</c:v>
                </c:pt>
                <c:pt idx="4">
                  <c:v>F33</c:v>
                </c:pt>
                <c:pt idx="5">
                  <c:v>F37</c:v>
                </c:pt>
              </c:strCache>
            </c:strRef>
          </c:cat>
          <c:val>
            <c:numRef>
              <c:f>Plan19!$N$3:$N$8</c:f>
              <c:numCache>
                <c:formatCode>General</c:formatCode>
                <c:ptCount val="6"/>
                <c:pt idx="0">
                  <c:v>9</c:v>
                </c:pt>
                <c:pt idx="1">
                  <c:v>9</c:v>
                </c:pt>
                <c:pt idx="2">
                  <c:v>10</c:v>
                </c:pt>
                <c:pt idx="3">
                  <c:v>8</c:v>
                </c:pt>
                <c:pt idx="4">
                  <c:v>10</c:v>
                </c:pt>
                <c:pt idx="5">
                  <c:v>13</c:v>
                </c:pt>
              </c:numCache>
            </c:numRef>
          </c:val>
        </c:ser>
        <c:ser>
          <c:idx val="1"/>
          <c:order val="1"/>
          <c:tx>
            <c:strRef>
              <c:f>Plan19!$O$2</c:f>
              <c:strCache>
                <c:ptCount val="1"/>
                <c:pt idx="0">
                  <c:v>Si</c:v>
                </c:pt>
              </c:strCache>
            </c:strRef>
          </c:tx>
          <c:spPr>
            <a:solidFill>
              <a:schemeClr val="accent2"/>
            </a:solidFill>
            <a:ln>
              <a:noFill/>
            </a:ln>
            <a:effectLst/>
          </c:spPr>
          <c:invertIfNegative val="0"/>
          <c:cat>
            <c:strRef>
              <c:f>Plan19!$M$3:$M$8</c:f>
              <c:strCache>
                <c:ptCount val="6"/>
                <c:pt idx="0">
                  <c:v>F3</c:v>
                </c:pt>
                <c:pt idx="1">
                  <c:v>F8</c:v>
                </c:pt>
                <c:pt idx="2">
                  <c:v>F24</c:v>
                </c:pt>
                <c:pt idx="3">
                  <c:v>F28</c:v>
                </c:pt>
                <c:pt idx="4">
                  <c:v>F33</c:v>
                </c:pt>
                <c:pt idx="5">
                  <c:v>F37</c:v>
                </c:pt>
              </c:strCache>
            </c:strRef>
          </c:cat>
          <c:val>
            <c:numRef>
              <c:f>Plan19!$O$3:$O$8</c:f>
              <c:numCache>
                <c:formatCode>General</c:formatCode>
                <c:ptCount val="6"/>
                <c:pt idx="0">
                  <c:v>27</c:v>
                </c:pt>
                <c:pt idx="1">
                  <c:v>27</c:v>
                </c:pt>
                <c:pt idx="2">
                  <c:v>24</c:v>
                </c:pt>
                <c:pt idx="3">
                  <c:v>29</c:v>
                </c:pt>
                <c:pt idx="4">
                  <c:v>32</c:v>
                </c:pt>
                <c:pt idx="5">
                  <c:v>34</c:v>
                </c:pt>
              </c:numCache>
            </c:numRef>
          </c:val>
        </c:ser>
        <c:ser>
          <c:idx val="2"/>
          <c:order val="2"/>
          <c:tx>
            <c:strRef>
              <c:f>Plan19!$P$2</c:f>
              <c:strCache>
                <c:ptCount val="1"/>
                <c:pt idx="0">
                  <c:v>St</c:v>
                </c:pt>
              </c:strCache>
            </c:strRef>
          </c:tx>
          <c:spPr>
            <a:solidFill>
              <a:schemeClr val="accent3"/>
            </a:solidFill>
            <a:ln>
              <a:noFill/>
            </a:ln>
            <a:effectLst/>
          </c:spPr>
          <c:invertIfNegative val="0"/>
          <c:cat>
            <c:strRef>
              <c:f>Plan19!$M$3:$M$8</c:f>
              <c:strCache>
                <c:ptCount val="6"/>
                <c:pt idx="0">
                  <c:v>F3</c:v>
                </c:pt>
                <c:pt idx="1">
                  <c:v>F8</c:v>
                </c:pt>
                <c:pt idx="2">
                  <c:v>F24</c:v>
                </c:pt>
                <c:pt idx="3">
                  <c:v>F28</c:v>
                </c:pt>
                <c:pt idx="4">
                  <c:v>F33</c:v>
                </c:pt>
                <c:pt idx="5">
                  <c:v>F37</c:v>
                </c:pt>
              </c:strCache>
            </c:strRef>
          </c:cat>
          <c:val>
            <c:numRef>
              <c:f>Plan19!$P$3:$P$8</c:f>
              <c:numCache>
                <c:formatCode>General</c:formatCode>
                <c:ptCount val="6"/>
                <c:pt idx="0">
                  <c:v>6</c:v>
                </c:pt>
                <c:pt idx="1">
                  <c:v>6</c:v>
                </c:pt>
                <c:pt idx="2">
                  <c:v>6</c:v>
                </c:pt>
                <c:pt idx="3">
                  <c:v>15</c:v>
                </c:pt>
                <c:pt idx="4">
                  <c:v>5</c:v>
                </c:pt>
                <c:pt idx="5">
                  <c:v>16</c:v>
                </c:pt>
              </c:numCache>
            </c:numRef>
          </c:val>
        </c:ser>
        <c:ser>
          <c:idx val="3"/>
          <c:order val="3"/>
          <c:tx>
            <c:strRef>
              <c:f>Plan19!$Q$2</c:f>
              <c:strCache>
                <c:ptCount val="1"/>
                <c:pt idx="0">
                  <c:v>Sb</c:v>
                </c:pt>
              </c:strCache>
            </c:strRef>
          </c:tx>
          <c:spPr>
            <a:solidFill>
              <a:schemeClr val="accent4"/>
            </a:solidFill>
            <a:ln>
              <a:noFill/>
            </a:ln>
            <a:effectLst/>
          </c:spPr>
          <c:invertIfNegative val="0"/>
          <c:cat>
            <c:strRef>
              <c:f>Plan19!$M$3:$M$8</c:f>
              <c:strCache>
                <c:ptCount val="6"/>
                <c:pt idx="0">
                  <c:v>F3</c:v>
                </c:pt>
                <c:pt idx="1">
                  <c:v>F8</c:v>
                </c:pt>
                <c:pt idx="2">
                  <c:v>F24</c:v>
                </c:pt>
                <c:pt idx="3">
                  <c:v>F28</c:v>
                </c:pt>
                <c:pt idx="4">
                  <c:v>F33</c:v>
                </c:pt>
                <c:pt idx="5">
                  <c:v>F37</c:v>
                </c:pt>
              </c:strCache>
            </c:strRef>
          </c:cat>
          <c:val>
            <c:numRef>
              <c:f>Plan19!$Q$3:$Q$8</c:f>
              <c:numCache>
                <c:formatCode>General</c:formatCode>
                <c:ptCount val="6"/>
                <c:pt idx="0">
                  <c:v>15</c:v>
                </c:pt>
                <c:pt idx="1">
                  <c:v>15</c:v>
                </c:pt>
                <c:pt idx="2">
                  <c:v>14</c:v>
                </c:pt>
                <c:pt idx="3">
                  <c:v>35</c:v>
                </c:pt>
                <c:pt idx="4">
                  <c:v>23</c:v>
                </c:pt>
                <c:pt idx="5">
                  <c:v>37</c:v>
                </c:pt>
              </c:numCache>
            </c:numRef>
          </c:val>
        </c:ser>
        <c:ser>
          <c:idx val="4"/>
          <c:order val="4"/>
          <c:tx>
            <c:strRef>
              <c:f>Plan19!$R$2</c:f>
              <c:strCache>
                <c:ptCount val="1"/>
                <c:pt idx="0">
                  <c:v>Ex</c:v>
                </c:pt>
              </c:strCache>
            </c:strRef>
          </c:tx>
          <c:spPr>
            <a:solidFill>
              <a:schemeClr val="accent5"/>
            </a:solidFill>
            <a:ln>
              <a:noFill/>
            </a:ln>
            <a:effectLst/>
          </c:spPr>
          <c:invertIfNegative val="0"/>
          <c:cat>
            <c:strRef>
              <c:f>Plan19!$M$3:$M$8</c:f>
              <c:strCache>
                <c:ptCount val="6"/>
                <c:pt idx="0">
                  <c:v>F3</c:v>
                </c:pt>
                <c:pt idx="1">
                  <c:v>F8</c:v>
                </c:pt>
                <c:pt idx="2">
                  <c:v>F24</c:v>
                </c:pt>
                <c:pt idx="3">
                  <c:v>F28</c:v>
                </c:pt>
                <c:pt idx="4">
                  <c:v>F33</c:v>
                </c:pt>
                <c:pt idx="5">
                  <c:v>F37</c:v>
                </c:pt>
              </c:strCache>
            </c:strRef>
          </c:cat>
          <c:val>
            <c:numRef>
              <c:f>Plan19!$R$3:$R$8</c:f>
              <c:numCache>
                <c:formatCode>General</c:formatCode>
                <c:ptCount val="6"/>
                <c:pt idx="0">
                  <c:v>0</c:v>
                </c:pt>
                <c:pt idx="1">
                  <c:v>0</c:v>
                </c:pt>
                <c:pt idx="2">
                  <c:v>0</c:v>
                </c:pt>
                <c:pt idx="3">
                  <c:v>0</c:v>
                </c:pt>
                <c:pt idx="4">
                  <c:v>0</c:v>
                </c:pt>
                <c:pt idx="5">
                  <c:v>0</c:v>
                </c:pt>
              </c:numCache>
            </c:numRef>
          </c:val>
        </c:ser>
        <c:ser>
          <c:idx val="5"/>
          <c:order val="5"/>
          <c:tx>
            <c:strRef>
              <c:f>Plan19!$S$2</c:f>
              <c:strCache>
                <c:ptCount val="1"/>
                <c:pt idx="0">
                  <c:v>Sc</c:v>
                </c:pt>
              </c:strCache>
            </c:strRef>
          </c:tx>
          <c:spPr>
            <a:solidFill>
              <a:schemeClr val="accent6"/>
            </a:solidFill>
            <a:ln>
              <a:noFill/>
            </a:ln>
            <a:effectLst/>
          </c:spPr>
          <c:invertIfNegative val="0"/>
          <c:cat>
            <c:strRef>
              <c:f>Plan19!$M$3:$M$8</c:f>
              <c:strCache>
                <c:ptCount val="6"/>
                <c:pt idx="0">
                  <c:v>F3</c:v>
                </c:pt>
                <c:pt idx="1">
                  <c:v>F8</c:v>
                </c:pt>
                <c:pt idx="2">
                  <c:v>F24</c:v>
                </c:pt>
                <c:pt idx="3">
                  <c:v>F28</c:v>
                </c:pt>
                <c:pt idx="4">
                  <c:v>F33</c:v>
                </c:pt>
                <c:pt idx="5">
                  <c:v>F37</c:v>
                </c:pt>
              </c:strCache>
            </c:strRef>
          </c:cat>
          <c:val>
            <c:numRef>
              <c:f>Plan19!$S$3:$S$8</c:f>
              <c:numCache>
                <c:formatCode>General</c:formatCode>
                <c:ptCount val="6"/>
                <c:pt idx="0">
                  <c:v>4</c:v>
                </c:pt>
                <c:pt idx="1">
                  <c:v>4</c:v>
                </c:pt>
                <c:pt idx="2">
                  <c:v>6</c:v>
                </c:pt>
                <c:pt idx="3">
                  <c:v>6</c:v>
                </c:pt>
                <c:pt idx="4">
                  <c:v>5</c:v>
                </c:pt>
                <c:pt idx="5">
                  <c:v>7</c:v>
                </c:pt>
              </c:numCache>
            </c:numRef>
          </c:val>
        </c:ser>
        <c:dLbls>
          <c:showLegendKey val="0"/>
          <c:showVal val="0"/>
          <c:showCatName val="0"/>
          <c:showSerName val="0"/>
          <c:showPercent val="0"/>
          <c:showBubbleSize val="0"/>
        </c:dLbls>
        <c:gapWidth val="219"/>
        <c:overlap val="-27"/>
        <c:axId val="-756930384"/>
        <c:axId val="-756929840"/>
      </c:barChart>
      <c:catAx>
        <c:axId val="-756930384"/>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pt-BR">
                    <a:solidFill>
                      <a:sysClr val="windowText" lastClr="000000"/>
                    </a:solidFill>
                  </a:rPr>
                  <a:t>Áreas Amostrais</a:t>
                </a:r>
              </a:p>
            </c:rich>
          </c:tx>
          <c:layout>
            <c:manualLayout>
              <c:xMode val="edge"/>
              <c:yMode val="edge"/>
              <c:x val="0.73935979877515323"/>
              <c:y val="0.80981408573928249"/>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756929840"/>
        <c:crosses val="autoZero"/>
        <c:auto val="1"/>
        <c:lblAlgn val="ctr"/>
        <c:lblOffset val="100"/>
        <c:noMultiLvlLbl val="0"/>
      </c:catAx>
      <c:valAx>
        <c:axId val="-756929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solidFill>
                      <a:sysClr val="windowText" lastClr="000000"/>
                    </a:solidFill>
                  </a:rPr>
                  <a:t>Nº de Espécies</a:t>
                </a:r>
              </a:p>
            </c:rich>
          </c:tx>
          <c:layout>
            <c:manualLayout>
              <c:xMode val="edge"/>
              <c:yMode val="edge"/>
              <c:x val="1.9444444444444445E-2"/>
              <c:y val="0.15265419947506637"/>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7569303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CE1FCC-51D0-44C2-93C8-237E1081F8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310</TotalTime>
  <Pages>162</Pages>
  <Words>60257</Words>
  <Characters>325391</Characters>
  <Application>Microsoft Office Word</Application>
  <DocSecurity>0</DocSecurity>
  <Lines>2711</Lines>
  <Paragraphs>769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384879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Vera</dc:creator>
  <cp:lastModifiedBy>Guillermo R F. d'Oliveira</cp:lastModifiedBy>
  <cp:revision>24</cp:revision>
  <cp:lastPrinted>2014-11-13T18:49:00Z</cp:lastPrinted>
  <dcterms:created xsi:type="dcterms:W3CDTF">2015-02-16T14:10:00Z</dcterms:created>
  <dcterms:modified xsi:type="dcterms:W3CDTF">2015-02-19T21:35:00Z</dcterms:modified>
</cp:coreProperties>
</file>